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A3BF5" w14:textId="77777777" w:rsidR="007E1562" w:rsidRDefault="00000000">
      <w:pPr>
        <w:jc w:val="center"/>
        <w:rPr>
          <w:lang w:eastAsia="zh-TW"/>
        </w:rPr>
      </w:pPr>
      <w:r>
        <w:rPr>
          <w:rFonts w:ascii="Times New Roman" w:eastAsia="標楷體" w:hAnsi="Times New Roman"/>
          <w:b/>
          <w:sz w:val="32"/>
          <w:lang w:eastAsia="zh-TW"/>
        </w:rPr>
        <w:t>邁向氣候意識投資：基於生成式</w:t>
      </w:r>
      <w:r>
        <w:rPr>
          <w:rFonts w:ascii="Times New Roman" w:eastAsia="標楷體" w:hAnsi="Times New Roman"/>
          <w:b/>
          <w:sz w:val="32"/>
          <w:lang w:eastAsia="zh-TW"/>
        </w:rPr>
        <w:t xml:space="preserve"> AI </w:t>
      </w:r>
      <w:r>
        <w:rPr>
          <w:rFonts w:ascii="Times New Roman" w:eastAsia="標楷體" w:hAnsi="Times New Roman"/>
          <w:b/>
          <w:sz w:val="32"/>
          <w:lang w:eastAsia="zh-TW"/>
        </w:rPr>
        <w:t>之碳權與美股雙軌分析平台設計與實作</w:t>
      </w:r>
    </w:p>
    <w:p w14:paraId="2FBB13C6" w14:textId="77777777" w:rsidR="007E1562" w:rsidRDefault="00000000">
      <w:pPr>
        <w:jc w:val="center"/>
      </w:pPr>
      <w:r>
        <w:rPr>
          <w:rFonts w:ascii="Times New Roman" w:eastAsia="標楷體" w:hAnsi="Times New Roman"/>
          <w:b/>
          <w:sz w:val="28"/>
        </w:rPr>
        <w:t>Towards Climate-Aware Investing: Design and Implementation of a GenAI-based Dual-Track Analysis Platform for Carbon and US Equity ETFs</w:t>
      </w:r>
    </w:p>
    <w:p w14:paraId="36F270BE" w14:textId="05AC61C3" w:rsidR="007E1562" w:rsidRDefault="00000000">
      <w:pPr>
        <w:jc w:val="center"/>
        <w:rPr>
          <w:lang w:eastAsia="zh-TW"/>
        </w:rPr>
      </w:pPr>
      <w:r>
        <w:rPr>
          <w:rFonts w:ascii="Times New Roman" w:eastAsia="標楷體" w:hAnsi="Times New Roman"/>
          <w:sz w:val="24"/>
          <w:lang w:eastAsia="zh-TW"/>
        </w:rPr>
        <w:t>林子瑜</w:t>
      </w:r>
      <w:r>
        <w:rPr>
          <w:rFonts w:ascii="Times New Roman" w:eastAsia="標楷體" w:hAnsi="Times New Roman"/>
          <w:sz w:val="24"/>
          <w:lang w:eastAsia="zh-TW"/>
        </w:rPr>
        <w:t xml:space="preserve"> 1</w:t>
      </w:r>
      <w:r>
        <w:rPr>
          <w:rFonts w:ascii="Times New Roman" w:eastAsia="標楷體" w:hAnsi="Times New Roman"/>
          <w:sz w:val="24"/>
          <w:lang w:eastAsia="zh-TW"/>
        </w:rPr>
        <w:t xml:space="preserve">　李冠榮</w:t>
      </w:r>
      <w:r>
        <w:rPr>
          <w:rFonts w:ascii="Times New Roman" w:eastAsia="標楷體" w:hAnsi="Times New Roman"/>
          <w:sz w:val="24"/>
          <w:lang w:eastAsia="zh-TW"/>
        </w:rPr>
        <w:t xml:space="preserve"> 2</w:t>
      </w:r>
      <w:r w:rsidR="006F597B">
        <w:rPr>
          <w:rFonts w:ascii="Times New Roman" w:eastAsia="標楷體" w:hAnsi="Times New Roman" w:hint="eastAsia"/>
          <w:sz w:val="24"/>
          <w:lang w:eastAsia="zh-TW"/>
        </w:rPr>
        <w:t>*</w:t>
      </w:r>
    </w:p>
    <w:p w14:paraId="0DDBEC63" w14:textId="76A737D1" w:rsidR="007E1562" w:rsidRDefault="00000000">
      <w:pPr>
        <w:jc w:val="center"/>
        <w:rPr>
          <w:rFonts w:ascii="Times New Roman" w:eastAsia="標楷體" w:hAnsi="Times New Roman"/>
          <w:sz w:val="20"/>
          <w:lang w:eastAsia="zh-TW"/>
        </w:rPr>
      </w:pPr>
      <w:r>
        <w:rPr>
          <w:rFonts w:ascii="Times New Roman" w:eastAsia="標楷體" w:hAnsi="Times New Roman"/>
          <w:sz w:val="20"/>
          <w:lang w:eastAsia="zh-TW"/>
        </w:rPr>
        <w:t xml:space="preserve">1 </w:t>
      </w:r>
      <w:r>
        <w:rPr>
          <w:rFonts w:ascii="Times New Roman" w:eastAsia="標楷體" w:hAnsi="Times New Roman"/>
          <w:sz w:val="20"/>
          <w:lang w:eastAsia="zh-TW"/>
        </w:rPr>
        <w:t>崑山科技大學資訊工程系碩士班</w:t>
      </w:r>
    </w:p>
    <w:p w14:paraId="34455C6C" w14:textId="2A47672B" w:rsidR="006F597B" w:rsidRDefault="006F597B">
      <w:pPr>
        <w:jc w:val="center"/>
        <w:rPr>
          <w:rFonts w:ascii="Times New Roman" w:eastAsia="標楷體" w:hAnsi="Times New Roman"/>
          <w:sz w:val="20"/>
          <w:lang w:eastAsia="zh-TW"/>
        </w:rPr>
      </w:pPr>
      <w:r w:rsidRPr="006F597B">
        <w:rPr>
          <w:rFonts w:ascii="Times New Roman" w:eastAsia="標楷體" w:hAnsi="Times New Roman" w:hint="eastAsia"/>
          <w:sz w:val="20"/>
          <w:lang w:eastAsia="zh-TW"/>
        </w:rPr>
        <w:t xml:space="preserve">2 </w:t>
      </w:r>
      <w:r w:rsidRPr="006F597B">
        <w:rPr>
          <w:rFonts w:ascii="Times New Roman" w:eastAsia="標楷體" w:hAnsi="Times New Roman" w:hint="eastAsia"/>
          <w:sz w:val="20"/>
          <w:lang w:eastAsia="zh-TW"/>
        </w:rPr>
        <w:t>崑山科技大學資訊工程系</w:t>
      </w:r>
    </w:p>
    <w:p w14:paraId="285122CF" w14:textId="77777777" w:rsidR="006F597B" w:rsidRPr="006F597B" w:rsidRDefault="006F597B" w:rsidP="006F597B">
      <w:pPr>
        <w:jc w:val="center"/>
        <w:rPr>
          <w:rFonts w:ascii="Times New Roman" w:eastAsia="標楷體" w:hAnsi="Times New Roman"/>
          <w:sz w:val="20"/>
          <w:lang w:eastAsia="zh-TW"/>
        </w:rPr>
      </w:pPr>
      <w:r w:rsidRPr="006F597B">
        <w:rPr>
          <w:rFonts w:ascii="Times New Roman" w:eastAsia="標楷體" w:hAnsi="Times New Roman"/>
          <w:sz w:val="20"/>
          <w:lang w:eastAsia="zh-TW"/>
        </w:rPr>
        <w:t>1 Graduate Student, Department of Computer Engineering, Kun Shan University</w:t>
      </w:r>
    </w:p>
    <w:p w14:paraId="490850C1" w14:textId="5855282B" w:rsidR="007E1562" w:rsidRPr="00D53C80" w:rsidRDefault="006F597B" w:rsidP="00D53C80">
      <w:pPr>
        <w:jc w:val="center"/>
        <w:rPr>
          <w:rFonts w:ascii="Times New Roman" w:eastAsia="標楷體" w:hAnsi="Times New Roman" w:hint="eastAsia"/>
          <w:sz w:val="20"/>
          <w:lang w:eastAsia="zh-TW"/>
        </w:rPr>
      </w:pPr>
      <w:r w:rsidRPr="006F597B">
        <w:rPr>
          <w:rFonts w:ascii="Times New Roman" w:eastAsia="標楷體" w:hAnsi="Times New Roman"/>
          <w:sz w:val="20"/>
          <w:lang w:eastAsia="zh-TW"/>
        </w:rPr>
        <w:t>2 Department of Computer Engineering, Kun Shan University</w:t>
      </w:r>
    </w:p>
    <w:p w14:paraId="5F0EDE31" w14:textId="77777777" w:rsidR="007E1562" w:rsidRDefault="00000000">
      <w:pPr>
        <w:jc w:val="center"/>
        <w:rPr>
          <w:lang w:eastAsia="zh-TW"/>
        </w:rPr>
      </w:pPr>
      <w:r>
        <w:rPr>
          <w:rFonts w:ascii="Times New Roman" w:eastAsia="標楷體" w:hAnsi="Times New Roman"/>
          <w:b/>
          <w:sz w:val="24"/>
          <w:lang w:eastAsia="zh-TW"/>
        </w:rPr>
        <w:t>摘要</w:t>
      </w:r>
    </w:p>
    <w:p w14:paraId="586EF516" w14:textId="2F6DA568" w:rsidR="007E1562" w:rsidRDefault="00C52DB1">
      <w:pPr>
        <w:jc w:val="both"/>
        <w:rPr>
          <w:lang w:eastAsia="zh-TW"/>
        </w:rPr>
      </w:pPr>
      <w:r w:rsidRPr="00C52DB1">
        <w:rPr>
          <w:rFonts w:ascii="Times New Roman" w:eastAsia="標楷體" w:hAnsi="Times New Roman" w:hint="eastAsia"/>
          <w:sz w:val="24"/>
          <w:lang w:eastAsia="zh-TW"/>
        </w:rPr>
        <w:t>全球淨零轉型趨勢下，碳定價已成為資本市場的重要考量因素。然而，多數投資人目前仍聚焦於單一股價波動，較少評估碳權價格對企業成本的實際影響。本研究提出一套名為</w:t>
      </w:r>
      <w:r w:rsidRPr="00C52DB1">
        <w:rPr>
          <w:rFonts w:ascii="Times New Roman" w:eastAsia="標楷體" w:hAnsi="Times New Roman"/>
          <w:sz w:val="24"/>
          <w:lang w:eastAsia="zh-TW"/>
        </w:rPr>
        <w:t xml:space="preserve"> AEGIS </w:t>
      </w:r>
      <w:r w:rsidRPr="00C52DB1">
        <w:rPr>
          <w:rFonts w:ascii="Times New Roman" w:eastAsia="標楷體" w:hAnsi="Times New Roman" w:hint="eastAsia"/>
          <w:sz w:val="24"/>
          <w:lang w:eastAsia="zh-TW"/>
        </w:rPr>
        <w:t>的分析系統，結合了美股大盤</w:t>
      </w:r>
      <w:r w:rsidRPr="00C52DB1">
        <w:rPr>
          <w:rFonts w:ascii="Times New Roman" w:eastAsia="標楷體" w:hAnsi="Times New Roman"/>
          <w:sz w:val="24"/>
          <w:lang w:eastAsia="zh-TW"/>
        </w:rPr>
        <w:t xml:space="preserve"> ETF (SPY) </w:t>
      </w:r>
      <w:r w:rsidRPr="00C52DB1">
        <w:rPr>
          <w:rFonts w:ascii="Times New Roman" w:eastAsia="標楷體" w:hAnsi="Times New Roman" w:hint="eastAsia"/>
          <w:sz w:val="24"/>
          <w:lang w:eastAsia="zh-TW"/>
        </w:rPr>
        <w:t>與全球碳權</w:t>
      </w:r>
      <w:r w:rsidRPr="00C52DB1">
        <w:rPr>
          <w:rFonts w:ascii="Times New Roman" w:eastAsia="標楷體" w:hAnsi="Times New Roman"/>
          <w:sz w:val="24"/>
          <w:lang w:eastAsia="zh-TW"/>
        </w:rPr>
        <w:t xml:space="preserve"> ETF (KRBN) </w:t>
      </w:r>
      <w:r w:rsidRPr="00C52DB1">
        <w:rPr>
          <w:rFonts w:ascii="Times New Roman" w:eastAsia="標楷體" w:hAnsi="Times New Roman" w:hint="eastAsia"/>
          <w:sz w:val="24"/>
          <w:lang w:eastAsia="zh-TW"/>
        </w:rPr>
        <w:t>數據。方法上，我們先採用雙層</w:t>
      </w:r>
      <w:r w:rsidRPr="00C52DB1">
        <w:rPr>
          <w:rFonts w:ascii="Times New Roman" w:eastAsia="標楷體" w:hAnsi="Times New Roman"/>
          <w:sz w:val="24"/>
          <w:lang w:eastAsia="zh-TW"/>
        </w:rPr>
        <w:t xml:space="preserve"> LSTM </w:t>
      </w:r>
      <w:r w:rsidRPr="00C52DB1">
        <w:rPr>
          <w:rFonts w:ascii="Times New Roman" w:eastAsia="標楷體" w:hAnsi="Times New Roman" w:hint="eastAsia"/>
          <w:sz w:val="24"/>
          <w:lang w:eastAsia="zh-TW"/>
        </w:rPr>
        <w:t>模型進行價格趨勢預測，再導入</w:t>
      </w:r>
      <w:r w:rsidRPr="00C52DB1">
        <w:rPr>
          <w:rFonts w:ascii="Times New Roman" w:eastAsia="標楷體" w:hAnsi="Times New Roman"/>
          <w:sz w:val="24"/>
          <w:lang w:eastAsia="zh-TW"/>
        </w:rPr>
        <w:t xml:space="preserve"> OpenAI GPT </w:t>
      </w:r>
      <w:r w:rsidRPr="00C52DB1">
        <w:rPr>
          <w:rFonts w:ascii="Times New Roman" w:eastAsia="標楷體" w:hAnsi="Times New Roman" w:hint="eastAsia"/>
          <w:sz w:val="24"/>
          <w:lang w:eastAsia="zh-TW"/>
        </w:rPr>
        <w:t>技術對預測數據進行語意解讀。實驗結果顯示，本模型在美股預測上的</w:t>
      </w:r>
      <w:r w:rsidRPr="00C52DB1">
        <w:rPr>
          <w:rFonts w:ascii="Times New Roman" w:eastAsia="標楷體" w:hAnsi="Times New Roman"/>
          <w:sz w:val="24"/>
          <w:lang w:eastAsia="zh-TW"/>
        </w:rPr>
        <w:t xml:space="preserve"> F1-Score </w:t>
      </w:r>
      <w:r w:rsidRPr="00C52DB1">
        <w:rPr>
          <w:rFonts w:ascii="Times New Roman" w:eastAsia="標楷體" w:hAnsi="Times New Roman" w:hint="eastAsia"/>
          <w:sz w:val="24"/>
          <w:lang w:eastAsia="zh-TW"/>
        </w:rPr>
        <w:t>為</w:t>
      </w:r>
      <w:r w:rsidRPr="00C52DB1">
        <w:rPr>
          <w:rFonts w:ascii="Times New Roman" w:eastAsia="標楷體" w:hAnsi="Times New Roman"/>
          <w:sz w:val="24"/>
          <w:lang w:eastAsia="zh-TW"/>
        </w:rPr>
        <w:t xml:space="preserve"> 0.733</w:t>
      </w:r>
      <w:r w:rsidRPr="00C52DB1">
        <w:rPr>
          <w:rFonts w:ascii="Times New Roman" w:eastAsia="標楷體" w:hAnsi="Times New Roman" w:hint="eastAsia"/>
          <w:sz w:val="24"/>
          <w:lang w:eastAsia="zh-TW"/>
        </w:rPr>
        <w:t>，且能有效捕捉碳權市場的非線性特徵。透過自動生成的「氣候金融風險摘要」，本研究期望能協助投資人將氣候風險納入投資決策流程中</w:t>
      </w:r>
      <w:r>
        <w:rPr>
          <w:rFonts w:ascii="Times New Roman" w:eastAsia="標楷體" w:hAnsi="Times New Roman"/>
          <w:sz w:val="24"/>
          <w:lang w:eastAsia="zh-TW"/>
        </w:rPr>
        <w:t>。</w:t>
      </w:r>
    </w:p>
    <w:p w14:paraId="7B847FAB" w14:textId="19C93403" w:rsidR="007E1562" w:rsidRPr="00C52DB1" w:rsidRDefault="00000000">
      <w:pPr>
        <w:rPr>
          <w:rFonts w:eastAsia="新細明體"/>
          <w:lang w:eastAsia="zh-TW"/>
        </w:rPr>
      </w:pPr>
      <w:r>
        <w:rPr>
          <w:rFonts w:ascii="Times New Roman" w:eastAsia="標楷體" w:hAnsi="Times New Roman"/>
          <w:b/>
          <w:sz w:val="24"/>
          <w:lang w:eastAsia="zh-TW"/>
        </w:rPr>
        <w:t>關鍵詞：</w:t>
      </w:r>
      <w:r w:rsidR="00C52DB1" w:rsidRPr="00C52DB1">
        <w:rPr>
          <w:rFonts w:ascii="Times New Roman" w:eastAsia="標楷體" w:hAnsi="Times New Roman" w:hint="eastAsia"/>
          <w:sz w:val="24"/>
          <w:lang w:eastAsia="zh-TW"/>
        </w:rPr>
        <w:t>生成式</w:t>
      </w:r>
      <w:r w:rsidR="00C52DB1" w:rsidRPr="00C52DB1">
        <w:rPr>
          <w:rFonts w:ascii="Times New Roman" w:eastAsia="標楷體" w:hAnsi="Times New Roman"/>
          <w:sz w:val="24"/>
          <w:lang w:eastAsia="zh-TW"/>
        </w:rPr>
        <w:t xml:space="preserve"> AI</w:t>
      </w:r>
      <w:r w:rsidR="00C52DB1" w:rsidRPr="00C52DB1">
        <w:rPr>
          <w:rFonts w:ascii="Times New Roman" w:eastAsia="標楷體" w:hAnsi="Times New Roman" w:hint="eastAsia"/>
          <w:sz w:val="24"/>
          <w:lang w:eastAsia="zh-TW"/>
        </w:rPr>
        <w:t>、碳權</w:t>
      </w:r>
      <w:r w:rsidR="00C52DB1" w:rsidRPr="00C52DB1">
        <w:rPr>
          <w:rFonts w:ascii="Times New Roman" w:eastAsia="標楷體" w:hAnsi="Times New Roman"/>
          <w:sz w:val="24"/>
          <w:lang w:eastAsia="zh-TW"/>
        </w:rPr>
        <w:t xml:space="preserve"> ETF</w:t>
      </w:r>
      <w:r w:rsidR="00C52DB1" w:rsidRPr="00C52DB1">
        <w:rPr>
          <w:rFonts w:ascii="Times New Roman" w:eastAsia="標楷體" w:hAnsi="Times New Roman" w:hint="eastAsia"/>
          <w:sz w:val="24"/>
          <w:lang w:eastAsia="zh-TW"/>
        </w:rPr>
        <w:t>、</w:t>
      </w:r>
      <w:r w:rsidR="00C52DB1" w:rsidRPr="00C52DB1">
        <w:rPr>
          <w:rFonts w:ascii="Times New Roman" w:eastAsia="標楷體" w:hAnsi="Times New Roman"/>
          <w:sz w:val="24"/>
          <w:lang w:eastAsia="zh-TW"/>
        </w:rPr>
        <w:t>LSTM</w:t>
      </w:r>
      <w:r w:rsidR="00C52DB1" w:rsidRPr="00C52DB1">
        <w:rPr>
          <w:rFonts w:ascii="Times New Roman" w:eastAsia="標楷體" w:hAnsi="Times New Roman" w:hint="eastAsia"/>
          <w:sz w:val="24"/>
          <w:lang w:eastAsia="zh-TW"/>
        </w:rPr>
        <w:t>、氣候金融、風險分析</w:t>
      </w:r>
    </w:p>
    <w:p w14:paraId="2522B17E" w14:textId="35CA3B36" w:rsidR="007E1562" w:rsidRPr="00D53C80" w:rsidRDefault="00000000" w:rsidP="00D53C80">
      <w:pPr>
        <w:jc w:val="center"/>
        <w:rPr>
          <w:rFonts w:ascii="Times New Roman" w:eastAsia="新細明體" w:hAnsi="Times New Roman"/>
          <w:b/>
          <w:sz w:val="24"/>
          <w:lang w:eastAsia="zh-TW"/>
        </w:rPr>
      </w:pPr>
      <w:r>
        <w:rPr>
          <w:rFonts w:ascii="Times New Roman" w:eastAsia="Times New Roman" w:hAnsi="Times New Roman"/>
          <w:b/>
          <w:sz w:val="24"/>
        </w:rPr>
        <w:t>Abstract</w:t>
      </w:r>
    </w:p>
    <w:p w14:paraId="3EFFF7AE" w14:textId="7946E662" w:rsidR="007E1562" w:rsidRDefault="00C52DB1">
      <w:pPr>
        <w:jc w:val="both"/>
      </w:pPr>
      <w:r w:rsidRPr="00C52DB1">
        <w:rPr>
          <w:rFonts w:ascii="Times New Roman" w:eastAsia="Times New Roman" w:hAnsi="Times New Roman"/>
          <w:sz w:val="24"/>
        </w:rPr>
        <w:t xml:space="preserve">As the global net-zero transition accelerates, carbon pricing has become a significant factor in capital markets. However, most investors still focus on stock price volatility, often overlooking the impact of carbon credit prices on corporate operational costs. This study proposes the AEGIS system, which integrates the US market ETF (SPY) and the Global Carbon Credit ETF (KRBN). The methodology employs a double-layer LSTM model for trend prediction, followed by OpenAI GPT for semantic interpretation of the </w:t>
      </w:r>
      <w:r w:rsidRPr="00C52DB1">
        <w:rPr>
          <w:rFonts w:ascii="Times New Roman" w:eastAsia="Times New Roman" w:hAnsi="Times New Roman"/>
          <w:sz w:val="24"/>
        </w:rPr>
        <w:lastRenderedPageBreak/>
        <w:t>prediction results. Experimental results show that the model achieves an F1-Score of 0.733 in the US market and effectively captures non-linear volatility in the carbon market. By automatically generating "Climate Finance Risk Summaries," this system aims to assist investors in incorporating climate risks into their decision-making processes</w:t>
      </w:r>
      <w:r>
        <w:rPr>
          <w:rFonts w:ascii="Times New Roman" w:eastAsia="Times New Roman" w:hAnsi="Times New Roman"/>
          <w:sz w:val="24"/>
        </w:rPr>
        <w:t>.</w:t>
      </w:r>
    </w:p>
    <w:p w14:paraId="7730BDDA" w14:textId="1969F82A" w:rsidR="007E1562" w:rsidRPr="00D53C80" w:rsidRDefault="00000000">
      <w:pPr>
        <w:rPr>
          <w:rFonts w:eastAsia="新細明體" w:hint="eastAsia"/>
          <w:lang w:eastAsia="zh-TW"/>
        </w:rPr>
      </w:pPr>
      <w:r>
        <w:rPr>
          <w:rFonts w:ascii="Times New Roman" w:eastAsia="Times New Roman" w:hAnsi="Times New Roman"/>
          <w:b/>
          <w:sz w:val="24"/>
        </w:rPr>
        <w:t xml:space="preserve">Keywords: </w:t>
      </w:r>
      <w:r w:rsidR="00C52DB1" w:rsidRPr="00C52DB1">
        <w:rPr>
          <w:rFonts w:ascii="Times New Roman" w:eastAsia="Times New Roman" w:hAnsi="Times New Roman"/>
          <w:sz w:val="24"/>
        </w:rPr>
        <w:t>Generative AI, Carbon Credit ETF, LSTM, Climate Finance, Risk Analysis</w:t>
      </w:r>
    </w:p>
    <w:p w14:paraId="23F040EB" w14:textId="77777777" w:rsidR="007E1562" w:rsidRDefault="00000000">
      <w:pPr>
        <w:spacing w:before="240"/>
        <w:rPr>
          <w:lang w:eastAsia="zh-TW"/>
        </w:rPr>
      </w:pPr>
      <w:r>
        <w:rPr>
          <w:rFonts w:ascii="Times New Roman" w:eastAsia="標楷體" w:hAnsi="Times New Roman"/>
          <w:b/>
          <w:sz w:val="28"/>
          <w:lang w:eastAsia="zh-TW"/>
        </w:rPr>
        <w:t xml:space="preserve">1. </w:t>
      </w:r>
      <w:r>
        <w:rPr>
          <w:rFonts w:ascii="Times New Roman" w:eastAsia="標楷體" w:hAnsi="Times New Roman"/>
          <w:b/>
          <w:sz w:val="28"/>
          <w:lang w:eastAsia="zh-TW"/>
        </w:rPr>
        <w:t>緒論</w:t>
      </w:r>
    </w:p>
    <w:p w14:paraId="16BFA198" w14:textId="349B09BF" w:rsidR="001647C6" w:rsidRPr="001647C6" w:rsidRDefault="001647C6" w:rsidP="001647C6">
      <w:pPr>
        <w:jc w:val="both"/>
        <w:rPr>
          <w:rFonts w:ascii="Times New Roman" w:eastAsia="標楷體" w:hAnsi="Times New Roman"/>
          <w:sz w:val="24"/>
          <w:lang w:eastAsia="zh-TW"/>
        </w:rPr>
      </w:pPr>
      <w:r w:rsidRPr="001647C6">
        <w:rPr>
          <w:rFonts w:ascii="Times New Roman" w:eastAsia="標楷體" w:hAnsi="Times New Roman" w:hint="eastAsia"/>
          <w:sz w:val="24"/>
          <w:lang w:eastAsia="zh-TW"/>
        </w:rPr>
        <w:t>近年來，隨著《巴黎協定》後的全球減碳趨勢確立，以及歐盟碳邊境調整機制（</w:t>
      </w:r>
      <w:r w:rsidRPr="001647C6">
        <w:rPr>
          <w:rFonts w:ascii="Times New Roman" w:eastAsia="標楷體" w:hAnsi="Times New Roman"/>
          <w:sz w:val="24"/>
          <w:lang w:eastAsia="zh-TW"/>
        </w:rPr>
        <w:t>CBAM</w:t>
      </w:r>
      <w:r w:rsidRPr="001647C6">
        <w:rPr>
          <w:rFonts w:ascii="Times New Roman" w:eastAsia="標楷體" w:hAnsi="Times New Roman" w:hint="eastAsia"/>
          <w:sz w:val="24"/>
          <w:lang w:eastAsia="zh-TW"/>
        </w:rPr>
        <w:t>）的實施，碳定價（</w:t>
      </w:r>
      <w:r w:rsidRPr="001647C6">
        <w:rPr>
          <w:rFonts w:ascii="Times New Roman" w:eastAsia="標楷體" w:hAnsi="Times New Roman"/>
          <w:sz w:val="24"/>
          <w:lang w:eastAsia="zh-TW"/>
        </w:rPr>
        <w:t>Carbon Pricing</w:t>
      </w:r>
      <w:r w:rsidRPr="001647C6">
        <w:rPr>
          <w:rFonts w:ascii="Times New Roman" w:eastAsia="標楷體" w:hAnsi="Times New Roman" w:hint="eastAsia"/>
          <w:sz w:val="24"/>
          <w:lang w:eastAsia="zh-TW"/>
        </w:rPr>
        <w:t>）已從單純的環保議題轉變為影響企業財務報表的關鍵變數。然而，現有的金融分析工具或學術研究，多半僅聚焦於單一資產類別的價格回測；換言之，投資人通常只能分別檢視「傳統權益證券（如美股</w:t>
      </w:r>
      <w:r w:rsidRPr="001647C6">
        <w:rPr>
          <w:rFonts w:ascii="Times New Roman" w:eastAsia="標楷體" w:hAnsi="Times New Roman"/>
          <w:sz w:val="24"/>
          <w:lang w:eastAsia="zh-TW"/>
        </w:rPr>
        <w:t xml:space="preserve"> SPY</w:t>
      </w:r>
      <w:r w:rsidRPr="001647C6">
        <w:rPr>
          <w:rFonts w:ascii="Times New Roman" w:eastAsia="標楷體" w:hAnsi="Times New Roman" w:hint="eastAsia"/>
          <w:sz w:val="24"/>
          <w:lang w:eastAsia="zh-TW"/>
        </w:rPr>
        <w:t>）」或「新興氣候資產（如碳權</w:t>
      </w:r>
      <w:r w:rsidRPr="001647C6">
        <w:rPr>
          <w:rFonts w:ascii="Times New Roman" w:eastAsia="標楷體" w:hAnsi="Times New Roman"/>
          <w:sz w:val="24"/>
          <w:lang w:eastAsia="zh-TW"/>
        </w:rPr>
        <w:t xml:space="preserve"> KRBN</w:t>
      </w:r>
      <w:r w:rsidRPr="001647C6">
        <w:rPr>
          <w:rFonts w:ascii="Times New Roman" w:eastAsia="標楷體" w:hAnsi="Times New Roman" w:hint="eastAsia"/>
          <w:sz w:val="24"/>
          <w:lang w:eastAsia="zh-TW"/>
        </w:rPr>
        <w:t>）」的走勢，缺乏一套整合性的量化工具來評估兩者之間的連動風險。此外，對於缺乏程式背景的一般投資人而言，要從海量的非結構化財經新聞與波動劇烈的碳價數據中萃取有效資訊，存在極高的技術門檻與資訊不對稱。</w:t>
      </w:r>
    </w:p>
    <w:p w14:paraId="2A424BDD" w14:textId="0F656519" w:rsidR="00D53C80" w:rsidRPr="00D53C80" w:rsidRDefault="001647C6" w:rsidP="001647C6">
      <w:pPr>
        <w:jc w:val="both"/>
        <w:rPr>
          <w:rFonts w:ascii="Times New Roman" w:eastAsia="標楷體" w:hAnsi="Times New Roman" w:hint="eastAsia"/>
          <w:sz w:val="24"/>
          <w:lang w:eastAsia="zh-TW"/>
        </w:rPr>
      </w:pPr>
      <w:r w:rsidRPr="001647C6">
        <w:rPr>
          <w:rFonts w:ascii="Times New Roman" w:eastAsia="標楷體" w:hAnsi="Times New Roman" w:hint="eastAsia"/>
          <w:sz w:val="24"/>
        </w:rPr>
        <w:t>針對上述研究缺口，本研究設計並實作了一套名為</w:t>
      </w:r>
      <w:r w:rsidRPr="001647C6">
        <w:rPr>
          <w:rFonts w:ascii="Times New Roman" w:eastAsia="標楷體" w:hAnsi="Times New Roman" w:hint="eastAsia"/>
          <w:sz w:val="24"/>
        </w:rPr>
        <w:t xml:space="preserve"> AEGIS (AI-driven ETF Guardian &amp; Intelligent System) </w:t>
      </w:r>
      <w:r w:rsidRPr="001647C6">
        <w:rPr>
          <w:rFonts w:ascii="Times New Roman" w:eastAsia="標楷體" w:hAnsi="Times New Roman" w:hint="eastAsia"/>
          <w:sz w:val="24"/>
        </w:rPr>
        <w:t>的自動化決策支援系統。本研究的主要貢獻在於提出一套整合性的系統架構，將「雙層</w:t>
      </w:r>
      <w:r w:rsidRPr="001647C6">
        <w:rPr>
          <w:rFonts w:ascii="Times New Roman" w:eastAsia="標楷體" w:hAnsi="Times New Roman" w:hint="eastAsia"/>
          <w:sz w:val="24"/>
        </w:rPr>
        <w:t xml:space="preserve"> LSTM </w:t>
      </w:r>
      <w:r w:rsidRPr="001647C6">
        <w:rPr>
          <w:rFonts w:ascii="Times New Roman" w:eastAsia="標楷體" w:hAnsi="Times New Roman" w:hint="eastAsia"/>
          <w:sz w:val="24"/>
        </w:rPr>
        <w:t>時間序列預測」與「</w:t>
      </w:r>
      <w:r w:rsidRPr="001647C6">
        <w:rPr>
          <w:rFonts w:ascii="Times New Roman" w:eastAsia="標楷體" w:hAnsi="Times New Roman" w:hint="eastAsia"/>
          <w:sz w:val="24"/>
        </w:rPr>
        <w:t xml:space="preserve">GPT </w:t>
      </w:r>
      <w:r w:rsidRPr="001647C6">
        <w:rPr>
          <w:rFonts w:ascii="Times New Roman" w:eastAsia="標楷體" w:hAnsi="Times New Roman" w:hint="eastAsia"/>
          <w:sz w:val="24"/>
        </w:rPr>
        <w:t>生成式語意分析」技術進行串接。</w:t>
      </w:r>
      <w:r w:rsidRPr="001647C6">
        <w:rPr>
          <w:rFonts w:ascii="Times New Roman" w:eastAsia="標楷體" w:hAnsi="Times New Roman" w:hint="eastAsia"/>
          <w:sz w:val="24"/>
          <w:lang w:eastAsia="zh-TW"/>
        </w:rPr>
        <w:t>系統旨在解決跨市場數據整合的困難，透過自動化流程將異質數據轉化為可視化的風險指標與文字摘要，以輔助投資人建立涵蓋氣候風險的投資決策模型</w:t>
      </w:r>
      <w:r>
        <w:rPr>
          <w:rFonts w:ascii="Times New Roman" w:eastAsia="標楷體" w:hAnsi="Times New Roman"/>
          <w:sz w:val="24"/>
          <w:lang w:eastAsia="zh-TW"/>
        </w:rPr>
        <w:t>。</w:t>
      </w:r>
    </w:p>
    <w:p w14:paraId="726F7341" w14:textId="77777777" w:rsidR="007E1562" w:rsidRDefault="00000000">
      <w:pPr>
        <w:spacing w:before="240"/>
        <w:rPr>
          <w:lang w:eastAsia="zh-TW"/>
        </w:rPr>
      </w:pPr>
      <w:r>
        <w:rPr>
          <w:rFonts w:ascii="Times New Roman" w:eastAsia="標楷體" w:hAnsi="Times New Roman"/>
          <w:b/>
          <w:sz w:val="28"/>
          <w:lang w:eastAsia="zh-TW"/>
        </w:rPr>
        <w:t xml:space="preserve">2. </w:t>
      </w:r>
      <w:r>
        <w:rPr>
          <w:rFonts w:ascii="Times New Roman" w:eastAsia="標楷體" w:hAnsi="Times New Roman"/>
          <w:b/>
          <w:sz w:val="28"/>
          <w:lang w:eastAsia="zh-TW"/>
        </w:rPr>
        <w:t>系統設計</w:t>
      </w:r>
    </w:p>
    <w:p w14:paraId="38A586C4" w14:textId="524CFC73" w:rsidR="007E1562" w:rsidRDefault="001647C6">
      <w:pPr>
        <w:rPr>
          <w:rFonts w:ascii="Times New Roman" w:eastAsia="標楷體" w:hAnsi="Times New Roman"/>
          <w:sz w:val="24"/>
          <w:lang w:eastAsia="zh-TW"/>
        </w:rPr>
      </w:pPr>
      <w:r w:rsidRPr="001647C6">
        <w:rPr>
          <w:rFonts w:ascii="Times New Roman" w:eastAsia="標楷體" w:hAnsi="Times New Roman" w:hint="eastAsia"/>
          <w:sz w:val="24"/>
          <w:lang w:eastAsia="zh-TW"/>
        </w:rPr>
        <w:t>本章節將詳細說明</w:t>
      </w:r>
      <w:r w:rsidRPr="001647C6">
        <w:rPr>
          <w:rFonts w:ascii="Times New Roman" w:eastAsia="標楷體" w:hAnsi="Times New Roman"/>
          <w:sz w:val="24"/>
          <w:lang w:eastAsia="zh-TW"/>
        </w:rPr>
        <w:t xml:space="preserve"> AEGIS </w:t>
      </w:r>
      <w:r w:rsidRPr="001647C6">
        <w:rPr>
          <w:rFonts w:ascii="Times New Roman" w:eastAsia="標楷體" w:hAnsi="Times New Roman" w:hint="eastAsia"/>
          <w:sz w:val="24"/>
          <w:lang w:eastAsia="zh-TW"/>
        </w:rPr>
        <w:t>系統的設計理念與實作細節。系統採用模組化（</w:t>
      </w:r>
      <w:r w:rsidRPr="001647C6">
        <w:rPr>
          <w:rFonts w:ascii="Times New Roman" w:eastAsia="標楷體" w:hAnsi="Times New Roman"/>
          <w:sz w:val="24"/>
          <w:lang w:eastAsia="zh-TW"/>
        </w:rPr>
        <w:t>Modular</w:t>
      </w:r>
      <w:r w:rsidRPr="001647C6">
        <w:rPr>
          <w:rFonts w:ascii="Times New Roman" w:eastAsia="標楷體" w:hAnsi="Times New Roman" w:hint="eastAsia"/>
          <w:sz w:val="24"/>
          <w:lang w:eastAsia="zh-TW"/>
        </w:rPr>
        <w:t>）與鬆散耦合（</w:t>
      </w:r>
      <w:r w:rsidRPr="001647C6">
        <w:rPr>
          <w:rFonts w:ascii="Times New Roman" w:eastAsia="標楷體" w:hAnsi="Times New Roman"/>
          <w:sz w:val="24"/>
          <w:lang w:eastAsia="zh-TW"/>
        </w:rPr>
        <w:t>Loosely Coupled</w:t>
      </w:r>
      <w:r w:rsidRPr="001647C6">
        <w:rPr>
          <w:rFonts w:ascii="Times New Roman" w:eastAsia="標楷體" w:hAnsi="Times New Roman" w:hint="eastAsia"/>
          <w:sz w:val="24"/>
          <w:lang w:eastAsia="zh-TW"/>
        </w:rPr>
        <w:t>）的原則進行開發，整體架構依功能劃分為資料處理、</w:t>
      </w:r>
      <w:r w:rsidRPr="001647C6">
        <w:rPr>
          <w:rFonts w:ascii="Times New Roman" w:eastAsia="標楷體" w:hAnsi="Times New Roman" w:hint="eastAsia"/>
          <w:sz w:val="24"/>
          <w:lang w:eastAsia="zh-TW"/>
        </w:rPr>
        <w:lastRenderedPageBreak/>
        <w:t>核心運算與前端呈現三個層次</w:t>
      </w:r>
      <w:r>
        <w:rPr>
          <w:rFonts w:ascii="Times New Roman" w:eastAsia="標楷體" w:hAnsi="Times New Roman"/>
          <w:sz w:val="24"/>
          <w:lang w:eastAsia="zh-TW"/>
        </w:rPr>
        <w:t>。</w:t>
      </w:r>
      <w:r>
        <w:rPr>
          <w:noProof/>
        </w:rPr>
        <w:drawing>
          <wp:inline distT="0" distB="0" distL="0" distR="0" wp14:anchorId="767A99B3" wp14:editId="58675652">
            <wp:extent cx="5040000" cy="46677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png"/>
                    <pic:cNvPicPr/>
                  </pic:nvPicPr>
                  <pic:blipFill>
                    <a:blip r:embed="rId8"/>
                    <a:stretch>
                      <a:fillRect/>
                    </a:stretch>
                  </pic:blipFill>
                  <pic:spPr>
                    <a:xfrm>
                      <a:off x="0" y="0"/>
                      <a:ext cx="5040000" cy="4667701"/>
                    </a:xfrm>
                    <a:prstGeom prst="rect">
                      <a:avLst/>
                    </a:prstGeom>
                  </pic:spPr>
                </pic:pic>
              </a:graphicData>
            </a:graphic>
          </wp:inline>
        </w:drawing>
      </w:r>
    </w:p>
    <w:p w14:paraId="614450FC" w14:textId="00737EA1" w:rsidR="001647C6" w:rsidRPr="001647C6" w:rsidRDefault="001647C6" w:rsidP="001647C6">
      <w:pPr>
        <w:spacing w:after="240"/>
        <w:jc w:val="center"/>
        <w:rPr>
          <w:rFonts w:eastAsia="新細明體"/>
          <w:lang w:eastAsia="zh-TW"/>
        </w:rPr>
      </w:pPr>
      <w:r>
        <w:rPr>
          <w:rFonts w:ascii="Times New Roman" w:eastAsia="標楷體" w:hAnsi="Times New Roman"/>
          <w:b/>
          <w:color w:val="000000"/>
          <w:sz w:val="24"/>
          <w:lang w:eastAsia="zh-TW"/>
        </w:rPr>
        <w:t>圖</w:t>
      </w:r>
      <w:r>
        <w:rPr>
          <w:rFonts w:ascii="Times New Roman" w:eastAsia="標楷體" w:hAnsi="Times New Roman"/>
          <w:b/>
          <w:color w:val="000000"/>
          <w:sz w:val="24"/>
          <w:lang w:eastAsia="zh-TW"/>
        </w:rPr>
        <w:t xml:space="preserve"> 1</w:t>
      </w:r>
      <w:r>
        <w:rPr>
          <w:rFonts w:ascii="Times New Roman" w:eastAsia="標楷體" w:hAnsi="Times New Roman"/>
          <w:b/>
          <w:color w:val="000000"/>
          <w:sz w:val="24"/>
          <w:lang w:eastAsia="zh-TW"/>
        </w:rPr>
        <w:t>：</w:t>
      </w:r>
      <w:r>
        <w:rPr>
          <w:rFonts w:ascii="Times New Roman" w:eastAsia="標楷體" w:hAnsi="Times New Roman"/>
          <w:b/>
          <w:color w:val="000000"/>
          <w:sz w:val="24"/>
          <w:lang w:eastAsia="zh-TW"/>
        </w:rPr>
        <w:t xml:space="preserve">AEGIS </w:t>
      </w:r>
      <w:r>
        <w:rPr>
          <w:rFonts w:ascii="Times New Roman" w:eastAsia="標楷體" w:hAnsi="Times New Roman"/>
          <w:b/>
          <w:color w:val="000000"/>
          <w:sz w:val="24"/>
          <w:lang w:eastAsia="zh-TW"/>
        </w:rPr>
        <w:t>系統整體架構與資料流向圖</w:t>
      </w:r>
    </w:p>
    <w:p w14:paraId="412FD44F" w14:textId="77777777" w:rsidR="007E1562" w:rsidRDefault="00000000">
      <w:pPr>
        <w:spacing w:before="240"/>
        <w:rPr>
          <w:lang w:eastAsia="zh-TW"/>
        </w:rPr>
      </w:pPr>
      <w:r>
        <w:rPr>
          <w:rFonts w:ascii="Times New Roman" w:eastAsia="標楷體" w:hAnsi="Times New Roman"/>
          <w:b/>
          <w:sz w:val="26"/>
          <w:lang w:eastAsia="zh-TW"/>
        </w:rPr>
        <w:t xml:space="preserve">2.1 </w:t>
      </w:r>
      <w:r>
        <w:rPr>
          <w:rFonts w:ascii="Times New Roman" w:eastAsia="標楷體" w:hAnsi="Times New Roman"/>
          <w:b/>
          <w:sz w:val="26"/>
          <w:lang w:eastAsia="zh-TW"/>
        </w:rPr>
        <w:t>系統架構</w:t>
      </w:r>
    </w:p>
    <w:p w14:paraId="32D60F9A" w14:textId="7134690F" w:rsidR="00753F0F" w:rsidRPr="00753F0F" w:rsidRDefault="00753F0F" w:rsidP="00753F0F">
      <w:pPr>
        <w:rPr>
          <w:rFonts w:ascii="Times New Roman" w:eastAsia="標楷體" w:hAnsi="Times New Roman"/>
          <w:sz w:val="24"/>
          <w:lang w:eastAsia="zh-TW"/>
        </w:rPr>
      </w:pPr>
      <w:r w:rsidRPr="00753F0F">
        <w:rPr>
          <w:rFonts w:ascii="Times New Roman" w:eastAsia="標楷體" w:hAnsi="Times New Roman" w:hint="eastAsia"/>
          <w:sz w:val="24"/>
          <w:lang w:eastAsia="zh-TW"/>
        </w:rPr>
        <w:t>本研究使用</w:t>
      </w:r>
      <w:r w:rsidRPr="00753F0F">
        <w:rPr>
          <w:rFonts w:ascii="Times New Roman" w:eastAsia="標楷體" w:hAnsi="Times New Roman"/>
          <w:sz w:val="24"/>
          <w:lang w:eastAsia="zh-TW"/>
        </w:rPr>
        <w:t xml:space="preserve"> Python 3.9 </w:t>
      </w:r>
      <w:r w:rsidRPr="00753F0F">
        <w:rPr>
          <w:rFonts w:ascii="Times New Roman" w:eastAsia="標楷體" w:hAnsi="Times New Roman" w:hint="eastAsia"/>
          <w:sz w:val="24"/>
          <w:lang w:eastAsia="zh-TW"/>
        </w:rPr>
        <w:t>作為主要開發環境，並整合多個開源函式庫建構自動化管線。在資料層方面，系統透過</w:t>
      </w:r>
      <w:r w:rsidRPr="00753F0F">
        <w:rPr>
          <w:rFonts w:ascii="Times New Roman" w:eastAsia="標楷體" w:hAnsi="Times New Roman"/>
          <w:sz w:val="24"/>
          <w:lang w:eastAsia="zh-TW"/>
        </w:rPr>
        <w:t xml:space="preserve"> yfinance </w:t>
      </w:r>
      <w:r w:rsidRPr="00753F0F">
        <w:rPr>
          <w:rFonts w:ascii="Times New Roman" w:eastAsia="標楷體" w:hAnsi="Times New Roman" w:hint="eastAsia"/>
          <w:sz w:val="24"/>
          <w:lang w:eastAsia="zh-TW"/>
        </w:rPr>
        <w:t>串接</w:t>
      </w:r>
      <w:r w:rsidRPr="00753F0F">
        <w:rPr>
          <w:rFonts w:ascii="Times New Roman" w:eastAsia="標楷體" w:hAnsi="Times New Roman"/>
          <w:sz w:val="24"/>
          <w:lang w:eastAsia="zh-TW"/>
        </w:rPr>
        <w:t xml:space="preserve"> Yahoo Finance API</w:t>
      </w:r>
      <w:r w:rsidRPr="00753F0F">
        <w:rPr>
          <w:rFonts w:ascii="Times New Roman" w:eastAsia="標楷體" w:hAnsi="Times New Roman" w:hint="eastAsia"/>
          <w:sz w:val="24"/>
          <w:lang w:eastAsia="zh-TW"/>
        </w:rPr>
        <w:t>，自動化批次下載</w:t>
      </w:r>
      <w:r w:rsidRPr="00753F0F">
        <w:rPr>
          <w:rFonts w:ascii="Times New Roman" w:eastAsia="標楷體" w:hAnsi="Times New Roman"/>
          <w:sz w:val="24"/>
          <w:lang w:eastAsia="zh-TW"/>
        </w:rPr>
        <w:t xml:space="preserve"> SPY</w:t>
      </w:r>
      <w:r w:rsidRPr="00753F0F">
        <w:rPr>
          <w:rFonts w:ascii="Times New Roman" w:eastAsia="標楷體" w:hAnsi="Times New Roman" w:hint="eastAsia"/>
          <w:sz w:val="24"/>
          <w:lang w:eastAsia="zh-TW"/>
        </w:rPr>
        <w:t>（美股大盤）與</w:t>
      </w:r>
      <w:r w:rsidRPr="00753F0F">
        <w:rPr>
          <w:rFonts w:ascii="Times New Roman" w:eastAsia="標楷體" w:hAnsi="Times New Roman"/>
          <w:sz w:val="24"/>
          <w:lang w:eastAsia="zh-TW"/>
        </w:rPr>
        <w:t xml:space="preserve"> KRBN</w:t>
      </w:r>
      <w:r w:rsidRPr="00753F0F">
        <w:rPr>
          <w:rFonts w:ascii="Times New Roman" w:eastAsia="標楷體" w:hAnsi="Times New Roman" w:hint="eastAsia"/>
          <w:sz w:val="24"/>
          <w:lang w:eastAsia="zh-TW"/>
        </w:rPr>
        <w:t>（碳權</w:t>
      </w:r>
      <w:r w:rsidRPr="00753F0F">
        <w:rPr>
          <w:rFonts w:ascii="Times New Roman" w:eastAsia="標楷體" w:hAnsi="Times New Roman"/>
          <w:sz w:val="24"/>
          <w:lang w:eastAsia="zh-TW"/>
        </w:rPr>
        <w:t xml:space="preserve"> ETF</w:t>
      </w:r>
      <w:r w:rsidRPr="00753F0F">
        <w:rPr>
          <w:rFonts w:ascii="Times New Roman" w:eastAsia="標楷體" w:hAnsi="Times New Roman" w:hint="eastAsia"/>
          <w:sz w:val="24"/>
          <w:lang w:eastAsia="zh-TW"/>
        </w:rPr>
        <w:t>）的每日收盤價、成交量等歷史交易數據。</w:t>
      </w:r>
    </w:p>
    <w:p w14:paraId="4975AAD8" w14:textId="59216534" w:rsidR="007E1562" w:rsidRPr="001647C6" w:rsidRDefault="00753F0F" w:rsidP="00753F0F">
      <w:pPr>
        <w:rPr>
          <w:rFonts w:eastAsia="新細明體"/>
          <w:lang w:eastAsia="zh-TW"/>
        </w:rPr>
      </w:pPr>
      <w:r w:rsidRPr="00753F0F">
        <w:rPr>
          <w:rFonts w:ascii="Times New Roman" w:eastAsia="標楷體" w:hAnsi="Times New Roman" w:hint="eastAsia"/>
          <w:sz w:val="24"/>
          <w:lang w:eastAsia="zh-TW"/>
        </w:rPr>
        <w:t>針對美股與碳權市場交易日不一致的問題，系統在</w:t>
      </w:r>
      <w:r w:rsidRPr="00753F0F">
        <w:rPr>
          <w:rFonts w:ascii="Times New Roman" w:eastAsia="標楷體" w:hAnsi="Times New Roman"/>
          <w:sz w:val="24"/>
          <w:lang w:eastAsia="zh-TW"/>
        </w:rPr>
        <w:t xml:space="preserve"> ETL</w:t>
      </w:r>
      <w:r w:rsidRPr="00753F0F">
        <w:rPr>
          <w:rFonts w:ascii="Times New Roman" w:eastAsia="標楷體" w:hAnsi="Times New Roman" w:hint="eastAsia"/>
          <w:sz w:val="24"/>
          <w:lang w:eastAsia="zh-TW"/>
        </w:rPr>
        <w:t>（</w:t>
      </w:r>
      <w:r w:rsidRPr="00753F0F">
        <w:rPr>
          <w:rFonts w:ascii="Times New Roman" w:eastAsia="標楷體" w:hAnsi="Times New Roman"/>
          <w:sz w:val="24"/>
          <w:lang w:eastAsia="zh-TW"/>
        </w:rPr>
        <w:t>Extract, Transform, Load</w:t>
      </w:r>
      <w:r w:rsidRPr="00753F0F">
        <w:rPr>
          <w:rFonts w:ascii="Times New Roman" w:eastAsia="標楷體" w:hAnsi="Times New Roman" w:hint="eastAsia"/>
          <w:sz w:val="24"/>
          <w:lang w:eastAsia="zh-TW"/>
        </w:rPr>
        <w:t>）階段實作了時間對齊（</w:t>
      </w:r>
      <w:r w:rsidRPr="00753F0F">
        <w:rPr>
          <w:rFonts w:ascii="Times New Roman" w:eastAsia="標楷體" w:hAnsi="Times New Roman"/>
          <w:sz w:val="24"/>
          <w:lang w:eastAsia="zh-TW"/>
        </w:rPr>
        <w:t>Time Alignment</w:t>
      </w:r>
      <w:r w:rsidRPr="00753F0F">
        <w:rPr>
          <w:rFonts w:ascii="Times New Roman" w:eastAsia="標楷體" w:hAnsi="Times New Roman" w:hint="eastAsia"/>
          <w:sz w:val="24"/>
          <w:lang w:eastAsia="zh-TW"/>
        </w:rPr>
        <w:t>）演算法，利用</w:t>
      </w:r>
      <w:r w:rsidRPr="00753F0F">
        <w:rPr>
          <w:rFonts w:ascii="Times New Roman" w:eastAsia="標楷體" w:hAnsi="Times New Roman"/>
          <w:sz w:val="24"/>
          <w:lang w:eastAsia="zh-TW"/>
        </w:rPr>
        <w:t xml:space="preserve"> Pandas </w:t>
      </w:r>
      <w:r w:rsidRPr="00753F0F">
        <w:rPr>
          <w:rFonts w:ascii="Times New Roman" w:eastAsia="標楷體" w:hAnsi="Times New Roman" w:hint="eastAsia"/>
          <w:sz w:val="24"/>
          <w:lang w:eastAsia="zh-TW"/>
        </w:rPr>
        <w:t>進行資料清洗與線性插值（</w:t>
      </w:r>
      <w:r w:rsidRPr="00753F0F">
        <w:rPr>
          <w:rFonts w:ascii="Times New Roman" w:eastAsia="標楷體" w:hAnsi="Times New Roman"/>
          <w:sz w:val="24"/>
          <w:lang w:eastAsia="zh-TW"/>
        </w:rPr>
        <w:t>Linear Interpolation</w:t>
      </w:r>
      <w:r w:rsidRPr="00753F0F">
        <w:rPr>
          <w:rFonts w:ascii="Times New Roman" w:eastAsia="標楷體" w:hAnsi="Times New Roman" w:hint="eastAsia"/>
          <w:sz w:val="24"/>
          <w:lang w:eastAsia="zh-TW"/>
        </w:rPr>
        <w:t>），並將結構化數據存入</w:t>
      </w:r>
      <w:r w:rsidRPr="00753F0F">
        <w:rPr>
          <w:rFonts w:ascii="Times New Roman" w:eastAsia="標楷體" w:hAnsi="Times New Roman"/>
          <w:sz w:val="24"/>
          <w:lang w:eastAsia="zh-TW"/>
        </w:rPr>
        <w:t xml:space="preserve"> SQLite </w:t>
      </w:r>
      <w:r w:rsidRPr="00753F0F">
        <w:rPr>
          <w:rFonts w:ascii="Times New Roman" w:eastAsia="標楷體" w:hAnsi="Times New Roman" w:hint="eastAsia"/>
          <w:sz w:val="24"/>
          <w:lang w:eastAsia="zh-TW"/>
        </w:rPr>
        <w:t>資料庫。選擇</w:t>
      </w:r>
      <w:r w:rsidRPr="00753F0F">
        <w:rPr>
          <w:rFonts w:ascii="Times New Roman" w:eastAsia="標楷體" w:hAnsi="Times New Roman"/>
          <w:sz w:val="24"/>
          <w:lang w:eastAsia="zh-TW"/>
        </w:rPr>
        <w:t xml:space="preserve"> SQLite </w:t>
      </w:r>
      <w:r w:rsidRPr="00753F0F">
        <w:rPr>
          <w:rFonts w:ascii="Times New Roman" w:eastAsia="標楷體" w:hAnsi="Times New Roman" w:hint="eastAsia"/>
          <w:sz w:val="24"/>
          <w:lang w:eastAsia="zh-TW"/>
        </w:rPr>
        <w:t>的</w:t>
      </w:r>
      <w:r w:rsidRPr="00753F0F">
        <w:rPr>
          <w:rFonts w:ascii="Times New Roman" w:eastAsia="標楷體" w:hAnsi="Times New Roman" w:hint="eastAsia"/>
          <w:sz w:val="24"/>
          <w:lang w:eastAsia="zh-TW"/>
        </w:rPr>
        <w:lastRenderedPageBreak/>
        <w:t>原因在於其輕量化特性，足以支援本系統所需的歷史回測與即時讀寫需求，同時確保資料的一致性</w:t>
      </w:r>
      <w:r w:rsidR="001647C6" w:rsidRPr="001647C6">
        <w:rPr>
          <w:rFonts w:ascii="Times New Roman" w:eastAsia="標楷體" w:hAnsi="Times New Roman" w:hint="eastAsia"/>
          <w:sz w:val="24"/>
          <w:lang w:eastAsia="zh-TW"/>
        </w:rPr>
        <w:t>。</w:t>
      </w:r>
    </w:p>
    <w:p w14:paraId="1433096F" w14:textId="7BB00E9A" w:rsidR="007E1562" w:rsidRDefault="00000000">
      <w:pPr>
        <w:spacing w:before="240"/>
        <w:rPr>
          <w:lang w:eastAsia="zh-TW"/>
        </w:rPr>
      </w:pPr>
      <w:r>
        <w:rPr>
          <w:rFonts w:ascii="Times New Roman" w:eastAsia="標楷體" w:hAnsi="Times New Roman"/>
          <w:b/>
          <w:sz w:val="26"/>
          <w:lang w:eastAsia="zh-TW"/>
        </w:rPr>
        <w:t xml:space="preserve">2.2 </w:t>
      </w:r>
      <w:r w:rsidR="00753F0F" w:rsidRPr="00753F0F">
        <w:rPr>
          <w:rFonts w:ascii="Times New Roman" w:eastAsia="標楷體" w:hAnsi="Times New Roman" w:hint="eastAsia"/>
          <w:b/>
          <w:sz w:val="26"/>
          <w:lang w:eastAsia="zh-TW"/>
        </w:rPr>
        <w:t>雙軌趨勢偵測模組</w:t>
      </w:r>
      <w:r w:rsidR="00753F0F" w:rsidRPr="00753F0F">
        <w:rPr>
          <w:rFonts w:ascii="Times New Roman" w:eastAsia="標楷體" w:hAnsi="Times New Roman" w:hint="eastAsia"/>
          <w:b/>
          <w:sz w:val="26"/>
          <w:lang w:eastAsia="zh-TW"/>
        </w:rPr>
        <w:t xml:space="preserve"> (Dual-Track Trend Detection Module)</w:t>
      </w:r>
    </w:p>
    <w:p w14:paraId="6E7B7A8A" w14:textId="77777777" w:rsidR="00753F0F" w:rsidRDefault="00753F0F" w:rsidP="00753F0F">
      <w:pPr>
        <w:rPr>
          <w:rFonts w:ascii="Times New Roman" w:eastAsia="標楷體" w:hAnsi="Times New Roman"/>
          <w:sz w:val="24"/>
          <w:lang w:eastAsia="zh-TW"/>
        </w:rPr>
      </w:pPr>
      <w:r w:rsidRPr="00753F0F">
        <w:rPr>
          <w:rFonts w:ascii="Times New Roman" w:eastAsia="標楷體" w:hAnsi="Times New Roman" w:hint="eastAsia"/>
          <w:sz w:val="24"/>
          <w:lang w:eastAsia="zh-TW"/>
        </w:rPr>
        <w:t>本模組為系統的量化運算核心，負責處理時間序列數據的特徵工程與預測建模</w:t>
      </w:r>
      <w:r w:rsidR="001647C6" w:rsidRPr="001647C6">
        <w:rPr>
          <w:rFonts w:ascii="Times New Roman" w:eastAsia="標楷體" w:hAnsi="Times New Roman" w:hint="eastAsia"/>
          <w:sz w:val="24"/>
          <w:lang w:eastAsia="zh-TW"/>
        </w:rPr>
        <w:t>。</w:t>
      </w:r>
    </w:p>
    <w:p w14:paraId="74ABC1A1" w14:textId="77777777" w:rsidR="009015EC" w:rsidRDefault="00753F0F" w:rsidP="009015EC">
      <w:pPr>
        <w:pStyle w:val="ae"/>
        <w:numPr>
          <w:ilvl w:val="0"/>
          <w:numId w:val="13"/>
        </w:numPr>
        <w:rPr>
          <w:rFonts w:ascii="Times New Roman" w:eastAsia="標楷體" w:hAnsi="Times New Roman"/>
          <w:sz w:val="24"/>
          <w:lang w:eastAsia="zh-TW"/>
        </w:rPr>
      </w:pPr>
      <w:r w:rsidRPr="009015EC">
        <w:rPr>
          <w:rFonts w:ascii="Times New Roman" w:eastAsia="標楷體" w:hAnsi="Times New Roman" w:hint="eastAsia"/>
          <w:sz w:val="24"/>
          <w:lang w:eastAsia="zh-TW"/>
        </w:rPr>
        <w:t>資料管線與特徵工程：系統針對</w:t>
      </w:r>
      <w:r w:rsidRPr="009015EC">
        <w:rPr>
          <w:rFonts w:ascii="Times New Roman" w:eastAsia="標楷體" w:hAnsi="Times New Roman"/>
          <w:sz w:val="24"/>
          <w:lang w:eastAsia="zh-TW"/>
        </w:rPr>
        <w:t xml:space="preserve"> SPY </w:t>
      </w:r>
      <w:r w:rsidRPr="009015EC">
        <w:rPr>
          <w:rFonts w:ascii="Times New Roman" w:eastAsia="標楷體" w:hAnsi="Times New Roman" w:hint="eastAsia"/>
          <w:sz w:val="24"/>
          <w:lang w:eastAsia="zh-TW"/>
        </w:rPr>
        <w:t>與</w:t>
      </w:r>
      <w:r w:rsidRPr="009015EC">
        <w:rPr>
          <w:rFonts w:ascii="Times New Roman" w:eastAsia="標楷體" w:hAnsi="Times New Roman"/>
          <w:sz w:val="24"/>
          <w:lang w:eastAsia="zh-TW"/>
        </w:rPr>
        <w:t xml:space="preserve"> KRBN </w:t>
      </w:r>
      <w:r w:rsidRPr="009015EC">
        <w:rPr>
          <w:rFonts w:ascii="Times New Roman" w:eastAsia="標楷體" w:hAnsi="Times New Roman" w:hint="eastAsia"/>
          <w:sz w:val="24"/>
          <w:lang w:eastAsia="zh-TW"/>
        </w:rPr>
        <w:t>建立獨立的特徵提取流程。除了原始價格數據外，本研究利用</w:t>
      </w:r>
      <w:r w:rsidRPr="009015EC">
        <w:rPr>
          <w:rFonts w:ascii="Times New Roman" w:eastAsia="標楷體" w:hAnsi="Times New Roman"/>
          <w:sz w:val="24"/>
          <w:lang w:eastAsia="zh-TW"/>
        </w:rPr>
        <w:t xml:space="preserve"> TA-Lib </w:t>
      </w:r>
      <w:r w:rsidRPr="009015EC">
        <w:rPr>
          <w:rFonts w:ascii="Times New Roman" w:eastAsia="標楷體" w:hAnsi="Times New Roman" w:hint="eastAsia"/>
          <w:sz w:val="24"/>
          <w:lang w:eastAsia="zh-TW"/>
        </w:rPr>
        <w:t>套件計算技術指標，包括移動平均線</w:t>
      </w:r>
      <w:r w:rsidRPr="009015EC">
        <w:rPr>
          <w:rFonts w:ascii="Times New Roman" w:eastAsia="標楷體" w:hAnsi="Times New Roman"/>
          <w:sz w:val="24"/>
          <w:lang w:eastAsia="zh-TW"/>
        </w:rPr>
        <w:t xml:space="preserve"> (MA)</w:t>
      </w:r>
      <w:r w:rsidRPr="009015EC">
        <w:rPr>
          <w:rFonts w:ascii="Times New Roman" w:eastAsia="標楷體" w:hAnsi="Times New Roman" w:hint="eastAsia"/>
          <w:sz w:val="24"/>
          <w:lang w:eastAsia="zh-TW"/>
        </w:rPr>
        <w:t>、相對強弱指標</w:t>
      </w:r>
      <w:r w:rsidRPr="009015EC">
        <w:rPr>
          <w:rFonts w:ascii="Times New Roman" w:eastAsia="標楷體" w:hAnsi="Times New Roman"/>
          <w:sz w:val="24"/>
          <w:lang w:eastAsia="zh-TW"/>
        </w:rPr>
        <w:t xml:space="preserve"> (RSI) </w:t>
      </w:r>
      <w:r w:rsidRPr="009015EC">
        <w:rPr>
          <w:rFonts w:ascii="Times New Roman" w:eastAsia="標楷體" w:hAnsi="Times New Roman" w:hint="eastAsia"/>
          <w:sz w:val="24"/>
          <w:lang w:eastAsia="zh-TW"/>
        </w:rPr>
        <w:t>及歷史波動率</w:t>
      </w:r>
      <w:r w:rsidRPr="009015EC">
        <w:rPr>
          <w:rFonts w:ascii="Times New Roman" w:eastAsia="標楷體" w:hAnsi="Times New Roman"/>
          <w:sz w:val="24"/>
          <w:lang w:eastAsia="zh-TW"/>
        </w:rPr>
        <w:t xml:space="preserve"> (Volatility)</w:t>
      </w:r>
      <w:r w:rsidRPr="009015EC">
        <w:rPr>
          <w:rFonts w:ascii="Times New Roman" w:eastAsia="標楷體" w:hAnsi="Times New Roman" w:hint="eastAsia"/>
          <w:sz w:val="24"/>
          <w:lang w:eastAsia="zh-TW"/>
        </w:rPr>
        <w:t>，建構高維度的特徵向量</w:t>
      </w:r>
      <w:r w:rsidRPr="009015EC">
        <w:rPr>
          <w:rFonts w:ascii="Cambria Math" w:eastAsia="標楷體" w:hAnsi="Cambria Math"/>
          <w:i/>
          <w:sz w:val="24"/>
          <w:lang w:eastAsia="zh-TW"/>
        </w:rPr>
        <w:t xml:space="preserve">( </w:t>
      </w:r>
      <m:oMath>
        <m:sSub>
          <m:sSubPr>
            <m:ctrlPr>
              <w:rPr>
                <w:rFonts w:ascii="Cambria Math" w:eastAsia="標楷體" w:hAnsi="Cambria Math"/>
                <w:i/>
                <w:sz w:val="24"/>
                <w:lang w:eastAsia="zh-TW"/>
              </w:rPr>
            </m:ctrlPr>
          </m:sSubPr>
          <m:e>
            <m:r>
              <w:rPr>
                <w:rFonts w:ascii="Cambria Math" w:eastAsia="標楷體" w:hAnsi="Cambria Math"/>
                <w:sz w:val="24"/>
                <w:lang w:eastAsia="zh-TW"/>
              </w:rPr>
              <m:t>X</m:t>
            </m:r>
          </m:e>
          <m:sub>
            <m:r>
              <w:rPr>
                <w:rFonts w:ascii="Cambria Math" w:eastAsia="標楷體" w:hAnsi="Cambria Math"/>
                <w:sz w:val="24"/>
                <w:lang w:eastAsia="zh-TW"/>
              </w:rPr>
              <m:t>t</m:t>
            </m:r>
          </m:sub>
        </m:sSub>
        <m:r>
          <w:rPr>
            <w:rFonts w:ascii="Cambria Math" w:eastAsia="標楷體" w:hAnsi="Cambria Math"/>
            <w:sz w:val="24"/>
            <w:lang w:eastAsia="zh-TW"/>
          </w:rPr>
          <m:t xml:space="preserve"> </m:t>
        </m:r>
      </m:oMath>
      <w:r w:rsidRPr="009015EC">
        <w:rPr>
          <w:rFonts w:ascii="Cambria Math" w:eastAsia="標楷體" w:hAnsi="Cambria Math"/>
          <w:i/>
          <w:sz w:val="24"/>
          <w:lang w:eastAsia="zh-TW"/>
        </w:rPr>
        <w:t>)</w:t>
      </w:r>
      <w:r w:rsidRPr="009015EC">
        <w:rPr>
          <w:rFonts w:ascii="Times New Roman" w:eastAsia="標楷體" w:hAnsi="Times New Roman" w:hint="eastAsia"/>
          <w:sz w:val="24"/>
          <w:lang w:eastAsia="zh-TW"/>
        </w:rPr>
        <w:t>作為模型輸入。</w:t>
      </w:r>
    </w:p>
    <w:p w14:paraId="4E753137" w14:textId="262F03A6" w:rsidR="00753F0F" w:rsidRPr="009015EC" w:rsidRDefault="00753F0F" w:rsidP="009015EC">
      <w:pPr>
        <w:pStyle w:val="ae"/>
        <w:numPr>
          <w:ilvl w:val="0"/>
          <w:numId w:val="13"/>
        </w:numPr>
        <w:rPr>
          <w:rFonts w:ascii="Times New Roman" w:eastAsia="標楷體" w:hAnsi="Times New Roman"/>
          <w:sz w:val="24"/>
          <w:lang w:eastAsia="zh-TW"/>
        </w:rPr>
      </w:pPr>
      <w:r w:rsidRPr="009015EC">
        <w:rPr>
          <w:rFonts w:ascii="Times New Roman" w:eastAsia="標楷體" w:hAnsi="Times New Roman" w:hint="eastAsia"/>
          <w:sz w:val="24"/>
          <w:lang w:eastAsia="zh-TW"/>
        </w:rPr>
        <w:t>模型架構與推論：本研究採用基於</w:t>
      </w:r>
      <w:r w:rsidRPr="009015EC">
        <w:rPr>
          <w:rFonts w:ascii="Times New Roman" w:eastAsia="標楷體" w:hAnsi="Times New Roman"/>
          <w:sz w:val="24"/>
          <w:lang w:eastAsia="zh-TW"/>
        </w:rPr>
        <w:t xml:space="preserve"> TensorFlow/Keras </w:t>
      </w:r>
      <w:r w:rsidRPr="009015EC">
        <w:rPr>
          <w:rFonts w:ascii="Times New Roman" w:eastAsia="標楷體" w:hAnsi="Times New Roman" w:hint="eastAsia"/>
          <w:sz w:val="24"/>
          <w:lang w:eastAsia="zh-TW"/>
        </w:rPr>
        <w:t>實作的雙層堆疊</w:t>
      </w:r>
      <w:r w:rsidRPr="009015EC">
        <w:rPr>
          <w:rFonts w:ascii="Times New Roman" w:eastAsia="標楷體" w:hAnsi="Times New Roman"/>
          <w:sz w:val="24"/>
          <w:lang w:eastAsia="zh-TW"/>
        </w:rPr>
        <w:t xml:space="preserve"> LSTM (Stacked LSTM) </w:t>
      </w:r>
      <w:r w:rsidRPr="009015EC">
        <w:rPr>
          <w:rFonts w:ascii="Times New Roman" w:eastAsia="標楷體" w:hAnsi="Times New Roman" w:hint="eastAsia"/>
          <w:sz w:val="24"/>
          <w:lang w:eastAsia="zh-TW"/>
        </w:rPr>
        <w:t>網路。第一層</w:t>
      </w:r>
      <w:r w:rsidRPr="009015EC">
        <w:rPr>
          <w:rFonts w:ascii="Times New Roman" w:eastAsia="標楷體" w:hAnsi="Times New Roman"/>
          <w:sz w:val="24"/>
          <w:lang w:eastAsia="zh-TW"/>
        </w:rPr>
        <w:t xml:space="preserve"> LSTM </w:t>
      </w:r>
      <w:r w:rsidRPr="009015EC">
        <w:rPr>
          <w:rFonts w:ascii="Times New Roman" w:eastAsia="標楷體" w:hAnsi="Times New Roman" w:hint="eastAsia"/>
          <w:sz w:val="24"/>
          <w:lang w:eastAsia="zh-TW"/>
        </w:rPr>
        <w:t>負責捕捉長短期記憶特徵，第二層則進行特徵降維與趨勢擬合。透過</w:t>
      </w:r>
      <w:r w:rsidRPr="009015EC">
        <w:rPr>
          <w:rFonts w:ascii="Times New Roman" w:eastAsia="標楷體" w:hAnsi="Times New Roman"/>
          <w:sz w:val="24"/>
          <w:lang w:eastAsia="zh-TW"/>
        </w:rPr>
        <w:t xml:space="preserve"> Dropout </w:t>
      </w:r>
      <w:r w:rsidRPr="009015EC">
        <w:rPr>
          <w:rFonts w:ascii="Times New Roman" w:eastAsia="標楷體" w:hAnsi="Times New Roman" w:hint="eastAsia"/>
          <w:sz w:val="24"/>
          <w:lang w:eastAsia="zh-TW"/>
        </w:rPr>
        <w:t>機制的加入，防止模型在訓練集上過擬合</w:t>
      </w:r>
      <w:r w:rsidRPr="009015EC">
        <w:rPr>
          <w:rFonts w:ascii="Times New Roman" w:eastAsia="標楷體" w:hAnsi="Times New Roman"/>
          <w:sz w:val="24"/>
          <w:lang w:eastAsia="zh-TW"/>
        </w:rPr>
        <w:t xml:space="preserve"> (Overfitting)</w:t>
      </w:r>
      <w:r w:rsidRPr="009015EC">
        <w:rPr>
          <w:rFonts w:ascii="Times New Roman" w:eastAsia="標楷體" w:hAnsi="Times New Roman" w:hint="eastAsia"/>
          <w:sz w:val="24"/>
          <w:lang w:eastAsia="zh-TW"/>
        </w:rPr>
        <w:t>，最終輸出次日的收盤價預測值</w:t>
      </w:r>
      <w:r w:rsidRPr="009015EC">
        <w:rPr>
          <w:rFonts w:ascii="Times New Roman" w:eastAsia="標楷體" w:hAnsi="Times New Roman"/>
          <w:sz w:val="24"/>
          <w:lang w:eastAsia="zh-TW"/>
        </w:rPr>
        <w:t xml:space="preserve">  ( </w:t>
      </w:r>
      <m:oMath>
        <m:sSub>
          <m:sSubPr>
            <m:ctrlPr>
              <w:rPr>
                <w:rFonts w:ascii="Cambria Math" w:eastAsia="標楷體" w:hAnsi="Cambria Math"/>
                <w:sz w:val="24"/>
                <w:lang w:eastAsia="zh-TW"/>
              </w:rPr>
            </m:ctrlPr>
          </m:sSubPr>
          <m:e>
            <m:r>
              <w:rPr>
                <w:rFonts w:ascii="Cambria Math" w:eastAsia="標楷體" w:hAnsi="Cambria Math"/>
                <w:sz w:val="24"/>
                <w:lang w:eastAsia="zh-TW"/>
              </w:rPr>
              <m:t>Y</m:t>
            </m:r>
          </m:e>
          <m:sub>
            <m:r>
              <w:rPr>
                <w:rFonts w:ascii="Cambria Math" w:eastAsia="標楷體" w:hAnsi="Cambria Math"/>
                <w:sz w:val="24"/>
                <w:lang w:eastAsia="zh-TW"/>
              </w:rPr>
              <m:t>t</m:t>
            </m:r>
            <m:r>
              <m:rPr>
                <m:sty m:val="p"/>
              </m:rPr>
              <w:rPr>
                <w:rFonts w:ascii="Cambria Math" w:eastAsia="標楷體" w:hAnsi="Cambria Math"/>
                <w:sz w:val="24"/>
                <w:lang w:eastAsia="zh-TW"/>
              </w:rPr>
              <m:t>+1</m:t>
            </m:r>
          </m:sub>
        </m:sSub>
        <m:r>
          <m:rPr>
            <m:sty m:val="p"/>
          </m:rPr>
          <w:rPr>
            <w:rFonts w:ascii="Cambria Math" w:eastAsia="標楷體" w:hAnsi="Cambria Math"/>
            <w:sz w:val="24"/>
            <w:lang w:eastAsia="zh-TW"/>
          </w:rPr>
          <m:t xml:space="preserve"> </m:t>
        </m:r>
      </m:oMath>
      <w:r w:rsidRPr="009015EC">
        <w:rPr>
          <w:rFonts w:ascii="Times New Roman" w:eastAsia="標楷體" w:hAnsi="Times New Roman"/>
          <w:sz w:val="24"/>
          <w:lang w:eastAsia="zh-TW"/>
        </w:rPr>
        <w:t>)</w:t>
      </w:r>
    </w:p>
    <w:p w14:paraId="0FACE1B5" w14:textId="224A2E05" w:rsidR="007E1562" w:rsidRDefault="00000000">
      <w:pPr>
        <w:spacing w:before="240"/>
      </w:pPr>
      <w:r>
        <w:rPr>
          <w:rFonts w:ascii="Times New Roman" w:eastAsia="標楷體" w:hAnsi="Times New Roman"/>
          <w:b/>
          <w:sz w:val="26"/>
        </w:rPr>
        <w:t xml:space="preserve">2.3 </w:t>
      </w:r>
      <w:r w:rsidR="00DA3D4A" w:rsidRPr="00DA3D4A">
        <w:rPr>
          <w:rFonts w:ascii="Times New Roman" w:eastAsia="標楷體" w:hAnsi="Times New Roman" w:hint="eastAsia"/>
          <w:b/>
          <w:sz w:val="26"/>
        </w:rPr>
        <w:t>智能風險解讀模組</w:t>
      </w:r>
      <w:r w:rsidR="00DA3D4A" w:rsidRPr="00DA3D4A">
        <w:rPr>
          <w:rFonts w:ascii="Times New Roman" w:eastAsia="標楷體" w:hAnsi="Times New Roman" w:hint="eastAsia"/>
          <w:b/>
          <w:sz w:val="26"/>
        </w:rPr>
        <w:t xml:space="preserve"> (Intelligent Risk Interpretation Module)</w:t>
      </w:r>
    </w:p>
    <w:p w14:paraId="4AA39F2A" w14:textId="77777777" w:rsidR="009015EC" w:rsidRPr="009015EC" w:rsidRDefault="00DA3D4A" w:rsidP="009015EC">
      <w:pPr>
        <w:pStyle w:val="ae"/>
        <w:numPr>
          <w:ilvl w:val="0"/>
          <w:numId w:val="14"/>
        </w:numPr>
        <w:rPr>
          <w:lang w:eastAsia="zh-TW"/>
        </w:rPr>
      </w:pPr>
      <w:r w:rsidRPr="009015EC">
        <w:rPr>
          <w:rFonts w:ascii="Times New Roman" w:eastAsia="標楷體" w:hAnsi="Times New Roman" w:hint="eastAsia"/>
          <w:sz w:val="24"/>
          <w:lang w:eastAsia="zh-TW"/>
        </w:rPr>
        <w:t>本模組旨在解決純量化模型缺乏「可解釋性（</w:t>
      </w:r>
      <w:r w:rsidRPr="009015EC">
        <w:rPr>
          <w:rFonts w:ascii="Times New Roman" w:eastAsia="標楷體" w:hAnsi="Times New Roman" w:hint="eastAsia"/>
          <w:sz w:val="24"/>
          <w:lang w:eastAsia="zh-TW"/>
        </w:rPr>
        <w:t>Explainability</w:t>
      </w:r>
      <w:r w:rsidRPr="009015EC">
        <w:rPr>
          <w:rFonts w:ascii="Times New Roman" w:eastAsia="標楷體" w:hAnsi="Times New Roman" w:hint="eastAsia"/>
          <w:sz w:val="24"/>
          <w:lang w:eastAsia="zh-TW"/>
        </w:rPr>
        <w:t>）」的問題，透過生成式</w:t>
      </w:r>
      <w:r w:rsidRPr="009015EC">
        <w:rPr>
          <w:rFonts w:ascii="Times New Roman" w:eastAsia="標楷體" w:hAnsi="Times New Roman" w:hint="eastAsia"/>
          <w:sz w:val="24"/>
          <w:lang w:eastAsia="zh-TW"/>
        </w:rPr>
        <w:t xml:space="preserve"> AI </w:t>
      </w:r>
      <w:r w:rsidRPr="009015EC">
        <w:rPr>
          <w:rFonts w:ascii="Times New Roman" w:eastAsia="標楷體" w:hAnsi="Times New Roman" w:hint="eastAsia"/>
          <w:sz w:val="24"/>
          <w:lang w:eastAsia="zh-TW"/>
        </w:rPr>
        <w:t>技術提供質化分析</w:t>
      </w:r>
      <w:r w:rsidRPr="009015EC">
        <w:rPr>
          <w:rFonts w:ascii="Times New Roman" w:eastAsia="標楷體" w:hAnsi="Times New Roman"/>
          <w:sz w:val="24"/>
          <w:lang w:eastAsia="zh-TW"/>
        </w:rPr>
        <w:t>。</w:t>
      </w:r>
      <w:r w:rsidRPr="009015EC">
        <w:rPr>
          <w:rFonts w:ascii="Times New Roman" w:eastAsia="標楷體" w:hAnsi="Times New Roman"/>
          <w:sz w:val="24"/>
          <w:lang w:eastAsia="zh-TW"/>
        </w:rPr>
        <w:br/>
      </w:r>
      <w:r w:rsidRPr="009015EC">
        <w:rPr>
          <w:rFonts w:ascii="標楷體" w:eastAsia="標楷體" w:hAnsi="標楷體" w:hint="eastAsia"/>
          <w:sz w:val="24"/>
          <w:lang w:eastAsia="zh-TW"/>
        </w:rPr>
        <w:t>LLM 整合介面：本系統串接 OpenAI API，導入 GPT-4 模型作為語意推論引擎。</w:t>
      </w:r>
    </w:p>
    <w:p w14:paraId="143C8F0E" w14:textId="77777777" w:rsidR="009015EC" w:rsidRPr="009015EC" w:rsidRDefault="00DA3D4A" w:rsidP="009015EC">
      <w:pPr>
        <w:pStyle w:val="ae"/>
        <w:numPr>
          <w:ilvl w:val="0"/>
          <w:numId w:val="14"/>
        </w:numPr>
        <w:rPr>
          <w:lang w:eastAsia="zh-TW"/>
        </w:rPr>
      </w:pPr>
      <w:r w:rsidRPr="009015EC">
        <w:rPr>
          <w:rFonts w:ascii="Times New Roman" w:eastAsia="標楷體" w:hAnsi="Times New Roman" w:hint="eastAsia"/>
          <w:sz w:val="24"/>
          <w:lang w:eastAsia="zh-TW"/>
        </w:rPr>
        <w:t>動態提示工程</w:t>
      </w:r>
      <w:r w:rsidRPr="009015EC">
        <w:rPr>
          <w:rFonts w:ascii="Times New Roman" w:eastAsia="標楷體" w:hAnsi="Times New Roman"/>
          <w:sz w:val="24"/>
          <w:lang w:eastAsia="zh-TW"/>
        </w:rPr>
        <w:t xml:space="preserve"> (Dynamic Prompting)</w:t>
      </w:r>
      <w:r w:rsidRPr="009015EC">
        <w:rPr>
          <w:rFonts w:ascii="Times New Roman" w:eastAsia="標楷體" w:hAnsi="Times New Roman" w:hint="eastAsia"/>
          <w:sz w:val="24"/>
          <w:lang w:eastAsia="zh-TW"/>
        </w:rPr>
        <w:t>：系統設計了一套模板化的</w:t>
      </w:r>
      <w:r w:rsidRPr="009015EC">
        <w:rPr>
          <w:rFonts w:ascii="Times New Roman" w:eastAsia="標楷體" w:hAnsi="Times New Roman"/>
          <w:sz w:val="24"/>
          <w:lang w:eastAsia="zh-TW"/>
        </w:rPr>
        <w:t xml:space="preserve"> Prompt </w:t>
      </w:r>
      <w:r w:rsidRPr="009015EC">
        <w:rPr>
          <w:rFonts w:ascii="Times New Roman" w:eastAsia="標楷體" w:hAnsi="Times New Roman" w:hint="eastAsia"/>
          <w:sz w:val="24"/>
          <w:lang w:eastAsia="zh-TW"/>
        </w:rPr>
        <w:t>結構。當偵測模組產出預測數值（如：</w:t>
      </w:r>
      <w:r w:rsidRPr="009015EC">
        <w:rPr>
          <w:rFonts w:ascii="Times New Roman" w:eastAsia="標楷體" w:hAnsi="Times New Roman"/>
          <w:sz w:val="24"/>
          <w:lang w:eastAsia="zh-TW"/>
        </w:rPr>
        <w:t xml:space="preserve">KRBN </w:t>
      </w:r>
      <w:r w:rsidRPr="009015EC">
        <w:rPr>
          <w:rFonts w:ascii="Times New Roman" w:eastAsia="標楷體" w:hAnsi="Times New Roman" w:hint="eastAsia"/>
          <w:sz w:val="24"/>
          <w:lang w:eastAsia="zh-TW"/>
        </w:rPr>
        <w:t>預測上漲機率</w:t>
      </w:r>
      <w:r w:rsidRPr="009015EC">
        <w:rPr>
          <w:rFonts w:ascii="Times New Roman" w:eastAsia="標楷體" w:hAnsi="Times New Roman"/>
          <w:sz w:val="24"/>
          <w:lang w:eastAsia="zh-TW"/>
        </w:rPr>
        <w:t xml:space="preserve"> 85%</w:t>
      </w:r>
      <w:r w:rsidRPr="009015EC">
        <w:rPr>
          <w:rFonts w:ascii="Times New Roman" w:eastAsia="標楷體" w:hAnsi="Times New Roman" w:hint="eastAsia"/>
          <w:sz w:val="24"/>
          <w:lang w:eastAsia="zh-TW"/>
        </w:rPr>
        <w:t>）與技術指標狀態（如：</w:t>
      </w:r>
      <w:r w:rsidRPr="009015EC">
        <w:rPr>
          <w:rFonts w:ascii="Times New Roman" w:eastAsia="標楷體" w:hAnsi="Times New Roman"/>
          <w:sz w:val="24"/>
          <w:lang w:eastAsia="zh-TW"/>
        </w:rPr>
        <w:t>RSI &gt; 70</w:t>
      </w:r>
      <w:r w:rsidRPr="009015EC">
        <w:rPr>
          <w:rFonts w:ascii="Times New Roman" w:eastAsia="標楷體" w:hAnsi="Times New Roman" w:hint="eastAsia"/>
          <w:sz w:val="24"/>
          <w:lang w:eastAsia="zh-TW"/>
        </w:rPr>
        <w:t>）後，程式會將這些參數動態填入</w:t>
      </w:r>
      <w:r w:rsidRPr="009015EC">
        <w:rPr>
          <w:rFonts w:ascii="Times New Roman" w:eastAsia="標楷體" w:hAnsi="Times New Roman"/>
          <w:sz w:val="24"/>
          <w:lang w:eastAsia="zh-TW"/>
        </w:rPr>
        <w:t xml:space="preserve"> Prompt </w:t>
      </w:r>
      <w:r w:rsidRPr="009015EC">
        <w:rPr>
          <w:rFonts w:ascii="Times New Roman" w:eastAsia="標楷體" w:hAnsi="Times New Roman" w:hint="eastAsia"/>
          <w:sz w:val="24"/>
          <w:lang w:eastAsia="zh-TW"/>
        </w:rPr>
        <w:t>模板中，並限制</w:t>
      </w:r>
      <w:r w:rsidRPr="009015EC">
        <w:rPr>
          <w:rFonts w:ascii="Times New Roman" w:eastAsia="標楷體" w:hAnsi="Times New Roman"/>
          <w:sz w:val="24"/>
          <w:lang w:eastAsia="zh-TW"/>
        </w:rPr>
        <w:t xml:space="preserve"> AI </w:t>
      </w:r>
      <w:r w:rsidRPr="009015EC">
        <w:rPr>
          <w:rFonts w:ascii="Times New Roman" w:eastAsia="標楷體" w:hAnsi="Times New Roman" w:hint="eastAsia"/>
          <w:sz w:val="24"/>
          <w:lang w:eastAsia="zh-TW"/>
        </w:rPr>
        <w:t>需以「金融風險分析師」的角度，輸出包含市場情緒、潛在風險與操作建議的結構化文本</w:t>
      </w:r>
      <w:r w:rsidRPr="009015EC">
        <w:rPr>
          <w:rFonts w:ascii="Times New Roman" w:eastAsia="標楷體" w:hAnsi="Times New Roman"/>
          <w:sz w:val="24"/>
          <w:lang w:eastAsia="zh-TW"/>
        </w:rPr>
        <w:t>。</w:t>
      </w:r>
    </w:p>
    <w:p w14:paraId="765BA788" w14:textId="1A7EF9A9" w:rsidR="007E1562" w:rsidRDefault="00DA3D4A" w:rsidP="009015EC">
      <w:pPr>
        <w:pStyle w:val="ae"/>
        <w:numPr>
          <w:ilvl w:val="0"/>
          <w:numId w:val="14"/>
        </w:numPr>
        <w:rPr>
          <w:lang w:eastAsia="zh-TW"/>
        </w:rPr>
      </w:pPr>
      <w:r w:rsidRPr="009015EC">
        <w:rPr>
          <w:rFonts w:ascii="Times New Roman" w:eastAsia="標楷體" w:hAnsi="Times New Roman" w:hint="eastAsia"/>
          <w:sz w:val="24"/>
          <w:lang w:eastAsia="zh-TW"/>
        </w:rPr>
        <w:t>因果邏輯推演：模組被設定為需特別關注「碳價」與「企業營運成本」之間的關聯，針對兩者走勢的背離或同步現象生成警示摘要</w:t>
      </w:r>
      <w:r w:rsidRPr="009015EC">
        <w:rPr>
          <w:rFonts w:ascii="Times New Roman" w:eastAsia="標楷體" w:hAnsi="Times New Roman"/>
          <w:sz w:val="24"/>
          <w:lang w:eastAsia="zh-TW"/>
        </w:rPr>
        <w:t>。</w:t>
      </w:r>
    </w:p>
    <w:p w14:paraId="3536F0E3" w14:textId="11622B31" w:rsidR="007E1562" w:rsidRPr="00D53C80" w:rsidRDefault="00D53C80" w:rsidP="00D53C80">
      <w:pPr>
        <w:rPr>
          <w:rFonts w:ascii="Times New Roman" w:eastAsia="標楷體" w:hAnsi="Times New Roman"/>
          <w:b/>
          <w:sz w:val="26"/>
          <w:lang w:eastAsia="zh-TW"/>
        </w:rPr>
      </w:pPr>
      <w:r>
        <w:rPr>
          <w:rFonts w:ascii="Times New Roman" w:eastAsia="標楷體" w:hAnsi="Times New Roman"/>
          <w:b/>
          <w:sz w:val="26"/>
          <w:lang w:eastAsia="zh-TW"/>
        </w:rPr>
        <w:br w:type="page"/>
      </w:r>
      <w:r w:rsidR="00000000">
        <w:rPr>
          <w:rFonts w:ascii="Times New Roman" w:eastAsia="標楷體" w:hAnsi="Times New Roman"/>
          <w:b/>
          <w:sz w:val="26"/>
          <w:lang w:eastAsia="zh-TW"/>
        </w:rPr>
        <w:lastRenderedPageBreak/>
        <w:t xml:space="preserve">2.4 </w:t>
      </w:r>
      <w:r w:rsidR="00C00DE4" w:rsidRPr="00C00DE4">
        <w:rPr>
          <w:rFonts w:ascii="Times New Roman" w:eastAsia="標楷體" w:hAnsi="Times New Roman" w:hint="eastAsia"/>
          <w:b/>
          <w:sz w:val="26"/>
          <w:lang w:eastAsia="zh-TW"/>
        </w:rPr>
        <w:t>協同運作機制</w:t>
      </w:r>
      <w:r w:rsidR="00C00DE4" w:rsidRPr="00C00DE4">
        <w:rPr>
          <w:rFonts w:ascii="Times New Roman" w:eastAsia="標楷體" w:hAnsi="Times New Roman" w:hint="eastAsia"/>
          <w:b/>
          <w:sz w:val="26"/>
          <w:lang w:eastAsia="zh-TW"/>
        </w:rPr>
        <w:t xml:space="preserve"> (Integration Mechanism</w:t>
      </w:r>
      <w:r w:rsidR="00000000">
        <w:rPr>
          <w:rFonts w:ascii="Times New Roman" w:eastAsia="標楷體" w:hAnsi="Times New Roman"/>
          <w:b/>
          <w:sz w:val="26"/>
          <w:lang w:eastAsia="zh-TW"/>
        </w:rPr>
        <w:t>)</w:t>
      </w:r>
    </w:p>
    <w:p w14:paraId="17C3FE46" w14:textId="44031532" w:rsidR="007E1562" w:rsidRDefault="00C00DE4">
      <w:pPr>
        <w:rPr>
          <w:lang w:eastAsia="zh-TW"/>
        </w:rPr>
      </w:pPr>
      <w:r w:rsidRPr="00C00DE4">
        <w:rPr>
          <w:rFonts w:ascii="Times New Roman" w:eastAsia="標楷體" w:hAnsi="Times New Roman" w:hint="eastAsia"/>
          <w:sz w:val="24"/>
          <w:lang w:eastAsia="zh-TW"/>
        </w:rPr>
        <w:t>本系統的創新之處在於結合了數值預測與文本生成的協同機制。系統設定了波動率閾值（</w:t>
      </w:r>
      <w:r w:rsidRPr="00C00DE4">
        <w:rPr>
          <w:rFonts w:ascii="Times New Roman" w:eastAsia="標楷體" w:hAnsi="Times New Roman"/>
          <w:sz w:val="24"/>
          <w:lang w:eastAsia="zh-TW"/>
        </w:rPr>
        <w:t>Volatility Threshold</w:t>
      </w:r>
      <w:r w:rsidRPr="00C00DE4">
        <w:rPr>
          <w:rFonts w:ascii="Times New Roman" w:eastAsia="標楷體" w:hAnsi="Times New Roman" w:hint="eastAsia"/>
          <w:sz w:val="24"/>
          <w:lang w:eastAsia="zh-TW"/>
        </w:rPr>
        <w:t>），當趨勢偵測模組偵測到</w:t>
      </w:r>
      <w:r w:rsidRPr="00C00DE4">
        <w:rPr>
          <w:rFonts w:ascii="Times New Roman" w:eastAsia="標楷體" w:hAnsi="Times New Roman"/>
          <w:sz w:val="24"/>
          <w:lang w:eastAsia="zh-TW"/>
        </w:rPr>
        <w:t xml:space="preserve"> KRBN </w:t>
      </w:r>
      <w:r w:rsidRPr="00C00DE4">
        <w:rPr>
          <w:rFonts w:ascii="Times New Roman" w:eastAsia="標楷體" w:hAnsi="Times New Roman" w:hint="eastAsia"/>
          <w:sz w:val="24"/>
          <w:lang w:eastAsia="zh-TW"/>
        </w:rPr>
        <w:t>的預測波動幅度超過標準差的</w:t>
      </w:r>
      <w:r w:rsidRPr="00C00DE4">
        <w:rPr>
          <w:rFonts w:ascii="Times New Roman" w:eastAsia="標楷體" w:hAnsi="Times New Roman"/>
          <w:sz w:val="24"/>
          <w:lang w:eastAsia="zh-TW"/>
        </w:rPr>
        <w:t xml:space="preserve"> 2 </w:t>
      </w:r>
      <w:r w:rsidRPr="00C00DE4">
        <w:rPr>
          <w:rFonts w:ascii="Times New Roman" w:eastAsia="標楷體" w:hAnsi="Times New Roman" w:hint="eastAsia"/>
          <w:sz w:val="24"/>
          <w:lang w:eastAsia="zh-TW"/>
        </w:rPr>
        <w:t>倍時，將自動觸發風險解讀模組介入，針對該異常事件生成專屬的警示報告。此機制確保了系統運算的資源效率，僅在市場出現關鍵轉折時提供深度解讀，實現了自動化的風險監控</w:t>
      </w:r>
      <w:r>
        <w:rPr>
          <w:rFonts w:ascii="Times New Roman" w:eastAsia="標楷體" w:hAnsi="Times New Roman"/>
          <w:sz w:val="24"/>
          <w:lang w:eastAsia="zh-TW"/>
        </w:rPr>
        <w:t>。</w:t>
      </w:r>
    </w:p>
    <w:p w14:paraId="54FE73AF" w14:textId="77777777" w:rsidR="007E1562" w:rsidRDefault="00000000">
      <w:pPr>
        <w:spacing w:before="240"/>
        <w:rPr>
          <w:lang w:eastAsia="zh-TW"/>
        </w:rPr>
      </w:pPr>
      <w:r>
        <w:rPr>
          <w:rFonts w:ascii="Times New Roman" w:eastAsia="標楷體" w:hAnsi="Times New Roman"/>
          <w:b/>
          <w:sz w:val="28"/>
          <w:lang w:eastAsia="zh-TW"/>
        </w:rPr>
        <w:t xml:space="preserve">3. </w:t>
      </w:r>
      <w:r>
        <w:rPr>
          <w:rFonts w:ascii="Times New Roman" w:eastAsia="標楷體" w:hAnsi="Times New Roman"/>
          <w:b/>
          <w:sz w:val="28"/>
          <w:lang w:eastAsia="zh-TW"/>
        </w:rPr>
        <w:t>實驗與測試成果</w:t>
      </w:r>
    </w:p>
    <w:p w14:paraId="40A8D984" w14:textId="666FA8A8" w:rsidR="007E1562" w:rsidRDefault="00000000">
      <w:pPr>
        <w:rPr>
          <w:lang w:eastAsia="zh-TW"/>
        </w:rPr>
      </w:pPr>
      <w:r>
        <w:rPr>
          <w:rFonts w:ascii="Times New Roman" w:eastAsia="標楷體" w:hAnsi="Times New Roman"/>
          <w:sz w:val="24"/>
          <w:lang w:eastAsia="zh-TW"/>
        </w:rPr>
        <w:t>本研究</w:t>
      </w:r>
      <w:r w:rsidR="001C0AD2" w:rsidRPr="001C0AD2">
        <w:rPr>
          <w:rFonts w:ascii="Times New Roman" w:eastAsia="標楷體" w:hAnsi="Times New Roman" w:hint="eastAsia"/>
          <w:sz w:val="24"/>
          <w:lang w:eastAsia="zh-TW"/>
        </w:rPr>
        <w:t>使用</w:t>
      </w:r>
      <w:r w:rsidR="001C0AD2" w:rsidRPr="001C0AD2">
        <w:rPr>
          <w:rFonts w:ascii="Times New Roman" w:eastAsia="標楷體" w:hAnsi="Times New Roman"/>
          <w:sz w:val="24"/>
          <w:lang w:eastAsia="zh-TW"/>
        </w:rPr>
        <w:t xml:space="preserve"> 2010 </w:t>
      </w:r>
      <w:r w:rsidR="001C0AD2" w:rsidRPr="001C0AD2">
        <w:rPr>
          <w:rFonts w:ascii="Times New Roman" w:eastAsia="標楷體" w:hAnsi="Times New Roman" w:hint="eastAsia"/>
          <w:sz w:val="24"/>
          <w:lang w:eastAsia="zh-TW"/>
        </w:rPr>
        <w:t>年至</w:t>
      </w:r>
      <w:r w:rsidR="001C0AD2" w:rsidRPr="001C0AD2">
        <w:rPr>
          <w:rFonts w:ascii="Times New Roman" w:eastAsia="標楷體" w:hAnsi="Times New Roman"/>
          <w:sz w:val="24"/>
          <w:lang w:eastAsia="zh-TW"/>
        </w:rPr>
        <w:t xml:space="preserve"> 2025 </w:t>
      </w:r>
      <w:r w:rsidR="001C0AD2" w:rsidRPr="001C0AD2">
        <w:rPr>
          <w:rFonts w:ascii="Times New Roman" w:eastAsia="標楷體" w:hAnsi="Times New Roman" w:hint="eastAsia"/>
          <w:sz w:val="24"/>
          <w:lang w:eastAsia="zh-TW"/>
        </w:rPr>
        <w:t>年之歷史市場數據進行回測驗證，評估指標包含</w:t>
      </w:r>
      <w:r w:rsidR="001C0AD2" w:rsidRPr="001C0AD2">
        <w:rPr>
          <w:rFonts w:ascii="Times New Roman" w:eastAsia="標楷體" w:hAnsi="Times New Roman"/>
          <w:sz w:val="24"/>
          <w:lang w:eastAsia="zh-TW"/>
        </w:rPr>
        <w:t xml:space="preserve"> F1-Score </w:t>
      </w:r>
      <w:r w:rsidR="001C0AD2" w:rsidRPr="001C0AD2">
        <w:rPr>
          <w:rFonts w:ascii="Times New Roman" w:eastAsia="標楷體" w:hAnsi="Times New Roman" w:hint="eastAsia"/>
          <w:sz w:val="24"/>
          <w:lang w:eastAsia="zh-TW"/>
        </w:rPr>
        <w:t>與混淆矩陣分析</w:t>
      </w:r>
      <w:r>
        <w:rPr>
          <w:rFonts w:ascii="Times New Roman" w:eastAsia="標楷體" w:hAnsi="Times New Roman"/>
          <w:sz w:val="24"/>
          <w:lang w:eastAsia="zh-TW"/>
        </w:rPr>
        <w:t>。</w:t>
      </w:r>
    </w:p>
    <w:p w14:paraId="28AD67BC" w14:textId="69685417" w:rsidR="007E1562" w:rsidRDefault="00000000">
      <w:pPr>
        <w:spacing w:before="240"/>
        <w:rPr>
          <w:lang w:eastAsia="zh-TW"/>
        </w:rPr>
      </w:pPr>
      <w:r>
        <w:rPr>
          <w:rFonts w:ascii="Times New Roman" w:eastAsia="標楷體" w:hAnsi="Times New Roman"/>
          <w:b/>
          <w:sz w:val="26"/>
          <w:lang w:eastAsia="zh-TW"/>
        </w:rPr>
        <w:t xml:space="preserve">3.1 </w:t>
      </w:r>
      <w:r>
        <w:rPr>
          <w:rFonts w:ascii="Times New Roman" w:eastAsia="標楷體" w:hAnsi="Times New Roman"/>
          <w:b/>
          <w:sz w:val="26"/>
          <w:lang w:eastAsia="zh-TW"/>
        </w:rPr>
        <w:t>模型效能</w:t>
      </w:r>
      <w:r w:rsidR="001C0AD2">
        <w:rPr>
          <w:rFonts w:ascii="Times New Roman" w:eastAsia="標楷體" w:hAnsi="Times New Roman" w:hint="eastAsia"/>
          <w:b/>
          <w:sz w:val="26"/>
          <w:lang w:eastAsia="zh-TW"/>
        </w:rPr>
        <w:t>評估</w:t>
      </w:r>
    </w:p>
    <w:p w14:paraId="1F71556A" w14:textId="322B98D1" w:rsidR="007E1562" w:rsidRDefault="00A1039A">
      <w:pPr>
        <w:rPr>
          <w:lang w:eastAsia="zh-TW"/>
        </w:rPr>
      </w:pPr>
      <w:r w:rsidRPr="00A1039A">
        <w:rPr>
          <w:rFonts w:ascii="Times New Roman" w:eastAsia="標楷體" w:hAnsi="Times New Roman" w:hint="eastAsia"/>
          <w:sz w:val="24"/>
          <w:lang w:eastAsia="zh-TW"/>
        </w:rPr>
        <w:t>表</w:t>
      </w:r>
      <w:r w:rsidRPr="00A1039A">
        <w:rPr>
          <w:rFonts w:ascii="Times New Roman" w:eastAsia="標楷體" w:hAnsi="Times New Roman"/>
          <w:sz w:val="24"/>
          <w:lang w:eastAsia="zh-TW"/>
        </w:rPr>
        <w:t xml:space="preserve"> 1 </w:t>
      </w:r>
      <w:r w:rsidRPr="00A1039A">
        <w:rPr>
          <w:rFonts w:ascii="Times New Roman" w:eastAsia="標楷體" w:hAnsi="Times New Roman" w:hint="eastAsia"/>
          <w:sz w:val="24"/>
          <w:lang w:eastAsia="zh-TW"/>
        </w:rPr>
        <w:t>展示了不同演算法在雙軌市場的預測表現。實驗結果顯示，在美股市場</w:t>
      </w:r>
      <w:r w:rsidRPr="00A1039A">
        <w:rPr>
          <w:rFonts w:ascii="Times New Roman" w:eastAsia="標楷體" w:hAnsi="Times New Roman"/>
          <w:sz w:val="24"/>
          <w:lang w:eastAsia="zh-TW"/>
        </w:rPr>
        <w:t xml:space="preserve"> (SPY) </w:t>
      </w:r>
      <w:r w:rsidRPr="00A1039A">
        <w:rPr>
          <w:rFonts w:ascii="Times New Roman" w:eastAsia="標楷體" w:hAnsi="Times New Roman" w:hint="eastAsia"/>
          <w:sz w:val="24"/>
          <w:lang w:eastAsia="zh-TW"/>
        </w:rPr>
        <w:t>中，雙層</w:t>
      </w:r>
      <w:r w:rsidRPr="00A1039A">
        <w:rPr>
          <w:rFonts w:ascii="Times New Roman" w:eastAsia="標楷體" w:hAnsi="Times New Roman"/>
          <w:sz w:val="24"/>
          <w:lang w:eastAsia="zh-TW"/>
        </w:rPr>
        <w:t xml:space="preserve"> LSTM </w:t>
      </w:r>
      <w:r w:rsidRPr="00A1039A">
        <w:rPr>
          <w:rFonts w:ascii="Times New Roman" w:eastAsia="標楷體" w:hAnsi="Times New Roman" w:hint="eastAsia"/>
          <w:sz w:val="24"/>
          <w:lang w:eastAsia="zh-TW"/>
        </w:rPr>
        <w:t>架構的</w:t>
      </w:r>
      <w:r w:rsidRPr="00A1039A">
        <w:rPr>
          <w:rFonts w:ascii="Times New Roman" w:eastAsia="標楷體" w:hAnsi="Times New Roman"/>
          <w:sz w:val="24"/>
          <w:lang w:eastAsia="zh-TW"/>
        </w:rPr>
        <w:t xml:space="preserve"> F1-Score </w:t>
      </w:r>
      <w:r w:rsidRPr="00A1039A">
        <w:rPr>
          <w:rFonts w:ascii="Times New Roman" w:eastAsia="標楷體" w:hAnsi="Times New Roman" w:hint="eastAsia"/>
          <w:sz w:val="24"/>
          <w:lang w:eastAsia="zh-TW"/>
        </w:rPr>
        <w:t>達到</w:t>
      </w:r>
      <w:r w:rsidRPr="00A1039A">
        <w:rPr>
          <w:rFonts w:ascii="Times New Roman" w:eastAsia="標楷體" w:hAnsi="Times New Roman"/>
          <w:sz w:val="24"/>
          <w:lang w:eastAsia="zh-TW"/>
        </w:rPr>
        <w:t xml:space="preserve"> 0.733</w:t>
      </w:r>
      <w:r w:rsidRPr="00A1039A">
        <w:rPr>
          <w:rFonts w:ascii="Times New Roman" w:eastAsia="標楷體" w:hAnsi="Times New Roman" w:hint="eastAsia"/>
          <w:sz w:val="24"/>
          <w:lang w:eastAsia="zh-TW"/>
        </w:rPr>
        <w:t>，顯著優於傳統機器學習方法（隨機森林）。然而，在碳權市場</w:t>
      </w:r>
      <w:r w:rsidRPr="00A1039A">
        <w:rPr>
          <w:rFonts w:ascii="Times New Roman" w:eastAsia="標楷體" w:hAnsi="Times New Roman"/>
          <w:sz w:val="24"/>
          <w:lang w:eastAsia="zh-TW"/>
        </w:rPr>
        <w:t xml:space="preserve"> (KRBN) </w:t>
      </w:r>
      <w:r w:rsidRPr="00A1039A">
        <w:rPr>
          <w:rFonts w:ascii="Times New Roman" w:eastAsia="標楷體" w:hAnsi="Times New Roman" w:hint="eastAsia"/>
          <w:sz w:val="24"/>
          <w:lang w:eastAsia="zh-TW"/>
        </w:rPr>
        <w:t>中，各模型的預測準確率普遍下降，雙層</w:t>
      </w:r>
      <w:r w:rsidRPr="00A1039A">
        <w:rPr>
          <w:rFonts w:ascii="Times New Roman" w:eastAsia="標楷體" w:hAnsi="Times New Roman"/>
          <w:sz w:val="24"/>
          <w:lang w:eastAsia="zh-TW"/>
        </w:rPr>
        <w:t xml:space="preserve"> LSTM </w:t>
      </w:r>
      <w:r w:rsidRPr="00A1039A">
        <w:rPr>
          <w:rFonts w:ascii="Times New Roman" w:eastAsia="標楷體" w:hAnsi="Times New Roman" w:hint="eastAsia"/>
          <w:sz w:val="24"/>
          <w:lang w:eastAsia="zh-TW"/>
        </w:rPr>
        <w:t>的</w:t>
      </w:r>
      <w:r w:rsidRPr="00A1039A">
        <w:rPr>
          <w:rFonts w:ascii="Times New Roman" w:eastAsia="標楷體" w:hAnsi="Times New Roman"/>
          <w:sz w:val="24"/>
          <w:lang w:eastAsia="zh-TW"/>
        </w:rPr>
        <w:t xml:space="preserve"> F1-Score </w:t>
      </w:r>
      <w:r w:rsidRPr="00A1039A">
        <w:rPr>
          <w:rFonts w:ascii="Times New Roman" w:eastAsia="標楷體" w:hAnsi="Times New Roman" w:hint="eastAsia"/>
          <w:sz w:val="24"/>
          <w:lang w:eastAsia="zh-TW"/>
        </w:rPr>
        <w:t>僅為</w:t>
      </w:r>
      <w:r w:rsidRPr="00A1039A">
        <w:rPr>
          <w:rFonts w:ascii="Times New Roman" w:eastAsia="標楷體" w:hAnsi="Times New Roman"/>
          <w:sz w:val="24"/>
          <w:lang w:eastAsia="zh-TW"/>
        </w:rPr>
        <w:t xml:space="preserve"> 0.608</w:t>
      </w:r>
      <w:r>
        <w:rPr>
          <w:rFonts w:ascii="Times New Roman" w:eastAsia="標楷體" w:hAnsi="Times New Roman"/>
          <w:sz w:val="24"/>
          <w:lang w:eastAsia="zh-TW"/>
        </w:rPr>
        <w:t>。</w:t>
      </w:r>
    </w:p>
    <w:p w14:paraId="59E68D3C" w14:textId="77777777" w:rsidR="007E1562" w:rsidRDefault="00000000">
      <w:pPr>
        <w:jc w:val="center"/>
      </w:pPr>
      <w:r>
        <w:rPr>
          <w:rFonts w:ascii="Times New Roman" w:eastAsia="標楷體" w:hAnsi="Times New Roman"/>
          <w:b/>
          <w:sz w:val="24"/>
        </w:rPr>
        <w:t>表</w:t>
      </w:r>
      <w:r>
        <w:rPr>
          <w:rFonts w:ascii="Times New Roman" w:eastAsia="標楷體" w:hAnsi="Times New Roman"/>
          <w:b/>
          <w:sz w:val="24"/>
        </w:rPr>
        <w:t xml:space="preserve"> 1</w:t>
      </w:r>
      <w:r>
        <w:rPr>
          <w:rFonts w:ascii="Times New Roman" w:eastAsia="標楷體" w:hAnsi="Times New Roman"/>
          <w:b/>
          <w:sz w:val="24"/>
        </w:rPr>
        <w:t>：各模型於雙軌市場之效能比較</w:t>
      </w:r>
      <w:r>
        <w:rPr>
          <w:rFonts w:ascii="Times New Roman" w:eastAsia="標楷體" w:hAnsi="Times New Roman"/>
          <w:b/>
          <w:sz w:val="24"/>
        </w:rPr>
        <w:t xml:space="preserve"> (F1-Score)</w:t>
      </w:r>
    </w:p>
    <w:tbl>
      <w:tblPr>
        <w:tblStyle w:val="aff2"/>
        <w:tblW w:w="0" w:type="auto"/>
        <w:jc w:val="center"/>
        <w:tblLook w:val="04A0" w:firstRow="1" w:lastRow="0" w:firstColumn="1" w:lastColumn="0" w:noHBand="0" w:noVBand="1"/>
      </w:tblPr>
      <w:tblGrid>
        <w:gridCol w:w="2160"/>
        <w:gridCol w:w="2160"/>
        <w:gridCol w:w="2160"/>
        <w:gridCol w:w="2160"/>
      </w:tblGrid>
      <w:tr w:rsidR="007E1562" w14:paraId="0D919F4D" w14:textId="77777777">
        <w:trPr>
          <w:jc w:val="center"/>
        </w:trPr>
        <w:tc>
          <w:tcPr>
            <w:tcW w:w="2160" w:type="dxa"/>
          </w:tcPr>
          <w:p w14:paraId="7CC52CCE" w14:textId="77777777" w:rsidR="007E1562" w:rsidRDefault="00000000">
            <w:pPr>
              <w:jc w:val="center"/>
            </w:pPr>
            <w:r>
              <w:rPr>
                <w:rFonts w:ascii="Times New Roman" w:eastAsia="標楷體" w:hAnsi="Times New Roman"/>
                <w:b/>
              </w:rPr>
              <w:t>Model</w:t>
            </w:r>
          </w:p>
        </w:tc>
        <w:tc>
          <w:tcPr>
            <w:tcW w:w="2160" w:type="dxa"/>
          </w:tcPr>
          <w:p w14:paraId="3354DE43" w14:textId="77777777" w:rsidR="007E1562" w:rsidRDefault="00000000">
            <w:pPr>
              <w:jc w:val="center"/>
            </w:pPr>
            <w:r>
              <w:rPr>
                <w:rFonts w:ascii="Times New Roman" w:eastAsia="標楷體" w:hAnsi="Times New Roman"/>
                <w:b/>
              </w:rPr>
              <w:t>SPY (</w:t>
            </w:r>
            <w:r>
              <w:rPr>
                <w:rFonts w:ascii="Times New Roman" w:eastAsia="標楷體" w:hAnsi="Times New Roman"/>
                <w:b/>
              </w:rPr>
              <w:t>美股大盤</w:t>
            </w:r>
            <w:r>
              <w:rPr>
                <w:rFonts w:ascii="Times New Roman" w:eastAsia="標楷體" w:hAnsi="Times New Roman"/>
                <w:b/>
              </w:rPr>
              <w:t>)</w:t>
            </w:r>
          </w:p>
        </w:tc>
        <w:tc>
          <w:tcPr>
            <w:tcW w:w="2160" w:type="dxa"/>
          </w:tcPr>
          <w:p w14:paraId="59DF7AE4" w14:textId="77777777" w:rsidR="007E1562" w:rsidRDefault="00000000">
            <w:pPr>
              <w:jc w:val="center"/>
            </w:pPr>
            <w:r>
              <w:rPr>
                <w:rFonts w:ascii="Times New Roman" w:eastAsia="標楷體" w:hAnsi="Times New Roman"/>
                <w:b/>
              </w:rPr>
              <w:t>QQQ (</w:t>
            </w:r>
            <w:r>
              <w:rPr>
                <w:rFonts w:ascii="Times New Roman" w:eastAsia="標楷體" w:hAnsi="Times New Roman"/>
                <w:b/>
              </w:rPr>
              <w:t>科技股</w:t>
            </w:r>
            <w:r>
              <w:rPr>
                <w:rFonts w:ascii="Times New Roman" w:eastAsia="標楷體" w:hAnsi="Times New Roman"/>
                <w:b/>
              </w:rPr>
              <w:t>)</w:t>
            </w:r>
          </w:p>
        </w:tc>
        <w:tc>
          <w:tcPr>
            <w:tcW w:w="2160" w:type="dxa"/>
          </w:tcPr>
          <w:p w14:paraId="6D7A72C3" w14:textId="77777777" w:rsidR="007E1562" w:rsidRDefault="00000000">
            <w:pPr>
              <w:jc w:val="center"/>
            </w:pPr>
            <w:r>
              <w:rPr>
                <w:rFonts w:ascii="Times New Roman" w:eastAsia="標楷體" w:hAnsi="Times New Roman"/>
                <w:b/>
              </w:rPr>
              <w:t>KRBN (</w:t>
            </w:r>
            <w:r>
              <w:rPr>
                <w:rFonts w:ascii="Times New Roman" w:eastAsia="標楷體" w:hAnsi="Times New Roman"/>
                <w:b/>
              </w:rPr>
              <w:t>碳權</w:t>
            </w:r>
            <w:r>
              <w:rPr>
                <w:rFonts w:ascii="Times New Roman" w:eastAsia="標楷體" w:hAnsi="Times New Roman"/>
                <w:b/>
              </w:rPr>
              <w:t>)</w:t>
            </w:r>
          </w:p>
        </w:tc>
      </w:tr>
      <w:tr w:rsidR="007E1562" w14:paraId="600DC03C" w14:textId="77777777">
        <w:trPr>
          <w:jc w:val="center"/>
        </w:trPr>
        <w:tc>
          <w:tcPr>
            <w:tcW w:w="2160" w:type="dxa"/>
          </w:tcPr>
          <w:p w14:paraId="2698F536" w14:textId="77777777" w:rsidR="007E1562" w:rsidRDefault="00000000">
            <w:pPr>
              <w:jc w:val="center"/>
            </w:pPr>
            <w:r>
              <w:rPr>
                <w:rFonts w:ascii="Times New Roman" w:eastAsia="標楷體" w:hAnsi="Times New Roman"/>
              </w:rPr>
              <w:t>RandomForest</w:t>
            </w:r>
          </w:p>
        </w:tc>
        <w:tc>
          <w:tcPr>
            <w:tcW w:w="2160" w:type="dxa"/>
          </w:tcPr>
          <w:p w14:paraId="5503E0D9" w14:textId="77777777" w:rsidR="007E1562" w:rsidRDefault="00000000">
            <w:pPr>
              <w:jc w:val="center"/>
            </w:pPr>
            <w:r>
              <w:rPr>
                <w:rFonts w:ascii="Times New Roman" w:eastAsia="標楷體" w:hAnsi="Times New Roman"/>
              </w:rPr>
              <w:t>0.725</w:t>
            </w:r>
          </w:p>
        </w:tc>
        <w:tc>
          <w:tcPr>
            <w:tcW w:w="2160" w:type="dxa"/>
          </w:tcPr>
          <w:p w14:paraId="10D5C292" w14:textId="77777777" w:rsidR="007E1562" w:rsidRDefault="00000000">
            <w:pPr>
              <w:jc w:val="center"/>
            </w:pPr>
            <w:r>
              <w:rPr>
                <w:rFonts w:ascii="Times New Roman" w:eastAsia="標楷體" w:hAnsi="Times New Roman"/>
              </w:rPr>
              <w:t>0.732</w:t>
            </w:r>
          </w:p>
        </w:tc>
        <w:tc>
          <w:tcPr>
            <w:tcW w:w="2160" w:type="dxa"/>
          </w:tcPr>
          <w:p w14:paraId="7396176E" w14:textId="77777777" w:rsidR="007E1562" w:rsidRDefault="00000000">
            <w:pPr>
              <w:jc w:val="center"/>
            </w:pPr>
            <w:r>
              <w:rPr>
                <w:rFonts w:ascii="Times New Roman" w:eastAsia="標楷體" w:hAnsi="Times New Roman"/>
              </w:rPr>
              <w:t>0.585</w:t>
            </w:r>
          </w:p>
        </w:tc>
      </w:tr>
      <w:tr w:rsidR="007E1562" w14:paraId="591FF3E3" w14:textId="77777777">
        <w:trPr>
          <w:jc w:val="center"/>
        </w:trPr>
        <w:tc>
          <w:tcPr>
            <w:tcW w:w="2160" w:type="dxa"/>
          </w:tcPr>
          <w:p w14:paraId="0A949F95" w14:textId="77777777" w:rsidR="007E1562" w:rsidRDefault="00000000">
            <w:pPr>
              <w:jc w:val="center"/>
            </w:pPr>
            <w:r>
              <w:rPr>
                <w:rFonts w:ascii="Times New Roman" w:eastAsia="標楷體" w:hAnsi="Times New Roman"/>
              </w:rPr>
              <w:t>SingleLayerLSTM</w:t>
            </w:r>
          </w:p>
        </w:tc>
        <w:tc>
          <w:tcPr>
            <w:tcW w:w="2160" w:type="dxa"/>
          </w:tcPr>
          <w:p w14:paraId="02BACC2F" w14:textId="77777777" w:rsidR="007E1562" w:rsidRDefault="00000000">
            <w:pPr>
              <w:jc w:val="center"/>
            </w:pPr>
            <w:r>
              <w:rPr>
                <w:rFonts w:ascii="Times New Roman" w:eastAsia="標楷體" w:hAnsi="Times New Roman"/>
              </w:rPr>
              <w:t>0.728</w:t>
            </w:r>
          </w:p>
        </w:tc>
        <w:tc>
          <w:tcPr>
            <w:tcW w:w="2160" w:type="dxa"/>
          </w:tcPr>
          <w:p w14:paraId="5337CB44" w14:textId="77777777" w:rsidR="007E1562" w:rsidRDefault="00000000">
            <w:pPr>
              <w:jc w:val="center"/>
            </w:pPr>
            <w:r>
              <w:rPr>
                <w:rFonts w:ascii="Times New Roman" w:eastAsia="標楷體" w:hAnsi="Times New Roman"/>
              </w:rPr>
              <w:t>0.722</w:t>
            </w:r>
          </w:p>
        </w:tc>
        <w:tc>
          <w:tcPr>
            <w:tcW w:w="2160" w:type="dxa"/>
          </w:tcPr>
          <w:p w14:paraId="1E7DBF48" w14:textId="77777777" w:rsidR="007E1562" w:rsidRDefault="00000000">
            <w:pPr>
              <w:jc w:val="center"/>
            </w:pPr>
            <w:r>
              <w:rPr>
                <w:rFonts w:ascii="Times New Roman" w:eastAsia="標楷體" w:hAnsi="Times New Roman"/>
              </w:rPr>
              <w:t>0.612</w:t>
            </w:r>
          </w:p>
        </w:tc>
      </w:tr>
      <w:tr w:rsidR="007E1562" w14:paraId="479B0DF0" w14:textId="77777777">
        <w:trPr>
          <w:jc w:val="center"/>
        </w:trPr>
        <w:tc>
          <w:tcPr>
            <w:tcW w:w="2160" w:type="dxa"/>
          </w:tcPr>
          <w:p w14:paraId="39DC374A" w14:textId="77777777" w:rsidR="007E1562" w:rsidRDefault="00000000">
            <w:pPr>
              <w:jc w:val="center"/>
            </w:pPr>
            <w:r>
              <w:rPr>
                <w:rFonts w:ascii="Times New Roman" w:eastAsia="標楷體" w:hAnsi="Times New Roman"/>
              </w:rPr>
              <w:t>DoubleLayerLSTM</w:t>
            </w:r>
          </w:p>
        </w:tc>
        <w:tc>
          <w:tcPr>
            <w:tcW w:w="2160" w:type="dxa"/>
          </w:tcPr>
          <w:p w14:paraId="5041D3F8" w14:textId="77777777" w:rsidR="007E1562" w:rsidRDefault="00000000">
            <w:pPr>
              <w:jc w:val="center"/>
            </w:pPr>
            <w:r>
              <w:rPr>
                <w:rFonts w:ascii="Times New Roman" w:eastAsia="標楷體" w:hAnsi="Times New Roman"/>
              </w:rPr>
              <w:t>0.733</w:t>
            </w:r>
          </w:p>
        </w:tc>
        <w:tc>
          <w:tcPr>
            <w:tcW w:w="2160" w:type="dxa"/>
          </w:tcPr>
          <w:p w14:paraId="086DB2E1" w14:textId="77777777" w:rsidR="007E1562" w:rsidRDefault="00000000">
            <w:pPr>
              <w:jc w:val="center"/>
            </w:pPr>
            <w:r>
              <w:rPr>
                <w:rFonts w:ascii="Times New Roman" w:eastAsia="標楷體" w:hAnsi="Times New Roman"/>
              </w:rPr>
              <w:t>0.711</w:t>
            </w:r>
          </w:p>
        </w:tc>
        <w:tc>
          <w:tcPr>
            <w:tcW w:w="2160" w:type="dxa"/>
          </w:tcPr>
          <w:p w14:paraId="737416C9" w14:textId="77777777" w:rsidR="007E1562" w:rsidRDefault="00000000">
            <w:pPr>
              <w:jc w:val="center"/>
            </w:pPr>
            <w:r>
              <w:rPr>
                <w:rFonts w:ascii="Times New Roman" w:eastAsia="標楷體" w:hAnsi="Times New Roman"/>
              </w:rPr>
              <w:t>0.608</w:t>
            </w:r>
          </w:p>
        </w:tc>
      </w:tr>
    </w:tbl>
    <w:p w14:paraId="22727FD7" w14:textId="77777777" w:rsidR="007E1562" w:rsidRDefault="007E1562"/>
    <w:p w14:paraId="1D9F11CE" w14:textId="7B2B9944" w:rsidR="007E1562" w:rsidRDefault="00000000">
      <w:pPr>
        <w:spacing w:before="240"/>
        <w:rPr>
          <w:lang w:eastAsia="zh-TW"/>
        </w:rPr>
      </w:pPr>
      <w:r>
        <w:rPr>
          <w:rFonts w:ascii="Times New Roman" w:eastAsia="標楷體" w:hAnsi="Times New Roman"/>
          <w:b/>
          <w:sz w:val="26"/>
          <w:lang w:eastAsia="zh-TW"/>
        </w:rPr>
        <w:t xml:space="preserve">3.2 </w:t>
      </w:r>
      <w:r w:rsidR="00A1039A" w:rsidRPr="00A1039A">
        <w:rPr>
          <w:rFonts w:ascii="Times New Roman" w:eastAsia="標楷體" w:hAnsi="Times New Roman" w:hint="eastAsia"/>
          <w:b/>
          <w:sz w:val="26"/>
          <w:lang w:eastAsia="zh-TW"/>
        </w:rPr>
        <w:t>跨資產泛化能力差異之探討</w:t>
      </w:r>
    </w:p>
    <w:p w14:paraId="125E4AFA" w14:textId="77777777" w:rsidR="00281F0F" w:rsidRDefault="00017879">
      <w:pPr>
        <w:rPr>
          <w:rFonts w:ascii="Times New Roman" w:eastAsia="標楷體" w:hAnsi="Times New Roman"/>
          <w:sz w:val="24"/>
          <w:lang w:eastAsia="zh-TW"/>
        </w:rPr>
      </w:pPr>
      <w:r w:rsidRPr="00017879">
        <w:rPr>
          <w:rFonts w:ascii="Times New Roman" w:eastAsia="標楷體" w:hAnsi="Times New Roman" w:hint="eastAsia"/>
          <w:sz w:val="24"/>
          <w:lang w:eastAsia="zh-TW"/>
        </w:rPr>
        <w:t>針對模型在碳權市場</w:t>
      </w:r>
      <w:r w:rsidRPr="00017879">
        <w:rPr>
          <w:rFonts w:ascii="Times New Roman" w:eastAsia="標楷體" w:hAnsi="Times New Roman"/>
          <w:sz w:val="24"/>
          <w:lang w:eastAsia="zh-TW"/>
        </w:rPr>
        <w:t xml:space="preserve"> (KRBN) </w:t>
      </w:r>
      <w:r w:rsidRPr="00017879">
        <w:rPr>
          <w:rFonts w:ascii="Times New Roman" w:eastAsia="標楷體" w:hAnsi="Times New Roman" w:hint="eastAsia"/>
          <w:sz w:val="24"/>
          <w:lang w:eastAsia="zh-TW"/>
        </w:rPr>
        <w:t>表現不如美股</w:t>
      </w:r>
      <w:r w:rsidRPr="00017879">
        <w:rPr>
          <w:rFonts w:ascii="Times New Roman" w:eastAsia="標楷體" w:hAnsi="Times New Roman"/>
          <w:sz w:val="24"/>
          <w:lang w:eastAsia="zh-TW"/>
        </w:rPr>
        <w:t xml:space="preserve"> (SPY) </w:t>
      </w:r>
      <w:r w:rsidRPr="00017879">
        <w:rPr>
          <w:rFonts w:ascii="Times New Roman" w:eastAsia="標楷體" w:hAnsi="Times New Roman" w:hint="eastAsia"/>
          <w:sz w:val="24"/>
          <w:lang w:eastAsia="zh-TW"/>
        </w:rPr>
        <w:t>的現象（如圖</w:t>
      </w:r>
      <w:r w:rsidRPr="00017879">
        <w:rPr>
          <w:rFonts w:ascii="Times New Roman" w:eastAsia="標楷體" w:hAnsi="Times New Roman"/>
          <w:sz w:val="24"/>
          <w:lang w:eastAsia="zh-TW"/>
        </w:rPr>
        <w:t xml:space="preserve"> 2 </w:t>
      </w:r>
      <w:r w:rsidRPr="00017879">
        <w:rPr>
          <w:rFonts w:ascii="Times New Roman" w:eastAsia="標楷體" w:hAnsi="Times New Roman" w:hint="eastAsia"/>
          <w:sz w:val="24"/>
          <w:lang w:eastAsia="zh-TW"/>
        </w:rPr>
        <w:t>所示），本研究歸納出以下兩點結構性原因：</w:t>
      </w:r>
    </w:p>
    <w:p w14:paraId="72E7AC1F" w14:textId="77777777" w:rsidR="00281F0F" w:rsidRPr="00281F0F" w:rsidRDefault="004826CB" w:rsidP="00281F0F">
      <w:pPr>
        <w:pStyle w:val="ae"/>
        <w:numPr>
          <w:ilvl w:val="0"/>
          <w:numId w:val="15"/>
        </w:numPr>
        <w:rPr>
          <w:lang w:eastAsia="zh-TW"/>
        </w:rPr>
      </w:pPr>
      <w:r w:rsidRPr="00281F0F">
        <w:rPr>
          <w:rFonts w:ascii="Times New Roman" w:eastAsia="標楷體" w:hAnsi="Times New Roman" w:hint="eastAsia"/>
          <w:sz w:val="24"/>
          <w:lang w:eastAsia="zh-TW"/>
        </w:rPr>
        <w:t>市場驅動因子的本質差異：美股</w:t>
      </w:r>
      <w:r w:rsidRPr="00281F0F">
        <w:rPr>
          <w:rFonts w:ascii="Times New Roman" w:eastAsia="標楷體" w:hAnsi="Times New Roman"/>
          <w:sz w:val="24"/>
          <w:lang w:eastAsia="zh-TW"/>
        </w:rPr>
        <w:t xml:space="preserve"> SPY </w:t>
      </w:r>
      <w:r w:rsidRPr="00281F0F">
        <w:rPr>
          <w:rFonts w:ascii="Times New Roman" w:eastAsia="標楷體" w:hAnsi="Times New Roman" w:hint="eastAsia"/>
          <w:sz w:val="24"/>
          <w:lang w:eastAsia="zh-TW"/>
        </w:rPr>
        <w:t>的走勢主要反映企業獲利與總體經濟循環，具備較強的趨勢延續性，利於</w:t>
      </w:r>
      <w:r w:rsidRPr="00281F0F">
        <w:rPr>
          <w:rFonts w:ascii="Times New Roman" w:eastAsia="標楷體" w:hAnsi="Times New Roman"/>
          <w:sz w:val="24"/>
          <w:lang w:eastAsia="zh-TW"/>
        </w:rPr>
        <w:t xml:space="preserve"> LSTM </w:t>
      </w:r>
      <w:r w:rsidRPr="00281F0F">
        <w:rPr>
          <w:rFonts w:ascii="Times New Roman" w:eastAsia="標楷體" w:hAnsi="Times New Roman" w:hint="eastAsia"/>
          <w:sz w:val="24"/>
          <w:lang w:eastAsia="zh-TW"/>
        </w:rPr>
        <w:t>捕捉規律。反觀</w:t>
      </w:r>
      <w:r w:rsidRPr="00281F0F">
        <w:rPr>
          <w:rFonts w:ascii="Times New Roman" w:eastAsia="標楷體" w:hAnsi="Times New Roman"/>
          <w:sz w:val="24"/>
          <w:lang w:eastAsia="zh-TW"/>
        </w:rPr>
        <w:t xml:space="preserve"> KRBN </w:t>
      </w:r>
      <w:r w:rsidRPr="00281F0F">
        <w:rPr>
          <w:rFonts w:ascii="Times New Roman" w:eastAsia="標楷體" w:hAnsi="Times New Roman" w:hint="eastAsia"/>
          <w:sz w:val="24"/>
          <w:lang w:eastAsia="zh-TW"/>
        </w:rPr>
        <w:t>的價格波動高度受控於「政策事件」（如歐盟</w:t>
      </w:r>
      <w:r w:rsidRPr="00281F0F">
        <w:rPr>
          <w:rFonts w:ascii="Times New Roman" w:eastAsia="標楷體" w:hAnsi="Times New Roman"/>
          <w:sz w:val="24"/>
          <w:lang w:eastAsia="zh-TW"/>
        </w:rPr>
        <w:t xml:space="preserve"> ETS </w:t>
      </w:r>
      <w:r w:rsidRPr="00281F0F">
        <w:rPr>
          <w:rFonts w:ascii="Times New Roman" w:eastAsia="標楷體" w:hAnsi="Times New Roman" w:hint="eastAsia"/>
          <w:sz w:val="24"/>
          <w:lang w:eastAsia="zh-TW"/>
        </w:rPr>
        <w:t>法規變更、碳稅政策宣示），這類事</w:t>
      </w:r>
      <w:r w:rsidRPr="00281F0F">
        <w:rPr>
          <w:rFonts w:ascii="Times New Roman" w:eastAsia="標楷體" w:hAnsi="Times New Roman" w:hint="eastAsia"/>
          <w:sz w:val="24"/>
          <w:lang w:eastAsia="zh-TW"/>
        </w:rPr>
        <w:lastRenderedPageBreak/>
        <w:t>件屬於隨機性極高的外部衝擊（</w:t>
      </w:r>
      <w:r w:rsidRPr="00281F0F">
        <w:rPr>
          <w:rFonts w:ascii="Times New Roman" w:eastAsia="標楷體" w:hAnsi="Times New Roman"/>
          <w:sz w:val="24"/>
          <w:lang w:eastAsia="zh-TW"/>
        </w:rPr>
        <w:t>Exogenous Shocks</w:t>
      </w:r>
      <w:r w:rsidRPr="00281F0F">
        <w:rPr>
          <w:rFonts w:ascii="Times New Roman" w:eastAsia="標楷體" w:hAnsi="Times New Roman" w:hint="eastAsia"/>
          <w:sz w:val="24"/>
          <w:lang w:eastAsia="zh-TW"/>
        </w:rPr>
        <w:t>），難以單純透過歷史價格特徵進行預測</w:t>
      </w:r>
      <w:r w:rsidR="00017879" w:rsidRPr="00281F0F">
        <w:rPr>
          <w:rFonts w:ascii="Times New Roman" w:eastAsia="標楷體" w:hAnsi="Times New Roman"/>
          <w:sz w:val="24"/>
          <w:lang w:eastAsia="zh-TW"/>
        </w:rPr>
        <w:t>。</w:t>
      </w:r>
    </w:p>
    <w:p w14:paraId="5579CA29" w14:textId="4026C8B4" w:rsidR="007E1562" w:rsidRDefault="004826CB" w:rsidP="00D53C80">
      <w:pPr>
        <w:pStyle w:val="ae"/>
        <w:numPr>
          <w:ilvl w:val="0"/>
          <w:numId w:val="15"/>
        </w:numPr>
        <w:rPr>
          <w:lang w:eastAsia="zh-TW"/>
        </w:rPr>
      </w:pPr>
      <w:r w:rsidRPr="00281F0F">
        <w:rPr>
          <w:rFonts w:ascii="Times New Roman" w:eastAsia="標楷體" w:hAnsi="Times New Roman" w:hint="eastAsia"/>
          <w:sz w:val="24"/>
          <w:lang w:eastAsia="zh-TW"/>
        </w:rPr>
        <w:t>商品結構造成的雜訊：</w:t>
      </w:r>
      <w:r w:rsidRPr="00281F0F">
        <w:rPr>
          <w:rFonts w:ascii="Times New Roman" w:eastAsia="標楷體" w:hAnsi="Times New Roman"/>
          <w:sz w:val="24"/>
          <w:lang w:eastAsia="zh-TW"/>
        </w:rPr>
        <w:t xml:space="preserve">SPY </w:t>
      </w:r>
      <w:r w:rsidRPr="00281F0F">
        <w:rPr>
          <w:rFonts w:ascii="Times New Roman" w:eastAsia="標楷體" w:hAnsi="Times New Roman" w:hint="eastAsia"/>
          <w:sz w:val="24"/>
          <w:lang w:eastAsia="zh-TW"/>
        </w:rPr>
        <w:t>為現貨</w:t>
      </w:r>
      <w:r w:rsidRPr="00281F0F">
        <w:rPr>
          <w:rFonts w:ascii="Times New Roman" w:eastAsia="標楷體" w:hAnsi="Times New Roman"/>
          <w:sz w:val="24"/>
          <w:lang w:eastAsia="zh-TW"/>
        </w:rPr>
        <w:t xml:space="preserve"> ETF</w:t>
      </w:r>
      <w:r w:rsidRPr="00281F0F">
        <w:rPr>
          <w:rFonts w:ascii="Times New Roman" w:eastAsia="標楷體" w:hAnsi="Times New Roman" w:hint="eastAsia"/>
          <w:sz w:val="24"/>
          <w:lang w:eastAsia="zh-TW"/>
        </w:rPr>
        <w:t>，而</w:t>
      </w:r>
      <w:r w:rsidRPr="00281F0F">
        <w:rPr>
          <w:rFonts w:ascii="Times New Roman" w:eastAsia="標楷體" w:hAnsi="Times New Roman"/>
          <w:sz w:val="24"/>
          <w:lang w:eastAsia="zh-TW"/>
        </w:rPr>
        <w:t xml:space="preserve"> KRBN </w:t>
      </w:r>
      <w:r w:rsidRPr="00281F0F">
        <w:rPr>
          <w:rFonts w:ascii="Times New Roman" w:eastAsia="標楷體" w:hAnsi="Times New Roman" w:hint="eastAsia"/>
          <w:sz w:val="24"/>
          <w:lang w:eastAsia="zh-TW"/>
        </w:rPr>
        <w:t>主要持倉為「碳排放期貨」。期貨合約存在轉倉成本（</w:t>
      </w:r>
      <w:r w:rsidRPr="00281F0F">
        <w:rPr>
          <w:rFonts w:ascii="Times New Roman" w:eastAsia="標楷體" w:hAnsi="Times New Roman"/>
          <w:sz w:val="24"/>
          <w:lang w:eastAsia="zh-TW"/>
        </w:rPr>
        <w:t>Roll Yield</w:t>
      </w:r>
      <w:r w:rsidRPr="00281F0F">
        <w:rPr>
          <w:rFonts w:ascii="Times New Roman" w:eastAsia="標楷體" w:hAnsi="Times New Roman" w:hint="eastAsia"/>
          <w:sz w:val="24"/>
          <w:lang w:eastAsia="zh-TW"/>
        </w:rPr>
        <w:t>）與到期結算效應，這些衍生性商品的特有屬性為價格走勢帶來了額外的非線性雜訊，導致技術分析指標的有</w:t>
      </w:r>
      <w:r w:rsidR="00D53C80">
        <w:rPr>
          <w:rFonts w:ascii="Times New Roman" w:eastAsia="標楷體" w:hAnsi="Times New Roman" w:hint="eastAsia"/>
          <w:sz w:val="24"/>
          <w:lang w:eastAsia="zh-TW"/>
        </w:rPr>
        <w:t>效</w:t>
      </w:r>
      <w:r w:rsidRPr="00281F0F">
        <w:rPr>
          <w:rFonts w:ascii="Times New Roman" w:eastAsia="標楷體" w:hAnsi="Times New Roman" w:hint="eastAsia"/>
          <w:sz w:val="24"/>
          <w:lang w:eastAsia="zh-TW"/>
        </w:rPr>
        <w:t>性降低</w:t>
      </w:r>
      <w:r w:rsidR="00017879" w:rsidRPr="00281F0F">
        <w:rPr>
          <w:rFonts w:ascii="Times New Roman" w:eastAsia="標楷體" w:hAnsi="Times New Roman"/>
          <w:sz w:val="24"/>
          <w:lang w:eastAsia="zh-TW"/>
        </w:rPr>
        <w:t>。</w:t>
      </w:r>
      <w:r w:rsidR="00000000">
        <w:rPr>
          <w:noProof/>
        </w:rPr>
        <w:drawing>
          <wp:inline distT="0" distB="0" distL="0" distR="0" wp14:anchorId="52AA9765" wp14:editId="757EECF5">
            <wp:extent cx="5040000" cy="3259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rf.png"/>
                    <pic:cNvPicPr/>
                  </pic:nvPicPr>
                  <pic:blipFill>
                    <a:blip r:embed="rId9"/>
                    <a:stretch>
                      <a:fillRect/>
                    </a:stretch>
                  </pic:blipFill>
                  <pic:spPr>
                    <a:xfrm>
                      <a:off x="0" y="0"/>
                      <a:ext cx="5040000" cy="3259849"/>
                    </a:xfrm>
                    <a:prstGeom prst="rect">
                      <a:avLst/>
                    </a:prstGeom>
                  </pic:spPr>
                </pic:pic>
              </a:graphicData>
            </a:graphic>
          </wp:inline>
        </w:drawing>
      </w:r>
    </w:p>
    <w:p w14:paraId="3C4D653B" w14:textId="77777777" w:rsidR="007E1562" w:rsidRDefault="00000000">
      <w:pPr>
        <w:spacing w:after="240"/>
        <w:jc w:val="center"/>
        <w:rPr>
          <w:lang w:eastAsia="zh-TW"/>
        </w:rPr>
      </w:pPr>
      <w:r>
        <w:rPr>
          <w:rFonts w:ascii="Times New Roman" w:eastAsia="標楷體" w:hAnsi="Times New Roman"/>
          <w:b/>
          <w:color w:val="000000"/>
          <w:sz w:val="24"/>
          <w:lang w:eastAsia="zh-TW"/>
        </w:rPr>
        <w:t>圖</w:t>
      </w:r>
      <w:r>
        <w:rPr>
          <w:rFonts w:ascii="Times New Roman" w:eastAsia="標楷體" w:hAnsi="Times New Roman"/>
          <w:b/>
          <w:color w:val="000000"/>
          <w:sz w:val="24"/>
          <w:lang w:eastAsia="zh-TW"/>
        </w:rPr>
        <w:t xml:space="preserve"> 2</w:t>
      </w:r>
      <w:r>
        <w:rPr>
          <w:rFonts w:ascii="Times New Roman" w:eastAsia="標楷體" w:hAnsi="Times New Roman"/>
          <w:b/>
          <w:color w:val="000000"/>
          <w:sz w:val="24"/>
          <w:lang w:eastAsia="zh-TW"/>
        </w:rPr>
        <w:t>：</w:t>
      </w:r>
      <w:r>
        <w:rPr>
          <w:rFonts w:ascii="Times New Roman" w:eastAsia="標楷體" w:hAnsi="Times New Roman"/>
          <w:b/>
          <w:color w:val="000000"/>
          <w:sz w:val="24"/>
          <w:lang w:eastAsia="zh-TW"/>
        </w:rPr>
        <w:t xml:space="preserve">DoubleLayerLSTM </w:t>
      </w:r>
      <w:r>
        <w:rPr>
          <w:rFonts w:ascii="Times New Roman" w:eastAsia="標楷體" w:hAnsi="Times New Roman"/>
          <w:b/>
          <w:color w:val="000000"/>
          <w:sz w:val="24"/>
          <w:lang w:eastAsia="zh-TW"/>
        </w:rPr>
        <w:t>於不同市場之效能比較</w:t>
      </w:r>
    </w:p>
    <w:p w14:paraId="00315637" w14:textId="0AC590C9" w:rsidR="007E1562" w:rsidRDefault="00000000">
      <w:pPr>
        <w:spacing w:before="240"/>
        <w:rPr>
          <w:lang w:eastAsia="zh-TW"/>
        </w:rPr>
      </w:pPr>
      <w:r>
        <w:rPr>
          <w:rFonts w:ascii="Times New Roman" w:eastAsia="標楷體" w:hAnsi="Times New Roman"/>
          <w:b/>
          <w:sz w:val="26"/>
          <w:lang w:eastAsia="zh-TW"/>
        </w:rPr>
        <w:t xml:space="preserve">3.3 </w:t>
      </w:r>
      <w:r w:rsidR="00CD10E0" w:rsidRPr="00CD10E0">
        <w:rPr>
          <w:rFonts w:ascii="Times New Roman" w:eastAsia="標楷體" w:hAnsi="Times New Roman" w:hint="eastAsia"/>
          <w:b/>
          <w:sz w:val="26"/>
          <w:lang w:eastAsia="zh-TW"/>
        </w:rPr>
        <w:t>系統整合測試</w:t>
      </w:r>
    </w:p>
    <w:p w14:paraId="77D6CD5D" w14:textId="0691531D" w:rsidR="00281F0F" w:rsidRPr="00281F0F" w:rsidRDefault="00000000" w:rsidP="00281F0F">
      <w:pPr>
        <w:pStyle w:val="ae"/>
        <w:numPr>
          <w:ilvl w:val="0"/>
          <w:numId w:val="16"/>
        </w:numPr>
        <w:rPr>
          <w:lang w:eastAsia="zh-TW"/>
        </w:rPr>
      </w:pPr>
      <w:r w:rsidRPr="00281F0F">
        <w:rPr>
          <w:rFonts w:ascii="Times New Roman" w:eastAsia="標楷體" w:hAnsi="Times New Roman"/>
          <w:sz w:val="24"/>
          <w:lang w:eastAsia="zh-TW"/>
        </w:rPr>
        <w:t>本</w:t>
      </w:r>
      <w:r w:rsidR="00CD10E0" w:rsidRPr="00281F0F">
        <w:rPr>
          <w:rFonts w:ascii="Times New Roman" w:eastAsia="標楷體" w:hAnsi="Times New Roman" w:hint="eastAsia"/>
          <w:sz w:val="24"/>
          <w:lang w:eastAsia="zh-TW"/>
        </w:rPr>
        <w:t>平台已完成全端整合，圖</w:t>
      </w:r>
      <w:r w:rsidR="00CD10E0" w:rsidRPr="00281F0F">
        <w:rPr>
          <w:rFonts w:ascii="Times New Roman" w:eastAsia="標楷體" w:hAnsi="Times New Roman" w:hint="eastAsia"/>
          <w:sz w:val="24"/>
          <w:lang w:eastAsia="zh-TW"/>
        </w:rPr>
        <w:t xml:space="preserve"> 3 </w:t>
      </w:r>
      <w:r w:rsidR="00CD10E0" w:rsidRPr="00281F0F">
        <w:rPr>
          <w:rFonts w:ascii="Times New Roman" w:eastAsia="標楷體" w:hAnsi="Times New Roman" w:hint="eastAsia"/>
          <w:sz w:val="24"/>
          <w:lang w:eastAsia="zh-TW"/>
        </w:rPr>
        <w:t>為使用</w:t>
      </w:r>
      <w:r w:rsidR="00CD10E0" w:rsidRPr="00281F0F">
        <w:rPr>
          <w:rFonts w:ascii="Times New Roman" w:eastAsia="標楷體" w:hAnsi="Times New Roman" w:hint="eastAsia"/>
          <w:sz w:val="24"/>
          <w:lang w:eastAsia="zh-TW"/>
        </w:rPr>
        <w:t xml:space="preserve"> Streamlit </w:t>
      </w:r>
      <w:r w:rsidR="00CD10E0" w:rsidRPr="00281F0F">
        <w:rPr>
          <w:rFonts w:ascii="Times New Roman" w:eastAsia="標楷體" w:hAnsi="Times New Roman" w:hint="eastAsia"/>
          <w:sz w:val="24"/>
          <w:lang w:eastAsia="zh-TW"/>
        </w:rPr>
        <w:t>開發的前端介面實測截圖</w:t>
      </w:r>
      <w:r w:rsidRPr="00281F0F">
        <w:rPr>
          <w:rFonts w:ascii="Times New Roman" w:eastAsia="標楷體" w:hAnsi="Times New Roman"/>
          <w:sz w:val="24"/>
          <w:lang w:eastAsia="zh-TW"/>
        </w:rPr>
        <w:t>。</w:t>
      </w:r>
      <w:r w:rsidRPr="00281F0F">
        <w:rPr>
          <w:rFonts w:ascii="Times New Roman" w:eastAsia="標楷體" w:hAnsi="Times New Roman"/>
          <w:sz w:val="24"/>
          <w:lang w:eastAsia="zh-TW"/>
        </w:rPr>
        <w:br/>
      </w:r>
      <w:r w:rsidRPr="00281F0F">
        <w:rPr>
          <w:rFonts w:ascii="Times New Roman" w:eastAsia="標楷體" w:hAnsi="Times New Roman"/>
          <w:sz w:val="24"/>
          <w:lang w:eastAsia="zh-TW"/>
        </w:rPr>
        <w:t>效能測試：</w:t>
      </w:r>
      <w:r w:rsidR="00CD10E0" w:rsidRPr="00281F0F">
        <w:rPr>
          <w:rFonts w:ascii="Times New Roman" w:eastAsia="標楷體" w:hAnsi="Times New Roman" w:hint="eastAsia"/>
          <w:sz w:val="24"/>
          <w:lang w:eastAsia="zh-TW"/>
        </w:rPr>
        <w:t>在單機環境下測試，系統從</w:t>
      </w:r>
      <w:r w:rsidR="00CD10E0" w:rsidRPr="00281F0F">
        <w:rPr>
          <w:rFonts w:ascii="Times New Roman" w:eastAsia="標楷體" w:hAnsi="Times New Roman"/>
          <w:sz w:val="24"/>
          <w:lang w:eastAsia="zh-TW"/>
        </w:rPr>
        <w:t xml:space="preserve"> SQLite </w:t>
      </w:r>
      <w:r w:rsidR="00CD10E0" w:rsidRPr="00281F0F">
        <w:rPr>
          <w:rFonts w:ascii="Times New Roman" w:eastAsia="標楷體" w:hAnsi="Times New Roman" w:hint="eastAsia"/>
          <w:sz w:val="24"/>
          <w:lang w:eastAsia="zh-TW"/>
        </w:rPr>
        <w:t>讀取數據至前端圖表渲染的平均延遲（</w:t>
      </w:r>
      <w:r w:rsidR="00CD10E0" w:rsidRPr="00281F0F">
        <w:rPr>
          <w:rFonts w:ascii="Times New Roman" w:eastAsia="標楷體" w:hAnsi="Times New Roman"/>
          <w:sz w:val="24"/>
          <w:lang w:eastAsia="zh-TW"/>
        </w:rPr>
        <w:t>Latency</w:t>
      </w:r>
      <w:r w:rsidR="00CD10E0" w:rsidRPr="00281F0F">
        <w:rPr>
          <w:rFonts w:ascii="Times New Roman" w:eastAsia="標楷體" w:hAnsi="Times New Roman" w:hint="eastAsia"/>
          <w:sz w:val="24"/>
          <w:lang w:eastAsia="zh-TW"/>
        </w:rPr>
        <w:t>）低於</w:t>
      </w:r>
      <w:r w:rsidR="00CD10E0" w:rsidRPr="00281F0F">
        <w:rPr>
          <w:rFonts w:ascii="Times New Roman" w:eastAsia="標楷體" w:hAnsi="Times New Roman"/>
          <w:sz w:val="24"/>
          <w:lang w:eastAsia="zh-TW"/>
        </w:rPr>
        <w:t xml:space="preserve"> 1 </w:t>
      </w:r>
      <w:r w:rsidR="00CD10E0" w:rsidRPr="00281F0F">
        <w:rPr>
          <w:rFonts w:ascii="Times New Roman" w:eastAsia="標楷體" w:hAnsi="Times New Roman" w:hint="eastAsia"/>
          <w:sz w:val="24"/>
          <w:lang w:eastAsia="zh-TW"/>
        </w:rPr>
        <w:t>秒，符合即時看盤的使用者體驗要求</w:t>
      </w:r>
      <w:r w:rsidRPr="00281F0F">
        <w:rPr>
          <w:rFonts w:ascii="Times New Roman" w:eastAsia="標楷體" w:hAnsi="Times New Roman"/>
          <w:sz w:val="24"/>
          <w:lang w:eastAsia="zh-TW"/>
        </w:rPr>
        <w:t>。</w:t>
      </w:r>
    </w:p>
    <w:p w14:paraId="7FC51DEB" w14:textId="502D605E" w:rsidR="007E1562" w:rsidRDefault="004D6D04" w:rsidP="00281F0F">
      <w:pPr>
        <w:pStyle w:val="ae"/>
        <w:numPr>
          <w:ilvl w:val="0"/>
          <w:numId w:val="16"/>
        </w:numPr>
        <w:rPr>
          <w:lang w:eastAsia="zh-TW"/>
        </w:rPr>
      </w:pPr>
      <w:r w:rsidRPr="00281F0F">
        <w:rPr>
          <w:rFonts w:ascii="Times New Roman" w:eastAsia="標楷體" w:hAnsi="Times New Roman" w:hint="eastAsia"/>
          <w:sz w:val="24"/>
          <w:lang w:eastAsia="zh-TW"/>
        </w:rPr>
        <w:t>生成內容驗證：實測顯示，當</w:t>
      </w:r>
      <w:r w:rsidRPr="00281F0F">
        <w:rPr>
          <w:rFonts w:ascii="Times New Roman" w:eastAsia="標楷體" w:hAnsi="Times New Roman"/>
          <w:sz w:val="24"/>
          <w:lang w:eastAsia="zh-TW"/>
        </w:rPr>
        <w:t xml:space="preserve"> KRBN </w:t>
      </w:r>
      <w:r w:rsidRPr="00281F0F">
        <w:rPr>
          <w:rFonts w:ascii="Times New Roman" w:eastAsia="標楷體" w:hAnsi="Times New Roman" w:hint="eastAsia"/>
          <w:sz w:val="24"/>
          <w:lang w:eastAsia="zh-TW"/>
        </w:rPr>
        <w:t>出現急跌時，</w:t>
      </w:r>
      <w:r w:rsidRPr="00281F0F">
        <w:rPr>
          <w:rFonts w:ascii="Times New Roman" w:eastAsia="標楷體" w:hAnsi="Times New Roman"/>
          <w:sz w:val="24"/>
          <w:lang w:eastAsia="zh-TW"/>
        </w:rPr>
        <w:t xml:space="preserve">GPT </w:t>
      </w:r>
      <w:r w:rsidRPr="00281F0F">
        <w:rPr>
          <w:rFonts w:ascii="Times New Roman" w:eastAsia="標楷體" w:hAnsi="Times New Roman" w:hint="eastAsia"/>
          <w:sz w:val="24"/>
          <w:lang w:eastAsia="zh-TW"/>
        </w:rPr>
        <w:t>模組能準確讀取</w:t>
      </w:r>
      <w:r w:rsidRPr="00281F0F">
        <w:rPr>
          <w:rFonts w:ascii="Times New Roman" w:eastAsia="標楷體" w:hAnsi="Times New Roman"/>
          <w:sz w:val="24"/>
          <w:lang w:eastAsia="zh-TW"/>
        </w:rPr>
        <w:t xml:space="preserve"> RSI </w:t>
      </w:r>
      <w:r w:rsidRPr="00281F0F">
        <w:rPr>
          <w:rFonts w:ascii="Times New Roman" w:eastAsia="標楷體" w:hAnsi="Times New Roman" w:hint="eastAsia"/>
          <w:sz w:val="24"/>
          <w:lang w:eastAsia="zh-TW"/>
        </w:rPr>
        <w:t>數值，並生成「建議投資人採取避險配置」的文字摘要，驗證了動態</w:t>
      </w:r>
      <w:r w:rsidRPr="00281F0F">
        <w:rPr>
          <w:rFonts w:ascii="Times New Roman" w:eastAsia="標楷體" w:hAnsi="Times New Roman"/>
          <w:sz w:val="24"/>
          <w:lang w:eastAsia="zh-TW"/>
        </w:rPr>
        <w:t xml:space="preserve"> Prompt </w:t>
      </w:r>
      <w:r w:rsidRPr="00281F0F">
        <w:rPr>
          <w:rFonts w:ascii="Times New Roman" w:eastAsia="標楷體" w:hAnsi="Times New Roman" w:hint="eastAsia"/>
          <w:sz w:val="24"/>
          <w:lang w:eastAsia="zh-TW"/>
        </w:rPr>
        <w:t>機制的有效性</w:t>
      </w:r>
      <w:r w:rsidRPr="00281F0F">
        <w:rPr>
          <w:rFonts w:ascii="Times New Roman" w:eastAsia="標楷體" w:hAnsi="Times New Roman"/>
          <w:sz w:val="24"/>
          <w:lang w:eastAsia="zh-TW"/>
        </w:rPr>
        <w:t>。</w:t>
      </w:r>
    </w:p>
    <w:p w14:paraId="4819CB70" w14:textId="41AEA35F" w:rsidR="007E1562" w:rsidRDefault="008F5471">
      <w:pPr>
        <w:jc w:val="center"/>
      </w:pPr>
      <w:r w:rsidRPr="008F5471">
        <w:rPr>
          <w:noProof/>
        </w:rPr>
        <w:lastRenderedPageBreak/>
        <w:drawing>
          <wp:inline distT="0" distB="0" distL="0" distR="0" wp14:anchorId="63BE40D6" wp14:editId="5C11A55E">
            <wp:extent cx="5908964" cy="3256769"/>
            <wp:effectExtent l="0" t="0" r="0" b="1270"/>
            <wp:docPr id="3817689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68900" name=""/>
                    <pic:cNvPicPr/>
                  </pic:nvPicPr>
                  <pic:blipFill>
                    <a:blip r:embed="rId10"/>
                    <a:stretch>
                      <a:fillRect/>
                    </a:stretch>
                  </pic:blipFill>
                  <pic:spPr>
                    <a:xfrm>
                      <a:off x="0" y="0"/>
                      <a:ext cx="5921035" cy="3263422"/>
                    </a:xfrm>
                    <a:prstGeom prst="rect">
                      <a:avLst/>
                    </a:prstGeom>
                  </pic:spPr>
                </pic:pic>
              </a:graphicData>
            </a:graphic>
          </wp:inline>
        </w:drawing>
      </w:r>
    </w:p>
    <w:p w14:paraId="209E74B6" w14:textId="77777777" w:rsidR="007E1562" w:rsidRDefault="00000000">
      <w:pPr>
        <w:spacing w:after="240"/>
        <w:jc w:val="center"/>
        <w:rPr>
          <w:lang w:eastAsia="zh-TW"/>
        </w:rPr>
      </w:pPr>
      <w:r>
        <w:rPr>
          <w:rFonts w:ascii="Times New Roman" w:eastAsia="標楷體" w:hAnsi="Times New Roman"/>
          <w:b/>
          <w:color w:val="000000"/>
          <w:sz w:val="24"/>
          <w:lang w:eastAsia="zh-TW"/>
        </w:rPr>
        <w:t>圖</w:t>
      </w:r>
      <w:r>
        <w:rPr>
          <w:rFonts w:ascii="Times New Roman" w:eastAsia="標楷體" w:hAnsi="Times New Roman"/>
          <w:b/>
          <w:color w:val="000000"/>
          <w:sz w:val="24"/>
          <w:lang w:eastAsia="zh-TW"/>
        </w:rPr>
        <w:t xml:space="preserve"> 3</w:t>
      </w:r>
      <w:r>
        <w:rPr>
          <w:rFonts w:ascii="Times New Roman" w:eastAsia="標楷體" w:hAnsi="Times New Roman"/>
          <w:b/>
          <w:color w:val="000000"/>
          <w:sz w:val="24"/>
          <w:lang w:eastAsia="zh-TW"/>
        </w:rPr>
        <w:t>：</w:t>
      </w:r>
      <w:r>
        <w:rPr>
          <w:rFonts w:ascii="Times New Roman" w:eastAsia="標楷體" w:hAnsi="Times New Roman"/>
          <w:b/>
          <w:color w:val="000000"/>
          <w:sz w:val="24"/>
          <w:lang w:eastAsia="zh-TW"/>
        </w:rPr>
        <w:t xml:space="preserve">AEGIS </w:t>
      </w:r>
      <w:r>
        <w:rPr>
          <w:rFonts w:ascii="Times New Roman" w:eastAsia="標楷體" w:hAnsi="Times New Roman"/>
          <w:b/>
          <w:color w:val="000000"/>
          <w:sz w:val="24"/>
          <w:lang w:eastAsia="zh-TW"/>
        </w:rPr>
        <w:t>系統前端介面展示</w:t>
      </w:r>
    </w:p>
    <w:p w14:paraId="79F0289B" w14:textId="77777777" w:rsidR="007E1562" w:rsidRDefault="00000000">
      <w:pPr>
        <w:spacing w:before="240"/>
        <w:rPr>
          <w:lang w:eastAsia="zh-TW"/>
        </w:rPr>
      </w:pPr>
      <w:r>
        <w:rPr>
          <w:rFonts w:ascii="Times New Roman" w:eastAsia="標楷體" w:hAnsi="Times New Roman"/>
          <w:b/>
          <w:sz w:val="28"/>
          <w:lang w:eastAsia="zh-TW"/>
        </w:rPr>
        <w:t xml:space="preserve">4. </w:t>
      </w:r>
      <w:r>
        <w:rPr>
          <w:rFonts w:ascii="Times New Roman" w:eastAsia="標楷體" w:hAnsi="Times New Roman"/>
          <w:b/>
          <w:sz w:val="28"/>
          <w:lang w:eastAsia="zh-TW"/>
        </w:rPr>
        <w:t>結論</w:t>
      </w:r>
    </w:p>
    <w:p w14:paraId="0D52AEE2" w14:textId="50511B37" w:rsidR="007E1562" w:rsidRDefault="00000000">
      <w:pPr>
        <w:rPr>
          <w:rFonts w:ascii="Times New Roman" w:eastAsia="標楷體" w:hAnsi="Times New Roman"/>
          <w:sz w:val="24"/>
          <w:lang w:eastAsia="zh-TW"/>
        </w:rPr>
      </w:pPr>
      <w:r>
        <w:rPr>
          <w:rFonts w:ascii="Times New Roman" w:eastAsia="標楷體" w:hAnsi="Times New Roman"/>
          <w:sz w:val="24"/>
          <w:lang w:eastAsia="zh-TW"/>
        </w:rPr>
        <w:t>本</w:t>
      </w:r>
      <w:r w:rsidR="00FC12BB" w:rsidRPr="00FC12BB">
        <w:rPr>
          <w:rFonts w:ascii="Times New Roman" w:eastAsia="標楷體" w:hAnsi="Times New Roman" w:hint="eastAsia"/>
          <w:sz w:val="24"/>
          <w:lang w:eastAsia="zh-TW"/>
        </w:rPr>
        <w:t>研究成功設計並實作了一套基於生成式</w:t>
      </w:r>
      <w:r w:rsidR="00FC12BB" w:rsidRPr="00FC12BB">
        <w:rPr>
          <w:rFonts w:ascii="Times New Roman" w:eastAsia="標楷體" w:hAnsi="Times New Roman" w:hint="eastAsia"/>
          <w:sz w:val="24"/>
          <w:lang w:eastAsia="zh-TW"/>
        </w:rPr>
        <w:t xml:space="preserve"> AI </w:t>
      </w:r>
      <w:r w:rsidR="00FC12BB" w:rsidRPr="00FC12BB">
        <w:rPr>
          <w:rFonts w:ascii="Times New Roman" w:eastAsia="標楷體" w:hAnsi="Times New Roman" w:hint="eastAsia"/>
          <w:sz w:val="24"/>
          <w:lang w:eastAsia="zh-TW"/>
        </w:rPr>
        <w:t>的雙軌金融分析平台</w:t>
      </w:r>
      <w:r w:rsidR="00FC12BB" w:rsidRPr="00FC12BB">
        <w:rPr>
          <w:rFonts w:ascii="Times New Roman" w:eastAsia="標楷體" w:hAnsi="Times New Roman" w:hint="eastAsia"/>
          <w:sz w:val="24"/>
          <w:lang w:eastAsia="zh-TW"/>
        </w:rPr>
        <w:t xml:space="preserve"> AEGIS</w:t>
      </w:r>
      <w:r w:rsidR="00FC12BB" w:rsidRPr="00FC12BB">
        <w:rPr>
          <w:rFonts w:ascii="Times New Roman" w:eastAsia="標楷體" w:hAnsi="Times New Roman" w:hint="eastAsia"/>
          <w:sz w:val="24"/>
          <w:lang w:eastAsia="zh-TW"/>
        </w:rPr>
        <w:t>。研究貢獻主要包含以下三點：</w:t>
      </w:r>
    </w:p>
    <w:p w14:paraId="0ABD7499" w14:textId="77777777" w:rsidR="00281F0F" w:rsidRDefault="00FC12BB" w:rsidP="00281F0F">
      <w:pPr>
        <w:pStyle w:val="ae"/>
        <w:numPr>
          <w:ilvl w:val="0"/>
          <w:numId w:val="17"/>
        </w:numPr>
        <w:rPr>
          <w:rFonts w:ascii="Times New Roman" w:eastAsia="標楷體" w:hAnsi="Times New Roman"/>
          <w:sz w:val="24"/>
          <w:lang w:eastAsia="zh-TW"/>
        </w:rPr>
      </w:pPr>
      <w:r w:rsidRPr="00281F0F">
        <w:rPr>
          <w:rFonts w:ascii="Times New Roman" w:eastAsia="標楷體" w:hAnsi="Times New Roman" w:hint="eastAsia"/>
          <w:sz w:val="24"/>
          <w:lang w:eastAsia="zh-TW"/>
        </w:rPr>
        <w:t>系統架構整合：提出了一套結合</w:t>
      </w:r>
      <w:r w:rsidRPr="00281F0F">
        <w:rPr>
          <w:rFonts w:ascii="Times New Roman" w:eastAsia="標楷體" w:hAnsi="Times New Roman"/>
          <w:sz w:val="24"/>
          <w:lang w:eastAsia="zh-TW"/>
        </w:rPr>
        <w:t xml:space="preserve"> LSTM </w:t>
      </w:r>
      <w:r w:rsidRPr="00281F0F">
        <w:rPr>
          <w:rFonts w:ascii="Times New Roman" w:eastAsia="標楷體" w:hAnsi="Times New Roman" w:hint="eastAsia"/>
          <w:sz w:val="24"/>
          <w:lang w:eastAsia="zh-TW"/>
        </w:rPr>
        <w:t>數值預測與</w:t>
      </w:r>
      <w:r w:rsidRPr="00281F0F">
        <w:rPr>
          <w:rFonts w:ascii="Times New Roman" w:eastAsia="標楷體" w:hAnsi="Times New Roman"/>
          <w:sz w:val="24"/>
          <w:lang w:eastAsia="zh-TW"/>
        </w:rPr>
        <w:t xml:space="preserve"> GPT </w:t>
      </w:r>
      <w:r w:rsidRPr="00281F0F">
        <w:rPr>
          <w:rFonts w:ascii="Times New Roman" w:eastAsia="標楷體" w:hAnsi="Times New Roman" w:hint="eastAsia"/>
          <w:sz w:val="24"/>
          <w:lang w:eastAsia="zh-TW"/>
        </w:rPr>
        <w:t>語意分析的協同運作框架，解決了傳統量化投資缺乏可解釋性的痛點。</w:t>
      </w:r>
    </w:p>
    <w:p w14:paraId="150569BC" w14:textId="77777777" w:rsidR="00281F0F" w:rsidRDefault="00FC12BB" w:rsidP="00281F0F">
      <w:pPr>
        <w:pStyle w:val="ae"/>
        <w:numPr>
          <w:ilvl w:val="0"/>
          <w:numId w:val="17"/>
        </w:numPr>
        <w:rPr>
          <w:rFonts w:ascii="Times New Roman" w:eastAsia="標楷體" w:hAnsi="Times New Roman"/>
          <w:sz w:val="24"/>
          <w:lang w:eastAsia="zh-TW"/>
        </w:rPr>
      </w:pPr>
      <w:r w:rsidRPr="00281F0F">
        <w:rPr>
          <w:rFonts w:ascii="Times New Roman" w:eastAsia="標楷體" w:hAnsi="Times New Roman" w:hint="eastAsia"/>
          <w:sz w:val="24"/>
          <w:lang w:eastAsia="zh-TW"/>
        </w:rPr>
        <w:t>實證發現：實驗數據揭示了碳權市場具有高雜訊與政策驅動的特性，指出了將傳統股市預測模型直接遷移至氣候金融領域的限制與挑戰。</w:t>
      </w:r>
    </w:p>
    <w:p w14:paraId="270E0CC9" w14:textId="714F949E" w:rsidR="00FC12BB" w:rsidRPr="00281F0F" w:rsidRDefault="00FC12BB" w:rsidP="00281F0F">
      <w:pPr>
        <w:pStyle w:val="ae"/>
        <w:numPr>
          <w:ilvl w:val="0"/>
          <w:numId w:val="17"/>
        </w:numPr>
        <w:rPr>
          <w:rFonts w:ascii="Times New Roman" w:eastAsia="標楷體" w:hAnsi="Times New Roman"/>
          <w:sz w:val="24"/>
          <w:lang w:eastAsia="zh-TW"/>
        </w:rPr>
      </w:pPr>
      <w:r w:rsidRPr="00281F0F">
        <w:rPr>
          <w:rFonts w:ascii="Times New Roman" w:eastAsia="標楷體" w:hAnsi="Times New Roman" w:hint="eastAsia"/>
          <w:sz w:val="24"/>
          <w:lang w:eastAsia="zh-TW"/>
        </w:rPr>
        <w:t>實務應用價</w:t>
      </w:r>
      <w:r w:rsidRPr="00281F0F">
        <w:rPr>
          <w:rFonts w:ascii="Times New Roman" w:eastAsia="標楷體" w:hAnsi="Times New Roman" w:cs="微軟正黑體" w:hint="eastAsia"/>
          <w:sz w:val="24"/>
          <w:lang w:eastAsia="zh-TW"/>
        </w:rPr>
        <w:t>值</w:t>
      </w:r>
      <w:r w:rsidRPr="00281F0F">
        <w:rPr>
          <w:rFonts w:ascii="Times New Roman" w:eastAsia="標楷體" w:hAnsi="Times New Roman" w:cs="MS Mincho" w:hint="eastAsia"/>
          <w:sz w:val="24"/>
          <w:lang w:eastAsia="zh-TW"/>
        </w:rPr>
        <w:t>：透過自動化的視覺化儀表板，本系統有效降低了投資人參與綠色金融的技術門檻，提供了一套可行的氣候風險管理工具。</w:t>
      </w:r>
    </w:p>
    <w:p w14:paraId="380BCF39" w14:textId="77777777" w:rsidR="007E1562" w:rsidRDefault="00000000">
      <w:pPr>
        <w:spacing w:before="240"/>
        <w:rPr>
          <w:lang w:eastAsia="zh-TW"/>
        </w:rPr>
      </w:pPr>
      <w:r>
        <w:rPr>
          <w:rFonts w:ascii="Times New Roman" w:eastAsia="標楷體" w:hAnsi="Times New Roman"/>
          <w:b/>
          <w:sz w:val="28"/>
          <w:lang w:eastAsia="zh-TW"/>
        </w:rPr>
        <w:t>致謝</w:t>
      </w:r>
    </w:p>
    <w:p w14:paraId="44E6B4ED" w14:textId="67BFB252" w:rsidR="007E1562" w:rsidRPr="00831565" w:rsidRDefault="00F63442">
      <w:pPr>
        <w:rPr>
          <w:rFonts w:eastAsia="新細明體"/>
          <w:lang w:eastAsia="zh-TW"/>
        </w:rPr>
      </w:pPr>
      <w:r w:rsidRPr="00F63442">
        <w:rPr>
          <w:rFonts w:ascii="Times New Roman" w:eastAsia="標楷體" w:hAnsi="Times New Roman" w:hint="eastAsia"/>
          <w:sz w:val="24"/>
          <w:lang w:eastAsia="zh-TW"/>
        </w:rPr>
        <w:t>研究感謝指導教授</w:t>
      </w:r>
      <w:r w:rsidRPr="00F63442">
        <w:rPr>
          <w:rFonts w:ascii="Times New Roman" w:eastAsia="標楷體" w:hAnsi="Times New Roman" w:hint="eastAsia"/>
          <w:sz w:val="24"/>
          <w:lang w:eastAsia="zh-TW"/>
        </w:rPr>
        <w:t xml:space="preserve"> </w:t>
      </w:r>
      <w:r w:rsidRPr="00F63442">
        <w:rPr>
          <w:rFonts w:ascii="Times New Roman" w:eastAsia="標楷體" w:hAnsi="Times New Roman" w:hint="eastAsia"/>
          <w:sz w:val="24"/>
          <w:lang w:eastAsia="zh-TW"/>
        </w:rPr>
        <w:t>李冠榮</w:t>
      </w:r>
      <w:r w:rsidRPr="00F63442">
        <w:rPr>
          <w:rFonts w:ascii="Times New Roman" w:eastAsia="標楷體" w:hAnsi="Times New Roman" w:hint="eastAsia"/>
          <w:sz w:val="24"/>
          <w:lang w:eastAsia="zh-TW"/>
        </w:rPr>
        <w:t xml:space="preserve"> </w:t>
      </w:r>
      <w:r w:rsidRPr="00F63442">
        <w:rPr>
          <w:rFonts w:ascii="Times New Roman" w:eastAsia="標楷體" w:hAnsi="Times New Roman" w:hint="eastAsia"/>
          <w:sz w:val="24"/>
          <w:lang w:eastAsia="zh-TW"/>
        </w:rPr>
        <w:t>副教授</w:t>
      </w:r>
      <w:r w:rsidR="008B3825" w:rsidRPr="008B3825">
        <w:rPr>
          <w:rFonts w:ascii="Times New Roman" w:eastAsia="標楷體" w:hAnsi="Times New Roman" w:hint="eastAsia"/>
          <w:sz w:val="24"/>
          <w:lang w:eastAsia="zh-TW"/>
        </w:rPr>
        <w:t>對於本系統架構設計與實驗分析之悉心指導，以及實驗室同仁在研究過程中的討論與建議</w:t>
      </w:r>
      <w:r>
        <w:rPr>
          <w:rFonts w:ascii="Times New Roman" w:eastAsia="標楷體" w:hAnsi="Times New Roman"/>
          <w:sz w:val="24"/>
          <w:lang w:eastAsia="zh-TW"/>
        </w:rPr>
        <w:t>。</w:t>
      </w:r>
    </w:p>
    <w:p w14:paraId="1B4A6084" w14:textId="77777777" w:rsidR="00D53C80" w:rsidRDefault="00D53C80">
      <w:pPr>
        <w:rPr>
          <w:rFonts w:ascii="Times New Roman" w:eastAsia="標楷體" w:hAnsi="Times New Roman"/>
          <w:b/>
          <w:sz w:val="28"/>
          <w:lang w:eastAsia="zh-TW"/>
        </w:rPr>
      </w:pPr>
    </w:p>
    <w:p w14:paraId="61B7B62C" w14:textId="2A4E5CC9" w:rsidR="007E1562" w:rsidRDefault="00000000">
      <w:pPr>
        <w:rPr>
          <w:lang w:eastAsia="zh-TW"/>
        </w:rPr>
      </w:pPr>
      <w:r>
        <w:rPr>
          <w:rFonts w:ascii="Times New Roman" w:eastAsia="標楷體" w:hAnsi="Times New Roman"/>
          <w:b/>
          <w:sz w:val="28"/>
          <w:lang w:eastAsia="zh-TW"/>
        </w:rPr>
        <w:lastRenderedPageBreak/>
        <w:t>參考文獻</w:t>
      </w:r>
    </w:p>
    <w:p w14:paraId="2CD22EF6" w14:textId="77777777" w:rsidR="00723D1F" w:rsidRPr="00723D1F" w:rsidRDefault="00723D1F" w:rsidP="00723D1F">
      <w:pPr>
        <w:ind w:left="425" w:hanging="425"/>
        <w:rPr>
          <w:rFonts w:ascii="Times New Roman" w:eastAsia="標楷體" w:hAnsi="Times New Roman"/>
          <w:sz w:val="24"/>
          <w:lang w:eastAsia="zh-TW"/>
        </w:rPr>
      </w:pPr>
      <w:r w:rsidRPr="00723D1F">
        <w:rPr>
          <w:rFonts w:ascii="Times New Roman" w:eastAsia="標楷體" w:hAnsi="Times New Roman" w:hint="eastAsia"/>
          <w:sz w:val="24"/>
          <w:lang w:eastAsia="zh-TW"/>
        </w:rPr>
        <w:t>陳思妘（</w:t>
      </w:r>
      <w:r w:rsidRPr="00723D1F">
        <w:rPr>
          <w:rFonts w:ascii="Times New Roman" w:eastAsia="標楷體" w:hAnsi="Times New Roman"/>
          <w:sz w:val="24"/>
          <w:lang w:eastAsia="zh-TW"/>
        </w:rPr>
        <w:t>2021</w:t>
      </w:r>
      <w:r w:rsidRPr="00723D1F">
        <w:rPr>
          <w:rFonts w:ascii="Times New Roman" w:eastAsia="標楷體" w:hAnsi="Times New Roman" w:hint="eastAsia"/>
          <w:sz w:val="24"/>
          <w:lang w:eastAsia="zh-TW"/>
        </w:rPr>
        <w:t>）。深度學習於台灣加權股價指數預測之應用。國立交通大學管理學院財務金融學程未出版碩士論文，台灣，新竹。</w:t>
      </w:r>
    </w:p>
    <w:p w14:paraId="166053E2" w14:textId="77777777" w:rsidR="00723D1F" w:rsidRPr="00723D1F" w:rsidRDefault="00723D1F" w:rsidP="00723D1F">
      <w:pPr>
        <w:ind w:left="425" w:hanging="425"/>
        <w:rPr>
          <w:rFonts w:ascii="Times New Roman" w:eastAsia="標楷體" w:hAnsi="Times New Roman"/>
          <w:sz w:val="24"/>
          <w:lang w:eastAsia="zh-TW"/>
        </w:rPr>
      </w:pPr>
      <w:r w:rsidRPr="00723D1F">
        <w:rPr>
          <w:rFonts w:ascii="Times New Roman" w:eastAsia="標楷體" w:hAnsi="Times New Roman" w:hint="eastAsia"/>
          <w:sz w:val="24"/>
          <w:lang w:eastAsia="zh-TW"/>
        </w:rPr>
        <w:t>楊又肇（</w:t>
      </w:r>
      <w:r w:rsidRPr="00723D1F">
        <w:rPr>
          <w:rFonts w:ascii="Times New Roman" w:eastAsia="標楷體" w:hAnsi="Times New Roman" w:hint="eastAsia"/>
          <w:sz w:val="24"/>
          <w:lang w:eastAsia="zh-TW"/>
        </w:rPr>
        <w:t>2020</w:t>
      </w:r>
      <w:r w:rsidRPr="00723D1F">
        <w:rPr>
          <w:rFonts w:ascii="Times New Roman" w:eastAsia="標楷體" w:hAnsi="Times New Roman" w:hint="eastAsia"/>
          <w:sz w:val="24"/>
          <w:lang w:eastAsia="zh-TW"/>
        </w:rPr>
        <w:t>）。應用深度學習於台灣加權股價指數之預測。國立交通大學資訊管理研究所未出版碩士論文，台灣，新竹。</w:t>
      </w:r>
    </w:p>
    <w:p w14:paraId="087EC7A4" w14:textId="77777777" w:rsidR="00723D1F" w:rsidRPr="00723D1F" w:rsidRDefault="00723D1F" w:rsidP="00723D1F">
      <w:pPr>
        <w:ind w:left="425" w:hanging="425"/>
        <w:rPr>
          <w:rFonts w:ascii="Times New Roman" w:eastAsia="標楷體" w:hAnsi="Times New Roman"/>
          <w:sz w:val="24"/>
          <w:lang w:eastAsia="zh-TW"/>
        </w:rPr>
      </w:pPr>
      <w:r w:rsidRPr="00723D1F">
        <w:rPr>
          <w:rFonts w:ascii="Times New Roman" w:eastAsia="標楷體" w:hAnsi="Times New Roman" w:hint="eastAsia"/>
          <w:sz w:val="24"/>
          <w:lang w:eastAsia="zh-TW"/>
        </w:rPr>
        <w:t>鐘毅（</w:t>
      </w:r>
      <w:r w:rsidRPr="00723D1F">
        <w:rPr>
          <w:rFonts w:ascii="Times New Roman" w:eastAsia="標楷體" w:hAnsi="Times New Roman" w:hint="eastAsia"/>
          <w:sz w:val="24"/>
          <w:lang w:eastAsia="zh-TW"/>
        </w:rPr>
        <w:t>2020</w:t>
      </w:r>
      <w:r w:rsidRPr="00723D1F">
        <w:rPr>
          <w:rFonts w:ascii="Times New Roman" w:eastAsia="標楷體" w:hAnsi="Times New Roman" w:hint="eastAsia"/>
          <w:sz w:val="24"/>
          <w:lang w:eastAsia="zh-TW"/>
        </w:rPr>
        <w:t>）。以深度學習</w:t>
      </w:r>
      <w:r w:rsidRPr="00723D1F">
        <w:rPr>
          <w:rFonts w:ascii="Times New Roman" w:eastAsia="標楷體" w:hAnsi="Times New Roman" w:hint="eastAsia"/>
          <w:sz w:val="24"/>
          <w:lang w:eastAsia="zh-TW"/>
        </w:rPr>
        <w:t>LSTM</w:t>
      </w:r>
      <w:r w:rsidRPr="00723D1F">
        <w:rPr>
          <w:rFonts w:ascii="Times New Roman" w:eastAsia="標楷體" w:hAnsi="Times New Roman" w:hint="eastAsia"/>
          <w:sz w:val="24"/>
          <w:lang w:eastAsia="zh-TW"/>
        </w:rPr>
        <w:t>方法進行台灣加權股價指數預測。國立交通大學科技管理研究所未出版碩士論文，台灣，新竹。</w:t>
      </w:r>
    </w:p>
    <w:p w14:paraId="02BD9D72" w14:textId="77777777" w:rsidR="00723D1F" w:rsidRPr="00723D1F" w:rsidRDefault="00723D1F" w:rsidP="00723D1F">
      <w:pPr>
        <w:ind w:left="425" w:hanging="425"/>
        <w:rPr>
          <w:rFonts w:ascii="Times New Roman" w:eastAsia="標楷體" w:hAnsi="Times New Roman"/>
          <w:sz w:val="24"/>
          <w:lang w:eastAsia="zh-TW"/>
        </w:rPr>
      </w:pPr>
      <w:r w:rsidRPr="00723D1F">
        <w:rPr>
          <w:rFonts w:ascii="Times New Roman" w:eastAsia="標楷體" w:hAnsi="Times New Roman"/>
          <w:sz w:val="24"/>
          <w:lang w:eastAsia="zh-TW"/>
        </w:rPr>
        <w:t>Aroussi, R. (2023). yfinance: Yahoo! Finance market data downloader. Retrieved December 26, 2025, from https://pypi.org/project/yfinance/</w:t>
      </w:r>
    </w:p>
    <w:p w14:paraId="3F4DE11A" w14:textId="77777777" w:rsidR="00723D1F" w:rsidRPr="00723D1F" w:rsidRDefault="00723D1F" w:rsidP="00723D1F">
      <w:pPr>
        <w:ind w:left="425" w:hanging="425"/>
        <w:rPr>
          <w:rFonts w:ascii="Times New Roman" w:eastAsia="標楷體" w:hAnsi="Times New Roman"/>
          <w:sz w:val="24"/>
          <w:lang w:eastAsia="zh-TW"/>
        </w:rPr>
      </w:pPr>
      <w:r w:rsidRPr="00723D1F">
        <w:rPr>
          <w:rFonts w:ascii="Times New Roman" w:eastAsia="標楷體" w:hAnsi="Times New Roman"/>
          <w:sz w:val="24"/>
          <w:lang w:eastAsia="zh-TW"/>
        </w:rPr>
        <w:t>Breiman, L. (2001). Random forests. Machine Learning, 45(1), 5-32.</w:t>
      </w:r>
    </w:p>
    <w:p w14:paraId="29C16F40" w14:textId="77777777" w:rsidR="00723D1F" w:rsidRPr="00723D1F" w:rsidRDefault="00723D1F" w:rsidP="00723D1F">
      <w:pPr>
        <w:ind w:left="425" w:hanging="425"/>
        <w:rPr>
          <w:rFonts w:ascii="Times New Roman" w:eastAsia="標楷體" w:hAnsi="Times New Roman"/>
          <w:sz w:val="24"/>
          <w:lang w:eastAsia="zh-TW"/>
        </w:rPr>
      </w:pPr>
      <w:r w:rsidRPr="00723D1F">
        <w:rPr>
          <w:rFonts w:ascii="Times New Roman" w:eastAsia="標楷體" w:hAnsi="Times New Roman"/>
          <w:sz w:val="24"/>
          <w:lang w:eastAsia="zh-TW"/>
        </w:rPr>
        <w:t>Engle, R. F., Giglio, S., Kelly, B., Lee, H., &amp; Stroebel, J. (2020). Hedging climate change news. The Review of Financial Studies, 33(3), 1184-1216.</w:t>
      </w:r>
    </w:p>
    <w:p w14:paraId="7CD5BBB2" w14:textId="77777777" w:rsidR="00723D1F" w:rsidRPr="00723D1F" w:rsidRDefault="00723D1F" w:rsidP="00723D1F">
      <w:pPr>
        <w:ind w:left="425" w:hanging="425"/>
        <w:rPr>
          <w:rFonts w:ascii="Times New Roman" w:eastAsia="標楷體" w:hAnsi="Times New Roman"/>
          <w:sz w:val="24"/>
          <w:lang w:eastAsia="zh-TW"/>
        </w:rPr>
      </w:pPr>
      <w:r w:rsidRPr="00723D1F">
        <w:rPr>
          <w:rFonts w:ascii="Times New Roman" w:eastAsia="標楷體" w:hAnsi="Times New Roman"/>
          <w:sz w:val="24"/>
          <w:lang w:eastAsia="zh-TW"/>
        </w:rPr>
        <w:t>Fama, E. F. (1970). Efficient capital markets: A review of theory and empirical work. The Journal of Finance, 25(2), 383-417.</w:t>
      </w:r>
    </w:p>
    <w:p w14:paraId="2E8E8683" w14:textId="77777777" w:rsidR="00723D1F" w:rsidRPr="00723D1F" w:rsidRDefault="00723D1F" w:rsidP="00723D1F">
      <w:pPr>
        <w:ind w:left="425" w:hanging="425"/>
        <w:rPr>
          <w:rFonts w:ascii="Times New Roman" w:eastAsia="標楷體" w:hAnsi="Times New Roman"/>
          <w:sz w:val="24"/>
          <w:lang w:eastAsia="zh-TW"/>
        </w:rPr>
      </w:pPr>
      <w:r w:rsidRPr="00723D1F">
        <w:rPr>
          <w:rFonts w:ascii="Times New Roman" w:eastAsia="標楷體" w:hAnsi="Times New Roman"/>
          <w:sz w:val="24"/>
          <w:lang w:eastAsia="zh-TW"/>
        </w:rPr>
        <w:t>Hochreiter, S., &amp; Schmidhuber, J. (1997). Long short-term memory. Neural Computation, 9(8), 1735-1780.</w:t>
      </w:r>
    </w:p>
    <w:p w14:paraId="2CCB2A54" w14:textId="77777777" w:rsidR="00723D1F" w:rsidRPr="00723D1F" w:rsidRDefault="00723D1F" w:rsidP="00723D1F">
      <w:pPr>
        <w:ind w:left="425" w:hanging="425"/>
        <w:rPr>
          <w:rFonts w:ascii="Times New Roman" w:eastAsia="標楷體" w:hAnsi="Times New Roman"/>
          <w:sz w:val="24"/>
          <w:lang w:eastAsia="zh-TW"/>
        </w:rPr>
      </w:pPr>
      <w:r w:rsidRPr="00723D1F">
        <w:rPr>
          <w:rFonts w:ascii="Times New Roman" w:eastAsia="標楷體" w:hAnsi="Times New Roman"/>
          <w:sz w:val="24"/>
          <w:lang w:eastAsia="zh-TW"/>
        </w:rPr>
        <w:t>IHS Markit. (2023). IHS Markit Global Carbon Index Rulebook. London: IHS Markit.</w:t>
      </w:r>
    </w:p>
    <w:p w14:paraId="0923B116" w14:textId="77777777" w:rsidR="00723D1F" w:rsidRPr="00723D1F" w:rsidRDefault="00723D1F" w:rsidP="00723D1F">
      <w:pPr>
        <w:ind w:left="425" w:hanging="425"/>
        <w:rPr>
          <w:rFonts w:ascii="Times New Roman" w:eastAsia="標楷體" w:hAnsi="Times New Roman"/>
          <w:sz w:val="24"/>
          <w:lang w:eastAsia="zh-TW"/>
        </w:rPr>
      </w:pPr>
      <w:r w:rsidRPr="00723D1F">
        <w:rPr>
          <w:rFonts w:ascii="Times New Roman" w:eastAsia="標楷體" w:hAnsi="Times New Roman"/>
          <w:sz w:val="24"/>
          <w:lang w:eastAsia="zh-TW"/>
        </w:rPr>
        <w:t>Kingma, D. P., &amp; Ba, J. (2014). Adam: A method for stochastic optimization. arXiv preprint arXiv:1412.6980. Retrieved December 26, 2025, from https://arxiv.org/abs/1412.6980</w:t>
      </w:r>
    </w:p>
    <w:p w14:paraId="394D40EE" w14:textId="77777777" w:rsidR="00723D1F" w:rsidRPr="00723D1F" w:rsidRDefault="00723D1F" w:rsidP="00723D1F">
      <w:pPr>
        <w:ind w:left="425" w:hanging="425"/>
        <w:rPr>
          <w:rFonts w:ascii="Times New Roman" w:eastAsia="標楷體" w:hAnsi="Times New Roman"/>
          <w:sz w:val="24"/>
          <w:lang w:eastAsia="zh-TW"/>
        </w:rPr>
      </w:pPr>
      <w:r w:rsidRPr="00723D1F">
        <w:rPr>
          <w:rFonts w:ascii="Times New Roman" w:eastAsia="標楷體" w:hAnsi="Times New Roman"/>
          <w:sz w:val="24"/>
          <w:lang w:eastAsia="zh-TW"/>
        </w:rPr>
        <w:t>OpenAI. (2023). GPT-4 Technical Report. arXiv preprint arXiv:2303.08774. Retrieved December 26, 2025, from https://arxiv.org/abs/2303.08774</w:t>
      </w:r>
    </w:p>
    <w:p w14:paraId="181DD0C1" w14:textId="63C0BD2E" w:rsidR="007E1562" w:rsidRDefault="00723D1F" w:rsidP="00723D1F">
      <w:pPr>
        <w:ind w:left="425" w:hanging="425"/>
      </w:pPr>
      <w:r w:rsidRPr="00723D1F">
        <w:rPr>
          <w:rFonts w:ascii="Times New Roman" w:eastAsia="標楷體" w:hAnsi="Times New Roman"/>
          <w:sz w:val="24"/>
          <w:lang w:eastAsia="zh-TW"/>
        </w:rPr>
        <w:t>Wu, S., Irsoy, O., Lu, S., Dabravolski, V., Dredze, M., Gehrmann, S., ... &amp; Mann, G. (2023). BloombergGPT: A large language model for finance. arXiv preprint arXiv:2303.17564. Retrieved December 26, 2025, from https://arxiv.org/abs/2303.17564</w:t>
      </w:r>
    </w:p>
    <w:sectPr w:rsidR="007E156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EB777" w14:textId="77777777" w:rsidR="0003716E" w:rsidRDefault="0003716E" w:rsidP="008F5471">
      <w:pPr>
        <w:spacing w:after="0" w:line="240" w:lineRule="auto"/>
      </w:pPr>
      <w:r>
        <w:separator/>
      </w:r>
    </w:p>
  </w:endnote>
  <w:endnote w:type="continuationSeparator" w:id="0">
    <w:p w14:paraId="67577F0E" w14:textId="77777777" w:rsidR="0003716E" w:rsidRDefault="0003716E" w:rsidP="008F5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1E9D7" w14:textId="77777777" w:rsidR="0003716E" w:rsidRDefault="0003716E" w:rsidP="008F5471">
      <w:pPr>
        <w:spacing w:after="0" w:line="240" w:lineRule="auto"/>
      </w:pPr>
      <w:r>
        <w:separator/>
      </w:r>
    </w:p>
  </w:footnote>
  <w:footnote w:type="continuationSeparator" w:id="0">
    <w:p w14:paraId="608FA38C" w14:textId="77777777" w:rsidR="0003716E" w:rsidRDefault="0003716E" w:rsidP="008F54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B708BB"/>
    <w:multiLevelType w:val="hybridMultilevel"/>
    <w:tmpl w:val="1DC68DAA"/>
    <w:lvl w:ilvl="0" w:tplc="E202FF88">
      <w:start w:val="1"/>
      <w:numFmt w:val="decimal"/>
      <w:lvlText w:val="(%1)"/>
      <w:lvlJc w:val="left"/>
      <w:pPr>
        <w:ind w:left="480" w:hanging="480"/>
      </w:pPr>
      <w:rPr>
        <w:rFonts w:ascii="標楷體" w:eastAsia="標楷體" w:hAnsi="標楷體"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D582259"/>
    <w:multiLevelType w:val="hybridMultilevel"/>
    <w:tmpl w:val="396EC03E"/>
    <w:lvl w:ilvl="0" w:tplc="F20C4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39B5553"/>
    <w:multiLevelType w:val="hybridMultilevel"/>
    <w:tmpl w:val="091CB5DA"/>
    <w:lvl w:ilvl="0" w:tplc="E202FF88">
      <w:start w:val="1"/>
      <w:numFmt w:val="decimal"/>
      <w:lvlText w:val="(%1)"/>
      <w:lvlJc w:val="left"/>
      <w:pPr>
        <w:ind w:left="480" w:hanging="480"/>
      </w:pPr>
      <w:rPr>
        <w:rFonts w:ascii="標楷體" w:eastAsia="標楷體" w:hAnsi="標楷體"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9D20546"/>
    <w:multiLevelType w:val="hybridMultilevel"/>
    <w:tmpl w:val="F38859FC"/>
    <w:lvl w:ilvl="0" w:tplc="E202FF88">
      <w:start w:val="1"/>
      <w:numFmt w:val="decimal"/>
      <w:lvlText w:val="(%1)"/>
      <w:lvlJc w:val="left"/>
      <w:pPr>
        <w:ind w:left="480" w:hanging="480"/>
      </w:pPr>
      <w:rPr>
        <w:rFonts w:ascii="標楷體" w:eastAsia="標楷體" w:hAnsi="標楷體"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94B0EE0"/>
    <w:multiLevelType w:val="hybridMultilevel"/>
    <w:tmpl w:val="C7221920"/>
    <w:lvl w:ilvl="0" w:tplc="E202FF88">
      <w:start w:val="1"/>
      <w:numFmt w:val="decimal"/>
      <w:lvlText w:val="(%1)"/>
      <w:lvlJc w:val="left"/>
      <w:pPr>
        <w:ind w:left="480" w:hanging="480"/>
      </w:pPr>
      <w:rPr>
        <w:rFonts w:ascii="標楷體" w:eastAsia="標楷體" w:hAnsi="標楷體"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3A35488"/>
    <w:multiLevelType w:val="hybridMultilevel"/>
    <w:tmpl w:val="695EC920"/>
    <w:lvl w:ilvl="0" w:tplc="DBA4C2D8">
      <w:start w:val="1"/>
      <w:numFmt w:val="decimal"/>
      <w:lvlText w:val="%1."/>
      <w:lvlJc w:val="left"/>
      <w:pPr>
        <w:ind w:left="360" w:hanging="360"/>
      </w:pPr>
      <w:rPr>
        <w:rFonts w:ascii="Times New Roman" w:eastAsia="標楷體" w:hAnsi="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7502444"/>
    <w:multiLevelType w:val="hybridMultilevel"/>
    <w:tmpl w:val="BA6659B0"/>
    <w:lvl w:ilvl="0" w:tplc="29BC7C18">
      <w:start w:val="1"/>
      <w:numFmt w:val="decimal"/>
      <w:lvlText w:val="(%1)"/>
      <w:lvlJc w:val="left"/>
      <w:pPr>
        <w:ind w:left="480" w:hanging="480"/>
      </w:pPr>
      <w:rPr>
        <w:rFonts w:ascii="標楷體" w:eastAsia="標楷體" w:hAnsi="標楷體"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A18630B"/>
    <w:multiLevelType w:val="hybridMultilevel"/>
    <w:tmpl w:val="D2EC64DE"/>
    <w:lvl w:ilvl="0" w:tplc="1FEE4ED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121876659">
    <w:abstractNumId w:val="8"/>
  </w:num>
  <w:num w:numId="2" w16cid:durableId="820193156">
    <w:abstractNumId w:val="6"/>
  </w:num>
  <w:num w:numId="3" w16cid:durableId="341081449">
    <w:abstractNumId w:val="5"/>
  </w:num>
  <w:num w:numId="4" w16cid:durableId="139004358">
    <w:abstractNumId w:val="4"/>
  </w:num>
  <w:num w:numId="5" w16cid:durableId="25253134">
    <w:abstractNumId w:val="7"/>
  </w:num>
  <w:num w:numId="6" w16cid:durableId="1837264464">
    <w:abstractNumId w:val="3"/>
  </w:num>
  <w:num w:numId="7" w16cid:durableId="1365444874">
    <w:abstractNumId w:val="2"/>
  </w:num>
  <w:num w:numId="8" w16cid:durableId="1690788933">
    <w:abstractNumId w:val="1"/>
  </w:num>
  <w:num w:numId="9" w16cid:durableId="114523163">
    <w:abstractNumId w:val="0"/>
  </w:num>
  <w:num w:numId="10" w16cid:durableId="1987202912">
    <w:abstractNumId w:val="14"/>
  </w:num>
  <w:num w:numId="11" w16cid:durableId="508788150">
    <w:abstractNumId w:val="10"/>
  </w:num>
  <w:num w:numId="12" w16cid:durableId="3675206">
    <w:abstractNumId w:val="16"/>
  </w:num>
  <w:num w:numId="13" w16cid:durableId="1624530375">
    <w:abstractNumId w:val="15"/>
  </w:num>
  <w:num w:numId="14" w16cid:durableId="701637440">
    <w:abstractNumId w:val="11"/>
  </w:num>
  <w:num w:numId="15" w16cid:durableId="1018966255">
    <w:abstractNumId w:val="9"/>
  </w:num>
  <w:num w:numId="16" w16cid:durableId="1766420311">
    <w:abstractNumId w:val="12"/>
  </w:num>
  <w:num w:numId="17" w16cid:durableId="4304676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879"/>
    <w:rsid w:val="00034616"/>
    <w:rsid w:val="0003716E"/>
    <w:rsid w:val="0006063C"/>
    <w:rsid w:val="000E44F6"/>
    <w:rsid w:val="000E7275"/>
    <w:rsid w:val="0015074B"/>
    <w:rsid w:val="001647C6"/>
    <w:rsid w:val="001C0AD2"/>
    <w:rsid w:val="00246206"/>
    <w:rsid w:val="00281F0F"/>
    <w:rsid w:val="0029639D"/>
    <w:rsid w:val="00326F90"/>
    <w:rsid w:val="004826CB"/>
    <w:rsid w:val="00496CF8"/>
    <w:rsid w:val="004D6D04"/>
    <w:rsid w:val="005D4CF5"/>
    <w:rsid w:val="006F597B"/>
    <w:rsid w:val="00723D1F"/>
    <w:rsid w:val="00753F0F"/>
    <w:rsid w:val="007E1562"/>
    <w:rsid w:val="00831565"/>
    <w:rsid w:val="008B3825"/>
    <w:rsid w:val="008F5471"/>
    <w:rsid w:val="009015EC"/>
    <w:rsid w:val="00977417"/>
    <w:rsid w:val="009938A8"/>
    <w:rsid w:val="00A1039A"/>
    <w:rsid w:val="00A93754"/>
    <w:rsid w:val="00AA1D8D"/>
    <w:rsid w:val="00B4557F"/>
    <w:rsid w:val="00B47730"/>
    <w:rsid w:val="00B52D80"/>
    <w:rsid w:val="00C00DE4"/>
    <w:rsid w:val="00C52DB1"/>
    <w:rsid w:val="00CB0664"/>
    <w:rsid w:val="00CD10E0"/>
    <w:rsid w:val="00D1120A"/>
    <w:rsid w:val="00D53C80"/>
    <w:rsid w:val="00DA3D4A"/>
    <w:rsid w:val="00F63442"/>
    <w:rsid w:val="00FC12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E9BE7E"/>
  <w14:defaultImageDpi w14:val="300"/>
  <w15:docId w15:val="{339567F8-A0F2-4025-B9C8-AF4701390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laceholder Text"/>
    <w:basedOn w:val="a2"/>
    <w:uiPriority w:val="99"/>
    <w:semiHidden/>
    <w:rsid w:val="00753F0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Pages>
  <Words>944</Words>
  <Characters>5386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子瑜 林</cp:lastModifiedBy>
  <cp:revision>24</cp:revision>
  <cp:lastPrinted>2025-12-29T03:31:00Z</cp:lastPrinted>
  <dcterms:created xsi:type="dcterms:W3CDTF">2013-12-23T23:15:00Z</dcterms:created>
  <dcterms:modified xsi:type="dcterms:W3CDTF">2025-12-29T03:31:00Z</dcterms:modified>
  <cp:category/>
</cp:coreProperties>
</file>