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A3BF5" w14:textId="77777777" w:rsidR="007E1562" w:rsidRDefault="00000000">
      <w:pPr>
        <w:jc w:val="center"/>
        <w:rPr>
          <w:lang w:eastAsia="zh-TW"/>
        </w:rPr>
      </w:pPr>
      <w:r>
        <w:rPr>
          <w:rFonts w:ascii="Times New Roman" w:eastAsia="標楷體" w:hAnsi="Times New Roman"/>
          <w:b/>
          <w:sz w:val="32"/>
          <w:lang w:eastAsia="zh-TW"/>
        </w:rPr>
        <w:t>邁向氣候意識投資：基於生成式</w:t>
      </w:r>
      <w:r>
        <w:rPr>
          <w:rFonts w:ascii="Times New Roman" w:eastAsia="標楷體" w:hAnsi="Times New Roman"/>
          <w:b/>
          <w:sz w:val="32"/>
          <w:lang w:eastAsia="zh-TW"/>
        </w:rPr>
        <w:t xml:space="preserve"> AI </w:t>
      </w:r>
      <w:r>
        <w:rPr>
          <w:rFonts w:ascii="Times New Roman" w:eastAsia="標楷體" w:hAnsi="Times New Roman"/>
          <w:b/>
          <w:sz w:val="32"/>
          <w:lang w:eastAsia="zh-TW"/>
        </w:rPr>
        <w:t>之碳權與美股雙軌分析平台設計與實作</w:t>
      </w:r>
    </w:p>
    <w:p w14:paraId="2FBB13C6" w14:textId="77777777" w:rsidR="007E1562" w:rsidRDefault="00000000">
      <w:pPr>
        <w:jc w:val="center"/>
      </w:pPr>
      <w:r>
        <w:rPr>
          <w:rFonts w:ascii="Times New Roman" w:eastAsia="標楷體" w:hAnsi="Times New Roman"/>
          <w:b/>
          <w:sz w:val="28"/>
        </w:rPr>
        <w:t>Towards Climate-Aware Investing: Design and Implementation of a GenAI-based Dual-Track Analysis Platform for Carbon and US Equity ETFs</w:t>
      </w:r>
    </w:p>
    <w:p w14:paraId="36F270BE" w14:textId="77777777" w:rsidR="007E1562" w:rsidRDefault="00000000">
      <w:pPr>
        <w:jc w:val="center"/>
        <w:rPr>
          <w:lang w:eastAsia="zh-TW"/>
        </w:rPr>
      </w:pPr>
      <w:r>
        <w:rPr>
          <w:rFonts w:ascii="Times New Roman" w:eastAsia="標楷體" w:hAnsi="Times New Roman"/>
          <w:sz w:val="24"/>
          <w:lang w:eastAsia="zh-TW"/>
        </w:rPr>
        <w:t>林子瑜</w:t>
      </w:r>
      <w:r>
        <w:rPr>
          <w:rFonts w:ascii="Times New Roman" w:eastAsia="標楷體" w:hAnsi="Times New Roman"/>
          <w:sz w:val="24"/>
          <w:lang w:eastAsia="zh-TW"/>
        </w:rPr>
        <w:t xml:space="preserve"> 1</w:t>
      </w:r>
      <w:r>
        <w:rPr>
          <w:rFonts w:ascii="Times New Roman" w:eastAsia="標楷體" w:hAnsi="Times New Roman"/>
          <w:sz w:val="24"/>
          <w:lang w:eastAsia="zh-TW"/>
        </w:rPr>
        <w:t xml:space="preserve">　李冠榮</w:t>
      </w:r>
      <w:r>
        <w:rPr>
          <w:rFonts w:ascii="Times New Roman" w:eastAsia="標楷體" w:hAnsi="Times New Roman"/>
          <w:sz w:val="24"/>
          <w:lang w:eastAsia="zh-TW"/>
        </w:rPr>
        <w:t xml:space="preserve"> 2</w:t>
      </w:r>
    </w:p>
    <w:p w14:paraId="0DDBEC63" w14:textId="77777777" w:rsidR="007E1562" w:rsidRDefault="00000000">
      <w:pPr>
        <w:jc w:val="center"/>
        <w:rPr>
          <w:lang w:eastAsia="zh-TW"/>
        </w:rPr>
      </w:pPr>
      <w:r>
        <w:rPr>
          <w:rFonts w:ascii="Times New Roman" w:eastAsia="標楷體" w:hAnsi="Times New Roman"/>
          <w:sz w:val="20"/>
          <w:lang w:eastAsia="zh-TW"/>
        </w:rPr>
        <w:t xml:space="preserve">1, 2 </w:t>
      </w:r>
      <w:r>
        <w:rPr>
          <w:rFonts w:ascii="Times New Roman" w:eastAsia="標楷體" w:hAnsi="Times New Roman"/>
          <w:sz w:val="20"/>
          <w:lang w:eastAsia="zh-TW"/>
        </w:rPr>
        <w:t>崑山科技大學資訊工程系碩士班</w:t>
      </w:r>
    </w:p>
    <w:p w14:paraId="490850C1" w14:textId="77777777" w:rsidR="007E1562" w:rsidRDefault="007E1562">
      <w:pPr>
        <w:rPr>
          <w:lang w:eastAsia="zh-TW"/>
        </w:rPr>
      </w:pPr>
    </w:p>
    <w:p w14:paraId="5F0EDE31" w14:textId="77777777" w:rsidR="007E1562" w:rsidRDefault="00000000">
      <w:pPr>
        <w:jc w:val="center"/>
        <w:rPr>
          <w:lang w:eastAsia="zh-TW"/>
        </w:rPr>
      </w:pPr>
      <w:r>
        <w:rPr>
          <w:rFonts w:ascii="Times New Roman" w:eastAsia="標楷體" w:hAnsi="Times New Roman"/>
          <w:b/>
          <w:sz w:val="24"/>
          <w:lang w:eastAsia="zh-TW"/>
        </w:rPr>
        <w:t>摘要</w:t>
      </w:r>
    </w:p>
    <w:p w14:paraId="586EF516" w14:textId="2F6DA568" w:rsidR="007E1562" w:rsidRDefault="00C52DB1">
      <w:pPr>
        <w:jc w:val="both"/>
        <w:rPr>
          <w:lang w:eastAsia="zh-TW"/>
        </w:rPr>
      </w:pPr>
      <w:r w:rsidRPr="00C52DB1">
        <w:rPr>
          <w:rFonts w:ascii="Times New Roman" w:eastAsia="標楷體" w:hAnsi="Times New Roman" w:hint="eastAsia"/>
          <w:sz w:val="24"/>
          <w:lang w:eastAsia="zh-TW"/>
        </w:rPr>
        <w:t>全球淨零轉型趨勢下，碳定價已成為資本市場的重要考量因素。然而，多數投資人目前仍聚焦於單一股價波動，較少評估碳權價格對企業成本的實際影響。本研究提出一套名為</w:t>
      </w:r>
      <w:r w:rsidRPr="00C52DB1">
        <w:rPr>
          <w:rFonts w:ascii="Times New Roman" w:eastAsia="標楷體" w:hAnsi="Times New Roman"/>
          <w:sz w:val="24"/>
          <w:lang w:eastAsia="zh-TW"/>
        </w:rPr>
        <w:t xml:space="preserve"> AEGIS </w:t>
      </w:r>
      <w:r w:rsidRPr="00C52DB1">
        <w:rPr>
          <w:rFonts w:ascii="Times New Roman" w:eastAsia="標楷體" w:hAnsi="Times New Roman" w:hint="eastAsia"/>
          <w:sz w:val="24"/>
          <w:lang w:eastAsia="zh-TW"/>
        </w:rPr>
        <w:t>的分析系統，結合了美股大盤</w:t>
      </w:r>
      <w:r w:rsidRPr="00C52DB1">
        <w:rPr>
          <w:rFonts w:ascii="Times New Roman" w:eastAsia="標楷體" w:hAnsi="Times New Roman"/>
          <w:sz w:val="24"/>
          <w:lang w:eastAsia="zh-TW"/>
        </w:rPr>
        <w:t xml:space="preserve"> ETF (SPY) </w:t>
      </w:r>
      <w:r w:rsidRPr="00C52DB1">
        <w:rPr>
          <w:rFonts w:ascii="Times New Roman" w:eastAsia="標楷體" w:hAnsi="Times New Roman" w:hint="eastAsia"/>
          <w:sz w:val="24"/>
          <w:lang w:eastAsia="zh-TW"/>
        </w:rPr>
        <w:t>與全球碳權</w:t>
      </w:r>
      <w:r w:rsidRPr="00C52DB1">
        <w:rPr>
          <w:rFonts w:ascii="Times New Roman" w:eastAsia="標楷體" w:hAnsi="Times New Roman"/>
          <w:sz w:val="24"/>
          <w:lang w:eastAsia="zh-TW"/>
        </w:rPr>
        <w:t xml:space="preserve"> ETF (KRBN) </w:t>
      </w:r>
      <w:r w:rsidRPr="00C52DB1">
        <w:rPr>
          <w:rFonts w:ascii="Times New Roman" w:eastAsia="標楷體" w:hAnsi="Times New Roman" w:hint="eastAsia"/>
          <w:sz w:val="24"/>
          <w:lang w:eastAsia="zh-TW"/>
        </w:rPr>
        <w:t>數據。方法上，我們先採用雙層</w:t>
      </w:r>
      <w:r w:rsidRPr="00C52DB1">
        <w:rPr>
          <w:rFonts w:ascii="Times New Roman" w:eastAsia="標楷體" w:hAnsi="Times New Roman"/>
          <w:sz w:val="24"/>
          <w:lang w:eastAsia="zh-TW"/>
        </w:rPr>
        <w:t xml:space="preserve"> LSTM </w:t>
      </w:r>
      <w:r w:rsidRPr="00C52DB1">
        <w:rPr>
          <w:rFonts w:ascii="Times New Roman" w:eastAsia="標楷體" w:hAnsi="Times New Roman" w:hint="eastAsia"/>
          <w:sz w:val="24"/>
          <w:lang w:eastAsia="zh-TW"/>
        </w:rPr>
        <w:t>模型進行價格趨勢預測，再導入</w:t>
      </w:r>
      <w:r w:rsidRPr="00C52DB1">
        <w:rPr>
          <w:rFonts w:ascii="Times New Roman" w:eastAsia="標楷體" w:hAnsi="Times New Roman"/>
          <w:sz w:val="24"/>
          <w:lang w:eastAsia="zh-TW"/>
        </w:rPr>
        <w:t xml:space="preserve"> OpenAI GPT </w:t>
      </w:r>
      <w:r w:rsidRPr="00C52DB1">
        <w:rPr>
          <w:rFonts w:ascii="Times New Roman" w:eastAsia="標楷體" w:hAnsi="Times New Roman" w:hint="eastAsia"/>
          <w:sz w:val="24"/>
          <w:lang w:eastAsia="zh-TW"/>
        </w:rPr>
        <w:t>技術對預測數據進行語意解讀。實驗結果顯示，本模型在美股預測上的</w:t>
      </w:r>
      <w:r w:rsidRPr="00C52DB1">
        <w:rPr>
          <w:rFonts w:ascii="Times New Roman" w:eastAsia="標楷體" w:hAnsi="Times New Roman"/>
          <w:sz w:val="24"/>
          <w:lang w:eastAsia="zh-TW"/>
        </w:rPr>
        <w:t xml:space="preserve"> F1-Score </w:t>
      </w:r>
      <w:r w:rsidRPr="00C52DB1">
        <w:rPr>
          <w:rFonts w:ascii="Times New Roman" w:eastAsia="標楷體" w:hAnsi="Times New Roman" w:hint="eastAsia"/>
          <w:sz w:val="24"/>
          <w:lang w:eastAsia="zh-TW"/>
        </w:rPr>
        <w:t>為</w:t>
      </w:r>
      <w:r w:rsidRPr="00C52DB1">
        <w:rPr>
          <w:rFonts w:ascii="Times New Roman" w:eastAsia="標楷體" w:hAnsi="Times New Roman"/>
          <w:sz w:val="24"/>
          <w:lang w:eastAsia="zh-TW"/>
        </w:rPr>
        <w:t xml:space="preserve"> 0.733</w:t>
      </w:r>
      <w:r w:rsidRPr="00C52DB1">
        <w:rPr>
          <w:rFonts w:ascii="Times New Roman" w:eastAsia="標楷體" w:hAnsi="Times New Roman" w:hint="eastAsia"/>
          <w:sz w:val="24"/>
          <w:lang w:eastAsia="zh-TW"/>
        </w:rPr>
        <w:t>，且能有效捕捉碳權市場的非線性特徵。透過自動生成的「氣候金融風險摘要」，本研究期望能協助投資人將氣候風險納入投資決策流程中</w:t>
      </w:r>
      <w:r w:rsidR="00000000">
        <w:rPr>
          <w:rFonts w:ascii="Times New Roman" w:eastAsia="標楷體" w:hAnsi="Times New Roman"/>
          <w:sz w:val="24"/>
          <w:lang w:eastAsia="zh-TW"/>
        </w:rPr>
        <w:t>。</w:t>
      </w:r>
    </w:p>
    <w:p w14:paraId="7B847FAB" w14:textId="19C93403" w:rsidR="007E1562" w:rsidRPr="00C52DB1" w:rsidRDefault="00000000">
      <w:pPr>
        <w:rPr>
          <w:rFonts w:eastAsia="新細明體" w:hint="eastAsia"/>
          <w:lang w:eastAsia="zh-TW"/>
        </w:rPr>
      </w:pPr>
      <w:r>
        <w:rPr>
          <w:rFonts w:ascii="Times New Roman" w:eastAsia="標楷體" w:hAnsi="Times New Roman"/>
          <w:b/>
          <w:sz w:val="24"/>
          <w:lang w:eastAsia="zh-TW"/>
        </w:rPr>
        <w:t>關鍵詞：</w:t>
      </w:r>
      <w:r w:rsidR="00C52DB1" w:rsidRPr="00C52DB1">
        <w:rPr>
          <w:rFonts w:ascii="Times New Roman" w:eastAsia="標楷體" w:hAnsi="Times New Roman" w:hint="eastAsia"/>
          <w:sz w:val="24"/>
          <w:lang w:eastAsia="zh-TW"/>
        </w:rPr>
        <w:t>生成式</w:t>
      </w:r>
      <w:r w:rsidR="00C52DB1" w:rsidRPr="00C52DB1">
        <w:rPr>
          <w:rFonts w:ascii="Times New Roman" w:eastAsia="標楷體" w:hAnsi="Times New Roman"/>
          <w:sz w:val="24"/>
          <w:lang w:eastAsia="zh-TW"/>
        </w:rPr>
        <w:t xml:space="preserve"> AI</w:t>
      </w:r>
      <w:r w:rsidR="00C52DB1" w:rsidRPr="00C52DB1">
        <w:rPr>
          <w:rFonts w:ascii="Times New Roman" w:eastAsia="標楷體" w:hAnsi="Times New Roman" w:hint="eastAsia"/>
          <w:sz w:val="24"/>
          <w:lang w:eastAsia="zh-TW"/>
        </w:rPr>
        <w:t>、碳權</w:t>
      </w:r>
      <w:r w:rsidR="00C52DB1" w:rsidRPr="00C52DB1">
        <w:rPr>
          <w:rFonts w:ascii="Times New Roman" w:eastAsia="標楷體" w:hAnsi="Times New Roman"/>
          <w:sz w:val="24"/>
          <w:lang w:eastAsia="zh-TW"/>
        </w:rPr>
        <w:t xml:space="preserve"> ETF</w:t>
      </w:r>
      <w:r w:rsidR="00C52DB1" w:rsidRPr="00C52DB1">
        <w:rPr>
          <w:rFonts w:ascii="Times New Roman" w:eastAsia="標楷體" w:hAnsi="Times New Roman" w:hint="eastAsia"/>
          <w:sz w:val="24"/>
          <w:lang w:eastAsia="zh-TW"/>
        </w:rPr>
        <w:t>、</w:t>
      </w:r>
      <w:r w:rsidR="00C52DB1" w:rsidRPr="00C52DB1">
        <w:rPr>
          <w:rFonts w:ascii="Times New Roman" w:eastAsia="標楷體" w:hAnsi="Times New Roman"/>
          <w:sz w:val="24"/>
          <w:lang w:eastAsia="zh-TW"/>
        </w:rPr>
        <w:t>LSTM</w:t>
      </w:r>
      <w:r w:rsidR="00C52DB1" w:rsidRPr="00C52DB1">
        <w:rPr>
          <w:rFonts w:ascii="Times New Roman" w:eastAsia="標楷體" w:hAnsi="Times New Roman" w:hint="eastAsia"/>
          <w:sz w:val="24"/>
          <w:lang w:eastAsia="zh-TW"/>
        </w:rPr>
        <w:t>、氣候金融、風險分析</w:t>
      </w:r>
    </w:p>
    <w:p w14:paraId="2522B17E" w14:textId="77777777" w:rsidR="007E1562" w:rsidRDefault="00000000">
      <w:pPr>
        <w:jc w:val="center"/>
      </w:pPr>
      <w:r>
        <w:rPr>
          <w:rFonts w:ascii="Times New Roman" w:eastAsia="Times New Roman" w:hAnsi="Times New Roman"/>
          <w:b/>
          <w:sz w:val="24"/>
        </w:rPr>
        <w:t>Abstract</w:t>
      </w:r>
    </w:p>
    <w:p w14:paraId="3EFFF7AE" w14:textId="7946E662" w:rsidR="007E1562" w:rsidRDefault="00C52DB1">
      <w:pPr>
        <w:jc w:val="both"/>
      </w:pPr>
      <w:r w:rsidRPr="00C52DB1">
        <w:rPr>
          <w:rFonts w:ascii="Times New Roman" w:eastAsia="Times New Roman" w:hAnsi="Times New Roman"/>
          <w:sz w:val="24"/>
        </w:rPr>
        <w:t>As the global net-zero transition accelerates, carbon pricing has become a significant factor in capital markets. However, most investors still focus on stock price volatility, often overlooking the impact of carbon credit prices on corporate operational costs. This study proposes the AEGIS system, which integrates the US market ETF (SPY) and the Global Carbon Credit ETF (KRBN). The methodology employs a double-layer LSTM model for trend prediction, followed by OpenAI GPT for semantic interpretation of the prediction results. Experimental results show that the model achieves an F1-Score of 0.733 in the US market and effectively captures non-linear volatility in the carbon market. By automatically generating "Climate Finance Risk Summaries," this system aims to assist investors in incorporating climate risks into their decision-making processes</w:t>
      </w:r>
      <w:r w:rsidR="00000000">
        <w:rPr>
          <w:rFonts w:ascii="Times New Roman" w:eastAsia="Times New Roman" w:hAnsi="Times New Roman"/>
          <w:sz w:val="24"/>
        </w:rPr>
        <w:t>.</w:t>
      </w:r>
    </w:p>
    <w:p w14:paraId="7CCD9DEE" w14:textId="61450818" w:rsidR="007E1562" w:rsidRPr="00C52DB1" w:rsidRDefault="00000000">
      <w:pPr>
        <w:rPr>
          <w:rFonts w:eastAsia="新細明體" w:hint="eastAsia"/>
          <w:lang w:eastAsia="zh-TW"/>
        </w:rPr>
      </w:pPr>
      <w:r>
        <w:rPr>
          <w:rFonts w:ascii="Times New Roman" w:eastAsia="Times New Roman" w:hAnsi="Times New Roman"/>
          <w:b/>
          <w:sz w:val="24"/>
        </w:rPr>
        <w:t xml:space="preserve">Keywords: </w:t>
      </w:r>
      <w:r w:rsidR="00C52DB1" w:rsidRPr="00C52DB1">
        <w:rPr>
          <w:rFonts w:ascii="Times New Roman" w:eastAsia="Times New Roman" w:hAnsi="Times New Roman"/>
          <w:sz w:val="24"/>
        </w:rPr>
        <w:t>Generative AI, Carbon Credit ETF, LSTM, Climate Finance, Risk Analysis</w:t>
      </w:r>
    </w:p>
    <w:p w14:paraId="7730BDDA" w14:textId="77777777" w:rsidR="007E1562" w:rsidRDefault="007E1562"/>
    <w:p w14:paraId="23F040EB" w14:textId="77777777" w:rsidR="007E1562" w:rsidRDefault="00000000">
      <w:pPr>
        <w:spacing w:before="240" w:after="120"/>
      </w:pPr>
      <w:r>
        <w:rPr>
          <w:rFonts w:ascii="Times New Roman" w:eastAsia="標楷體" w:hAnsi="Times New Roman"/>
          <w:b/>
          <w:sz w:val="28"/>
        </w:rPr>
        <w:lastRenderedPageBreak/>
        <w:t xml:space="preserve">1. </w:t>
      </w:r>
      <w:r>
        <w:rPr>
          <w:rFonts w:ascii="Times New Roman" w:eastAsia="標楷體" w:hAnsi="Times New Roman"/>
          <w:b/>
          <w:sz w:val="28"/>
        </w:rPr>
        <w:t>緒論</w:t>
      </w:r>
    </w:p>
    <w:p w14:paraId="52F7406D" w14:textId="77777777" w:rsidR="007E1562" w:rsidRDefault="00000000">
      <w:pPr>
        <w:jc w:val="both"/>
        <w:rPr>
          <w:lang w:eastAsia="zh-TW"/>
        </w:rPr>
      </w:pPr>
      <w:r>
        <w:rPr>
          <w:rFonts w:ascii="Times New Roman" w:eastAsia="標楷體" w:hAnsi="Times New Roman"/>
          <w:sz w:val="24"/>
        </w:rPr>
        <w:t>在金融科技（</w:t>
      </w:r>
      <w:r>
        <w:rPr>
          <w:rFonts w:ascii="Times New Roman" w:eastAsia="標楷體" w:hAnsi="Times New Roman"/>
          <w:sz w:val="24"/>
        </w:rPr>
        <w:t>FinTech</w:t>
      </w:r>
      <w:r>
        <w:rPr>
          <w:rFonts w:ascii="Times New Roman" w:eastAsia="標楷體" w:hAnsi="Times New Roman"/>
          <w:sz w:val="24"/>
        </w:rPr>
        <w:t>）與永續轉型（</w:t>
      </w:r>
      <w:r>
        <w:rPr>
          <w:rFonts w:ascii="Times New Roman" w:eastAsia="標楷體" w:hAnsi="Times New Roman"/>
          <w:sz w:val="24"/>
        </w:rPr>
        <w:t>Sustainability Transition</w:t>
      </w:r>
      <w:r>
        <w:rPr>
          <w:rFonts w:ascii="Times New Roman" w:eastAsia="標楷體" w:hAnsi="Times New Roman"/>
          <w:sz w:val="24"/>
        </w:rPr>
        <w:t>）的雙重浪潮下，數據科學已成為輔助投資決策的關鍵技術。然而，面對新興的「碳權交易市場（</w:t>
      </w:r>
      <w:r>
        <w:rPr>
          <w:rFonts w:ascii="Times New Roman" w:eastAsia="標楷體" w:hAnsi="Times New Roman"/>
          <w:sz w:val="24"/>
        </w:rPr>
        <w:t>Carbon Credit Market</w:t>
      </w:r>
      <w:r>
        <w:rPr>
          <w:rFonts w:ascii="Times New Roman" w:eastAsia="標楷體" w:hAnsi="Times New Roman"/>
          <w:sz w:val="24"/>
        </w:rPr>
        <w:t>）」，一般投資人往往面臨嚴重的資訊不對稱，難以量化碳價（</w:t>
      </w:r>
      <w:r>
        <w:rPr>
          <w:rFonts w:ascii="Times New Roman" w:eastAsia="標楷體" w:hAnsi="Times New Roman"/>
          <w:sz w:val="24"/>
        </w:rPr>
        <w:t>Carbon Price</w:t>
      </w:r>
      <w:r>
        <w:rPr>
          <w:rFonts w:ascii="Times New Roman" w:eastAsia="標楷體" w:hAnsi="Times New Roman"/>
          <w:sz w:val="24"/>
        </w:rPr>
        <w:t>）波動對傳統權益證券（如</w:t>
      </w:r>
      <w:r>
        <w:rPr>
          <w:rFonts w:ascii="Times New Roman" w:eastAsia="標楷體" w:hAnsi="Times New Roman"/>
          <w:sz w:val="24"/>
        </w:rPr>
        <w:t xml:space="preserve"> SPY</w:t>
      </w:r>
      <w:r>
        <w:rPr>
          <w:rFonts w:ascii="Times New Roman" w:eastAsia="標楷體" w:hAnsi="Times New Roman"/>
          <w:sz w:val="24"/>
        </w:rPr>
        <w:t>）成本結構的潛在衝擊。</w:t>
      </w:r>
      <w:r>
        <w:rPr>
          <w:rFonts w:ascii="Times New Roman" w:eastAsia="標楷體" w:hAnsi="Times New Roman"/>
          <w:sz w:val="24"/>
        </w:rPr>
        <w:br/>
      </w:r>
      <w:r>
        <w:rPr>
          <w:rFonts w:ascii="Times New Roman" w:eastAsia="標楷體" w:hAnsi="Times New Roman"/>
          <w:sz w:val="24"/>
          <w:lang w:eastAsia="zh-TW"/>
        </w:rPr>
        <w:t>為解決上述問題，本文提出</w:t>
      </w:r>
      <w:r>
        <w:rPr>
          <w:rFonts w:ascii="Times New Roman" w:eastAsia="標楷體" w:hAnsi="Times New Roman"/>
          <w:sz w:val="24"/>
          <w:lang w:eastAsia="zh-TW"/>
        </w:rPr>
        <w:t xml:space="preserve"> AEGIS </w:t>
      </w:r>
      <w:r>
        <w:rPr>
          <w:rFonts w:ascii="Times New Roman" w:eastAsia="標楷體" w:hAnsi="Times New Roman"/>
          <w:sz w:val="24"/>
          <w:lang w:eastAsia="zh-TW"/>
        </w:rPr>
        <w:t>系統架構。本系統目的在於建構一個全自動化的雙軌分析平台，透過「量化預測」與「質化解讀」的交互運作，將複雜的氣候金融數據轉化為可執行的投資情報，猶如投資人的數位守護者（</w:t>
      </w:r>
      <w:r>
        <w:rPr>
          <w:rFonts w:ascii="Times New Roman" w:eastAsia="標楷體" w:hAnsi="Times New Roman"/>
          <w:sz w:val="24"/>
          <w:lang w:eastAsia="zh-TW"/>
        </w:rPr>
        <w:t>Guardian</w:t>
      </w:r>
      <w:r>
        <w:rPr>
          <w:rFonts w:ascii="Times New Roman" w:eastAsia="標楷體" w:hAnsi="Times New Roman"/>
          <w:sz w:val="24"/>
          <w:lang w:eastAsia="zh-TW"/>
        </w:rPr>
        <w:t>）。</w:t>
      </w:r>
    </w:p>
    <w:p w14:paraId="726F7341" w14:textId="77777777" w:rsidR="007E1562" w:rsidRDefault="00000000">
      <w:pPr>
        <w:spacing w:before="240" w:after="120"/>
        <w:rPr>
          <w:lang w:eastAsia="zh-TW"/>
        </w:rPr>
      </w:pPr>
      <w:r>
        <w:rPr>
          <w:rFonts w:ascii="Times New Roman" w:eastAsia="標楷體" w:hAnsi="Times New Roman"/>
          <w:b/>
          <w:sz w:val="28"/>
          <w:lang w:eastAsia="zh-TW"/>
        </w:rPr>
        <w:t xml:space="preserve">2. </w:t>
      </w:r>
      <w:r>
        <w:rPr>
          <w:rFonts w:ascii="Times New Roman" w:eastAsia="標楷體" w:hAnsi="Times New Roman"/>
          <w:b/>
          <w:sz w:val="28"/>
          <w:lang w:eastAsia="zh-TW"/>
        </w:rPr>
        <w:t>系統設計</w:t>
      </w:r>
    </w:p>
    <w:p w14:paraId="38A586C4" w14:textId="77777777" w:rsidR="007E1562" w:rsidRDefault="00000000">
      <w:pPr>
        <w:rPr>
          <w:lang w:eastAsia="zh-TW"/>
        </w:rPr>
      </w:pPr>
      <w:r>
        <w:rPr>
          <w:rFonts w:ascii="Times New Roman" w:eastAsia="標楷體" w:hAnsi="Times New Roman"/>
          <w:sz w:val="24"/>
          <w:lang w:eastAsia="zh-TW"/>
        </w:rPr>
        <w:t>本系統規劃為端到端（</w:t>
      </w:r>
      <w:r>
        <w:rPr>
          <w:rFonts w:ascii="Times New Roman" w:eastAsia="標楷體" w:hAnsi="Times New Roman"/>
          <w:sz w:val="24"/>
          <w:lang w:eastAsia="zh-TW"/>
        </w:rPr>
        <w:t>End-to-End</w:t>
      </w:r>
      <w:r>
        <w:rPr>
          <w:rFonts w:ascii="Times New Roman" w:eastAsia="標楷體" w:hAnsi="Times New Roman"/>
          <w:sz w:val="24"/>
          <w:lang w:eastAsia="zh-TW"/>
        </w:rPr>
        <w:t>）的解決方案，主要架構如圖</w:t>
      </w:r>
      <w:r>
        <w:rPr>
          <w:rFonts w:ascii="Times New Roman" w:eastAsia="標楷體" w:hAnsi="Times New Roman"/>
          <w:sz w:val="24"/>
          <w:lang w:eastAsia="zh-TW"/>
        </w:rPr>
        <w:t xml:space="preserve"> 1 </w:t>
      </w:r>
      <w:r>
        <w:rPr>
          <w:rFonts w:ascii="Times New Roman" w:eastAsia="標楷體" w:hAnsi="Times New Roman"/>
          <w:sz w:val="24"/>
          <w:lang w:eastAsia="zh-TW"/>
        </w:rPr>
        <w:t>所示。系統邏輯分為「雙軌趨勢偵測」、「智能風險解讀」兩大核心模式，以及連結兩者的「協同運作機制」。</w:t>
      </w:r>
    </w:p>
    <w:p w14:paraId="412FD44F" w14:textId="77777777" w:rsidR="007E1562" w:rsidRDefault="00000000">
      <w:pPr>
        <w:spacing w:before="240" w:after="120"/>
        <w:rPr>
          <w:lang w:eastAsia="zh-TW"/>
        </w:rPr>
      </w:pPr>
      <w:r>
        <w:rPr>
          <w:rFonts w:ascii="Times New Roman" w:eastAsia="標楷體" w:hAnsi="Times New Roman"/>
          <w:b/>
          <w:sz w:val="26"/>
          <w:lang w:eastAsia="zh-TW"/>
        </w:rPr>
        <w:t xml:space="preserve">2.1 </w:t>
      </w:r>
      <w:r>
        <w:rPr>
          <w:rFonts w:ascii="Times New Roman" w:eastAsia="標楷體" w:hAnsi="Times New Roman"/>
          <w:b/>
          <w:sz w:val="26"/>
          <w:lang w:eastAsia="zh-TW"/>
        </w:rPr>
        <w:t>系統架構</w:t>
      </w:r>
    </w:p>
    <w:p w14:paraId="62F0C2FF" w14:textId="77777777" w:rsidR="007E1562" w:rsidRDefault="00000000">
      <w:pPr>
        <w:rPr>
          <w:lang w:eastAsia="zh-TW"/>
        </w:rPr>
      </w:pPr>
      <w:r>
        <w:rPr>
          <w:rFonts w:ascii="Times New Roman" w:eastAsia="標楷體" w:hAnsi="Times New Roman"/>
          <w:sz w:val="24"/>
          <w:lang w:eastAsia="zh-TW"/>
        </w:rPr>
        <w:t>系統採模組化與物件導向原則設計，將資料獲取、特徵工程、模型訓練封裝為獨立服務。資料流源自</w:t>
      </w:r>
      <w:r>
        <w:rPr>
          <w:rFonts w:ascii="Times New Roman" w:eastAsia="標楷體" w:hAnsi="Times New Roman"/>
          <w:sz w:val="24"/>
          <w:lang w:eastAsia="zh-TW"/>
        </w:rPr>
        <w:t xml:space="preserve"> Yahoo Finance API</w:t>
      </w:r>
      <w:r>
        <w:rPr>
          <w:rFonts w:ascii="Times New Roman" w:eastAsia="標楷體" w:hAnsi="Times New Roman"/>
          <w:sz w:val="24"/>
          <w:lang w:eastAsia="zh-TW"/>
        </w:rPr>
        <w:t>，經清洗程式（</w:t>
      </w:r>
      <w:r>
        <w:rPr>
          <w:rFonts w:ascii="Times New Roman" w:eastAsia="標楷體" w:hAnsi="Times New Roman"/>
          <w:sz w:val="24"/>
          <w:lang w:eastAsia="zh-TW"/>
        </w:rPr>
        <w:t>ETL</w:t>
      </w:r>
      <w:r>
        <w:rPr>
          <w:rFonts w:ascii="Times New Roman" w:eastAsia="標楷體" w:hAnsi="Times New Roman"/>
          <w:sz w:val="24"/>
          <w:lang w:eastAsia="zh-TW"/>
        </w:rPr>
        <w:t>）處理後存入</w:t>
      </w:r>
      <w:r>
        <w:rPr>
          <w:rFonts w:ascii="Times New Roman" w:eastAsia="標楷體" w:hAnsi="Times New Roman"/>
          <w:sz w:val="24"/>
          <w:lang w:eastAsia="zh-TW"/>
        </w:rPr>
        <w:t xml:space="preserve"> SQLite </w:t>
      </w:r>
      <w:r>
        <w:rPr>
          <w:rFonts w:ascii="Times New Roman" w:eastAsia="標楷體" w:hAnsi="Times New Roman"/>
          <w:sz w:val="24"/>
          <w:lang w:eastAsia="zh-TW"/>
        </w:rPr>
        <w:t>資料庫以確保數據一致性。核心運算層定期從資料庫讀取數據，驅動偵測與解讀模組進行平行運算，最終將結果匯流至</w:t>
      </w:r>
      <w:r>
        <w:rPr>
          <w:rFonts w:ascii="Times New Roman" w:eastAsia="標楷體" w:hAnsi="Times New Roman"/>
          <w:sz w:val="24"/>
          <w:lang w:eastAsia="zh-TW"/>
        </w:rPr>
        <w:t xml:space="preserve"> </w:t>
      </w:r>
      <w:proofErr w:type="spellStart"/>
      <w:r>
        <w:rPr>
          <w:rFonts w:ascii="Times New Roman" w:eastAsia="標楷體" w:hAnsi="Times New Roman"/>
          <w:sz w:val="24"/>
          <w:lang w:eastAsia="zh-TW"/>
        </w:rPr>
        <w:t>Streamlit</w:t>
      </w:r>
      <w:proofErr w:type="spellEnd"/>
      <w:r>
        <w:rPr>
          <w:rFonts w:ascii="Times New Roman" w:eastAsia="標楷體" w:hAnsi="Times New Roman"/>
          <w:sz w:val="24"/>
          <w:lang w:eastAsia="zh-TW"/>
        </w:rPr>
        <w:t xml:space="preserve"> </w:t>
      </w:r>
      <w:r>
        <w:rPr>
          <w:rFonts w:ascii="Times New Roman" w:eastAsia="標楷體" w:hAnsi="Times New Roman"/>
          <w:sz w:val="24"/>
          <w:lang w:eastAsia="zh-TW"/>
        </w:rPr>
        <w:t>前端介面。</w:t>
      </w:r>
    </w:p>
    <w:p w14:paraId="4975AAD8" w14:textId="77777777" w:rsidR="007E1562" w:rsidRDefault="00000000">
      <w:pPr>
        <w:jc w:val="center"/>
      </w:pPr>
      <w:r>
        <w:rPr>
          <w:noProof/>
        </w:rPr>
        <w:lastRenderedPageBreak/>
        <w:drawing>
          <wp:inline distT="0" distB="0" distL="0" distR="0" wp14:anchorId="4ADE458B" wp14:editId="4C1EBFA2">
            <wp:extent cx="5040000" cy="4667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png"/>
                    <pic:cNvPicPr/>
                  </pic:nvPicPr>
                  <pic:blipFill>
                    <a:blip r:embed="rId8"/>
                    <a:stretch>
                      <a:fillRect/>
                    </a:stretch>
                  </pic:blipFill>
                  <pic:spPr>
                    <a:xfrm>
                      <a:off x="0" y="0"/>
                      <a:ext cx="5040000" cy="4667701"/>
                    </a:xfrm>
                    <a:prstGeom prst="rect">
                      <a:avLst/>
                    </a:prstGeom>
                  </pic:spPr>
                </pic:pic>
              </a:graphicData>
            </a:graphic>
          </wp:inline>
        </w:drawing>
      </w:r>
    </w:p>
    <w:p w14:paraId="42280420" w14:textId="77777777" w:rsidR="007E1562" w:rsidRDefault="00000000">
      <w:pPr>
        <w:spacing w:after="240"/>
        <w:jc w:val="center"/>
        <w:rPr>
          <w:lang w:eastAsia="zh-TW"/>
        </w:rPr>
      </w:pPr>
      <w:r>
        <w:rPr>
          <w:rFonts w:ascii="Times New Roman" w:eastAsia="標楷體" w:hAnsi="Times New Roman"/>
          <w:b/>
          <w:color w:val="000000"/>
          <w:sz w:val="24"/>
          <w:lang w:eastAsia="zh-TW"/>
        </w:rPr>
        <w:t>圖</w:t>
      </w:r>
      <w:r>
        <w:rPr>
          <w:rFonts w:ascii="Times New Roman" w:eastAsia="標楷體" w:hAnsi="Times New Roman"/>
          <w:b/>
          <w:color w:val="000000"/>
          <w:sz w:val="24"/>
          <w:lang w:eastAsia="zh-TW"/>
        </w:rPr>
        <w:t xml:space="preserve"> 1</w:t>
      </w:r>
      <w:r>
        <w:rPr>
          <w:rFonts w:ascii="Times New Roman" w:eastAsia="標楷體" w:hAnsi="Times New Roman"/>
          <w:b/>
          <w:color w:val="000000"/>
          <w:sz w:val="24"/>
          <w:lang w:eastAsia="zh-TW"/>
        </w:rPr>
        <w:t>：</w:t>
      </w:r>
      <w:r>
        <w:rPr>
          <w:rFonts w:ascii="Times New Roman" w:eastAsia="標楷體" w:hAnsi="Times New Roman"/>
          <w:b/>
          <w:color w:val="000000"/>
          <w:sz w:val="24"/>
          <w:lang w:eastAsia="zh-TW"/>
        </w:rPr>
        <w:t xml:space="preserve">AEGIS </w:t>
      </w:r>
      <w:r>
        <w:rPr>
          <w:rFonts w:ascii="Times New Roman" w:eastAsia="標楷體" w:hAnsi="Times New Roman"/>
          <w:b/>
          <w:color w:val="000000"/>
          <w:sz w:val="24"/>
          <w:lang w:eastAsia="zh-TW"/>
        </w:rPr>
        <w:t>系統整體架構與資料流向圖</w:t>
      </w:r>
    </w:p>
    <w:p w14:paraId="1433096F" w14:textId="77777777" w:rsidR="007E1562" w:rsidRDefault="00000000">
      <w:pPr>
        <w:spacing w:before="240" w:after="120"/>
        <w:rPr>
          <w:lang w:eastAsia="zh-TW"/>
        </w:rPr>
      </w:pPr>
      <w:r>
        <w:rPr>
          <w:rFonts w:ascii="Times New Roman" w:eastAsia="標楷體" w:hAnsi="Times New Roman"/>
          <w:b/>
          <w:sz w:val="26"/>
          <w:lang w:eastAsia="zh-TW"/>
        </w:rPr>
        <w:t xml:space="preserve">2.2 </w:t>
      </w:r>
      <w:r>
        <w:rPr>
          <w:rFonts w:ascii="Times New Roman" w:eastAsia="標楷體" w:hAnsi="Times New Roman"/>
          <w:b/>
          <w:sz w:val="26"/>
          <w:lang w:eastAsia="zh-TW"/>
        </w:rPr>
        <w:t>趨勢偵測運作模式</w:t>
      </w:r>
      <w:r>
        <w:rPr>
          <w:rFonts w:ascii="Times New Roman" w:eastAsia="標楷體" w:hAnsi="Times New Roman"/>
          <w:b/>
          <w:sz w:val="26"/>
          <w:lang w:eastAsia="zh-TW"/>
        </w:rPr>
        <w:t xml:space="preserve"> (Dual-Track Trend Detection)</w:t>
      </w:r>
    </w:p>
    <w:p w14:paraId="04FD9795" w14:textId="77777777" w:rsidR="007E1562" w:rsidRDefault="00000000">
      <w:pPr>
        <w:rPr>
          <w:lang w:eastAsia="zh-TW"/>
        </w:rPr>
      </w:pPr>
      <w:r>
        <w:rPr>
          <w:rFonts w:ascii="Times New Roman" w:eastAsia="標楷體" w:hAnsi="Times New Roman"/>
          <w:sz w:val="24"/>
          <w:lang w:eastAsia="zh-TW"/>
        </w:rPr>
        <w:t>本模組類比於資安系統中的「偵測引擎」，負責全天候監控市場的異常趨勢。</w:t>
      </w:r>
      <w:r>
        <w:rPr>
          <w:rFonts w:ascii="Times New Roman" w:eastAsia="標楷體" w:hAnsi="Times New Roman"/>
          <w:sz w:val="24"/>
          <w:lang w:eastAsia="zh-TW"/>
        </w:rPr>
        <w:br/>
        <w:t xml:space="preserve">1. </w:t>
      </w:r>
      <w:r>
        <w:rPr>
          <w:rFonts w:ascii="Times New Roman" w:eastAsia="標楷體" w:hAnsi="Times New Roman"/>
          <w:sz w:val="24"/>
          <w:lang w:eastAsia="zh-TW"/>
        </w:rPr>
        <w:t>雙軌監控：系統針對</w:t>
      </w:r>
      <w:r>
        <w:rPr>
          <w:rFonts w:ascii="Times New Roman" w:eastAsia="標楷體" w:hAnsi="Times New Roman"/>
          <w:sz w:val="24"/>
          <w:lang w:eastAsia="zh-TW"/>
        </w:rPr>
        <w:t xml:space="preserve"> SPY (</w:t>
      </w:r>
      <w:r>
        <w:rPr>
          <w:rFonts w:ascii="Times New Roman" w:eastAsia="標楷體" w:hAnsi="Times New Roman"/>
          <w:sz w:val="24"/>
          <w:lang w:eastAsia="zh-TW"/>
        </w:rPr>
        <w:t>美股大盤</w:t>
      </w:r>
      <w:r>
        <w:rPr>
          <w:rFonts w:ascii="Times New Roman" w:eastAsia="標楷體" w:hAnsi="Times New Roman"/>
          <w:sz w:val="24"/>
          <w:lang w:eastAsia="zh-TW"/>
        </w:rPr>
        <w:t xml:space="preserve">) </w:t>
      </w:r>
      <w:r>
        <w:rPr>
          <w:rFonts w:ascii="Times New Roman" w:eastAsia="標楷體" w:hAnsi="Times New Roman"/>
          <w:sz w:val="24"/>
          <w:lang w:eastAsia="zh-TW"/>
        </w:rPr>
        <w:t>與</w:t>
      </w:r>
      <w:r>
        <w:rPr>
          <w:rFonts w:ascii="Times New Roman" w:eastAsia="標楷體" w:hAnsi="Times New Roman"/>
          <w:sz w:val="24"/>
          <w:lang w:eastAsia="zh-TW"/>
        </w:rPr>
        <w:t xml:space="preserve"> KRBN (</w:t>
      </w:r>
      <w:r>
        <w:rPr>
          <w:rFonts w:ascii="Times New Roman" w:eastAsia="標楷體" w:hAnsi="Times New Roman"/>
          <w:sz w:val="24"/>
          <w:lang w:eastAsia="zh-TW"/>
        </w:rPr>
        <w:t>全球碳權</w:t>
      </w:r>
      <w:r>
        <w:rPr>
          <w:rFonts w:ascii="Times New Roman" w:eastAsia="標楷體" w:hAnsi="Times New Roman"/>
          <w:sz w:val="24"/>
          <w:lang w:eastAsia="zh-TW"/>
        </w:rPr>
        <w:t xml:space="preserve">) </w:t>
      </w:r>
      <w:r>
        <w:rPr>
          <w:rFonts w:ascii="Times New Roman" w:eastAsia="標楷體" w:hAnsi="Times New Roman"/>
          <w:sz w:val="24"/>
          <w:lang w:eastAsia="zh-TW"/>
        </w:rPr>
        <w:t>建立兩條獨立的監控管線。</w:t>
      </w:r>
      <w:r>
        <w:rPr>
          <w:rFonts w:ascii="Times New Roman" w:eastAsia="標楷體" w:hAnsi="Times New Roman"/>
          <w:sz w:val="24"/>
          <w:lang w:eastAsia="zh-TW"/>
        </w:rPr>
        <w:br/>
        <w:t xml:space="preserve">2. </w:t>
      </w:r>
      <w:r>
        <w:rPr>
          <w:rFonts w:ascii="Times New Roman" w:eastAsia="標楷體" w:hAnsi="Times New Roman"/>
          <w:sz w:val="24"/>
          <w:lang w:eastAsia="zh-TW"/>
        </w:rPr>
        <w:t>特徵提取：計算移動平均線</w:t>
      </w:r>
      <w:r>
        <w:rPr>
          <w:rFonts w:ascii="Times New Roman" w:eastAsia="標楷體" w:hAnsi="Times New Roman"/>
          <w:sz w:val="24"/>
          <w:lang w:eastAsia="zh-TW"/>
        </w:rPr>
        <w:t xml:space="preserve"> (MA)</w:t>
      </w:r>
      <w:r>
        <w:rPr>
          <w:rFonts w:ascii="Times New Roman" w:eastAsia="標楷體" w:hAnsi="Times New Roman"/>
          <w:sz w:val="24"/>
          <w:lang w:eastAsia="zh-TW"/>
        </w:rPr>
        <w:t>、相對強弱指標</w:t>
      </w:r>
      <w:r>
        <w:rPr>
          <w:rFonts w:ascii="Times New Roman" w:eastAsia="標楷體" w:hAnsi="Times New Roman"/>
          <w:sz w:val="24"/>
          <w:lang w:eastAsia="zh-TW"/>
        </w:rPr>
        <w:t xml:space="preserve"> (RSI) </w:t>
      </w:r>
      <w:r>
        <w:rPr>
          <w:rFonts w:ascii="Times New Roman" w:eastAsia="標楷體" w:hAnsi="Times New Roman"/>
          <w:sz w:val="24"/>
          <w:lang w:eastAsia="zh-TW"/>
        </w:rPr>
        <w:t>及歷史波動率，作為判斷市場位階的特徵向量。</w:t>
      </w:r>
      <w:r>
        <w:rPr>
          <w:rFonts w:ascii="Times New Roman" w:eastAsia="標楷體" w:hAnsi="Times New Roman"/>
          <w:sz w:val="24"/>
          <w:lang w:eastAsia="zh-TW"/>
        </w:rPr>
        <w:br/>
        <w:t xml:space="preserve">3. </w:t>
      </w:r>
      <w:r>
        <w:rPr>
          <w:rFonts w:ascii="Times New Roman" w:eastAsia="標楷體" w:hAnsi="Times New Roman"/>
          <w:sz w:val="24"/>
          <w:lang w:eastAsia="zh-TW"/>
        </w:rPr>
        <w:t>模型推論：採用雙層堆疊</w:t>
      </w:r>
      <w:r>
        <w:rPr>
          <w:rFonts w:ascii="Times New Roman" w:eastAsia="標楷體" w:hAnsi="Times New Roman"/>
          <w:sz w:val="24"/>
          <w:lang w:eastAsia="zh-TW"/>
        </w:rPr>
        <w:t xml:space="preserve"> LSTM (Double-Layer LSTM) </w:t>
      </w:r>
      <w:r>
        <w:rPr>
          <w:rFonts w:ascii="Times New Roman" w:eastAsia="標楷體" w:hAnsi="Times New Roman"/>
          <w:sz w:val="24"/>
          <w:lang w:eastAsia="zh-TW"/>
        </w:rPr>
        <w:t>網路作為核心演算法。利用</w:t>
      </w:r>
      <w:r>
        <w:rPr>
          <w:rFonts w:ascii="Times New Roman" w:eastAsia="標楷體" w:hAnsi="Times New Roman"/>
          <w:sz w:val="24"/>
          <w:lang w:eastAsia="zh-TW"/>
        </w:rPr>
        <w:t xml:space="preserve"> LSTM </w:t>
      </w:r>
      <w:r>
        <w:rPr>
          <w:rFonts w:ascii="Times New Roman" w:eastAsia="標楷體" w:hAnsi="Times New Roman"/>
          <w:sz w:val="24"/>
          <w:lang w:eastAsia="zh-TW"/>
        </w:rPr>
        <w:t>的遺忘閘與輸入閘機制，捕捉時間序列中的長期依賴關係，精準預測次日市場趨勢。</w:t>
      </w:r>
    </w:p>
    <w:p w14:paraId="0FACE1B5" w14:textId="77777777" w:rsidR="007E1562" w:rsidRDefault="00000000">
      <w:pPr>
        <w:spacing w:before="240" w:after="120"/>
      </w:pPr>
      <w:r>
        <w:rPr>
          <w:rFonts w:ascii="Times New Roman" w:eastAsia="標楷體" w:hAnsi="Times New Roman"/>
          <w:b/>
          <w:sz w:val="26"/>
        </w:rPr>
        <w:t xml:space="preserve">2.3 </w:t>
      </w:r>
      <w:proofErr w:type="spellStart"/>
      <w:r>
        <w:rPr>
          <w:rFonts w:ascii="Times New Roman" w:eastAsia="標楷體" w:hAnsi="Times New Roman"/>
          <w:b/>
          <w:sz w:val="26"/>
        </w:rPr>
        <w:t>智能風險解讀運作模式</w:t>
      </w:r>
      <w:proofErr w:type="spellEnd"/>
      <w:r>
        <w:rPr>
          <w:rFonts w:ascii="Times New Roman" w:eastAsia="標楷體" w:hAnsi="Times New Roman"/>
          <w:b/>
          <w:sz w:val="26"/>
        </w:rPr>
        <w:t xml:space="preserve"> (Intelligent Risk Interpretation)</w:t>
      </w:r>
    </w:p>
    <w:p w14:paraId="765BA788" w14:textId="77777777" w:rsidR="007E1562" w:rsidRDefault="00000000">
      <w:pPr>
        <w:rPr>
          <w:lang w:eastAsia="zh-TW"/>
        </w:rPr>
      </w:pPr>
      <w:r>
        <w:rPr>
          <w:rFonts w:ascii="Times New Roman" w:eastAsia="標楷體" w:hAnsi="Times New Roman"/>
          <w:sz w:val="24"/>
        </w:rPr>
        <w:lastRenderedPageBreak/>
        <w:t>本模組類比於資安系統中的「事件分析師」，負責將冷冰冰的數據轉化為具體的風險評估。</w:t>
      </w:r>
      <w:r>
        <w:rPr>
          <w:rFonts w:ascii="Times New Roman" w:eastAsia="標楷體" w:hAnsi="Times New Roman"/>
          <w:sz w:val="24"/>
        </w:rPr>
        <w:br/>
        <w:t xml:space="preserve">1. </w:t>
      </w:r>
      <w:r>
        <w:rPr>
          <w:rFonts w:ascii="Times New Roman" w:eastAsia="標楷體" w:hAnsi="Times New Roman"/>
          <w:sz w:val="24"/>
        </w:rPr>
        <w:t>生成式核心：導入</w:t>
      </w:r>
      <w:r>
        <w:rPr>
          <w:rFonts w:ascii="Times New Roman" w:eastAsia="標楷體" w:hAnsi="Times New Roman"/>
          <w:sz w:val="24"/>
        </w:rPr>
        <w:t xml:space="preserve"> OpenAI GPT-4 </w:t>
      </w:r>
      <w:r>
        <w:rPr>
          <w:rFonts w:ascii="Times New Roman" w:eastAsia="標楷體" w:hAnsi="Times New Roman"/>
          <w:sz w:val="24"/>
        </w:rPr>
        <w:t>模型作為語意分析引擎。</w:t>
      </w:r>
      <w:r>
        <w:rPr>
          <w:rFonts w:ascii="Times New Roman" w:eastAsia="標楷體" w:hAnsi="Times New Roman"/>
          <w:sz w:val="24"/>
        </w:rPr>
        <w:br/>
        <w:t xml:space="preserve">2. </w:t>
      </w:r>
      <w:r>
        <w:rPr>
          <w:rFonts w:ascii="Times New Roman" w:eastAsia="標楷體" w:hAnsi="Times New Roman"/>
          <w:sz w:val="24"/>
        </w:rPr>
        <w:t>動態提示工程</w:t>
      </w:r>
      <w:r>
        <w:rPr>
          <w:rFonts w:ascii="Times New Roman" w:eastAsia="標楷體" w:hAnsi="Times New Roman"/>
          <w:sz w:val="24"/>
        </w:rPr>
        <w:t xml:space="preserve"> (Dynamic Prompting)</w:t>
      </w:r>
      <w:r>
        <w:rPr>
          <w:rFonts w:ascii="Times New Roman" w:eastAsia="標楷體" w:hAnsi="Times New Roman"/>
          <w:sz w:val="24"/>
        </w:rPr>
        <w:t>：系統將偵測模組輸出的量化指標（如：</w:t>
      </w:r>
      <w:r>
        <w:rPr>
          <w:rFonts w:ascii="Times New Roman" w:eastAsia="標楷體" w:hAnsi="Times New Roman"/>
          <w:sz w:val="24"/>
        </w:rPr>
        <w:t xml:space="preserve">KRBN </w:t>
      </w:r>
      <w:r>
        <w:rPr>
          <w:rFonts w:ascii="Times New Roman" w:eastAsia="標楷體" w:hAnsi="Times New Roman"/>
          <w:sz w:val="24"/>
        </w:rPr>
        <w:t>預測信心度</w:t>
      </w:r>
      <w:r>
        <w:rPr>
          <w:rFonts w:ascii="Times New Roman" w:eastAsia="標楷體" w:hAnsi="Times New Roman"/>
          <w:sz w:val="24"/>
        </w:rPr>
        <w:t xml:space="preserve"> 85%</w:t>
      </w:r>
      <w:r>
        <w:rPr>
          <w:rFonts w:ascii="Times New Roman" w:eastAsia="標楷體" w:hAnsi="Times New Roman"/>
          <w:sz w:val="24"/>
        </w:rPr>
        <w:t>）動態組裝成結構化</w:t>
      </w:r>
      <w:r>
        <w:rPr>
          <w:rFonts w:ascii="Times New Roman" w:eastAsia="標楷體" w:hAnsi="Times New Roman"/>
          <w:sz w:val="24"/>
        </w:rPr>
        <w:t xml:space="preserve"> Prompt</w:t>
      </w:r>
      <w:r>
        <w:rPr>
          <w:rFonts w:ascii="Times New Roman" w:eastAsia="標楷體" w:hAnsi="Times New Roman"/>
          <w:sz w:val="24"/>
        </w:rPr>
        <w:t>，要求</w:t>
      </w:r>
      <w:r>
        <w:rPr>
          <w:rFonts w:ascii="Times New Roman" w:eastAsia="標楷體" w:hAnsi="Times New Roman"/>
          <w:sz w:val="24"/>
        </w:rPr>
        <w:t xml:space="preserve"> AI </w:t>
      </w:r>
      <w:r>
        <w:rPr>
          <w:rFonts w:ascii="Times New Roman" w:eastAsia="標楷體" w:hAnsi="Times New Roman"/>
          <w:sz w:val="24"/>
        </w:rPr>
        <w:t>扮演「氣候金融專家」角色。</w:t>
      </w:r>
      <w:r>
        <w:rPr>
          <w:rFonts w:ascii="Times New Roman" w:eastAsia="標楷體" w:hAnsi="Times New Roman"/>
          <w:sz w:val="24"/>
        </w:rPr>
        <w:br/>
      </w:r>
      <w:r>
        <w:rPr>
          <w:rFonts w:ascii="Times New Roman" w:eastAsia="標楷體" w:hAnsi="Times New Roman"/>
          <w:sz w:val="24"/>
          <w:lang w:eastAsia="zh-TW"/>
        </w:rPr>
        <w:t xml:space="preserve">3. </w:t>
      </w:r>
      <w:r>
        <w:rPr>
          <w:rFonts w:ascii="Times New Roman" w:eastAsia="標楷體" w:hAnsi="Times New Roman"/>
          <w:sz w:val="24"/>
          <w:lang w:eastAsia="zh-TW"/>
        </w:rPr>
        <w:t>關聯性分析：模型重點分析「碳價趨勢」對「美股企業成本」的連動影響，生成具備邏輯推演的風險摘要。</w:t>
      </w:r>
    </w:p>
    <w:p w14:paraId="3536F0E3" w14:textId="77777777" w:rsidR="007E1562" w:rsidRDefault="00000000">
      <w:pPr>
        <w:spacing w:before="240" w:after="120"/>
        <w:rPr>
          <w:lang w:eastAsia="zh-TW"/>
        </w:rPr>
      </w:pPr>
      <w:r>
        <w:rPr>
          <w:rFonts w:ascii="Times New Roman" w:eastAsia="標楷體" w:hAnsi="Times New Roman"/>
          <w:b/>
          <w:sz w:val="26"/>
          <w:lang w:eastAsia="zh-TW"/>
        </w:rPr>
        <w:t xml:space="preserve">2.4 </w:t>
      </w:r>
      <w:r>
        <w:rPr>
          <w:rFonts w:ascii="Times New Roman" w:eastAsia="標楷體" w:hAnsi="Times New Roman"/>
          <w:b/>
          <w:sz w:val="26"/>
          <w:lang w:eastAsia="zh-TW"/>
        </w:rPr>
        <w:t>偵測與解讀之協同運作</w:t>
      </w:r>
      <w:r>
        <w:rPr>
          <w:rFonts w:ascii="Times New Roman" w:eastAsia="標楷體" w:hAnsi="Times New Roman"/>
          <w:b/>
          <w:sz w:val="26"/>
          <w:lang w:eastAsia="zh-TW"/>
        </w:rPr>
        <w:t xml:space="preserve"> (Synergy Mechanism)</w:t>
      </w:r>
    </w:p>
    <w:p w14:paraId="17C3FE46" w14:textId="77777777" w:rsidR="007E1562" w:rsidRDefault="00000000">
      <w:pPr>
        <w:rPr>
          <w:lang w:eastAsia="zh-TW"/>
        </w:rPr>
      </w:pPr>
      <w:r>
        <w:rPr>
          <w:rFonts w:ascii="Times New Roman" w:eastAsia="標楷體" w:hAnsi="Times New Roman"/>
          <w:sz w:val="24"/>
          <w:lang w:eastAsia="zh-TW"/>
        </w:rPr>
        <w:t>本系統之創新點在於上述兩大模組的協同運作機制。當「趨勢偵測模組」識別出碳權市場</w:t>
      </w:r>
      <w:r>
        <w:rPr>
          <w:rFonts w:ascii="Times New Roman" w:eastAsia="標楷體" w:hAnsi="Times New Roman"/>
          <w:sz w:val="24"/>
          <w:lang w:eastAsia="zh-TW"/>
        </w:rPr>
        <w:t xml:space="preserve"> (KRBN) </w:t>
      </w:r>
      <w:r>
        <w:rPr>
          <w:rFonts w:ascii="Times New Roman" w:eastAsia="標楷體" w:hAnsi="Times New Roman"/>
          <w:sz w:val="24"/>
          <w:lang w:eastAsia="zh-TW"/>
        </w:rPr>
        <w:t>出現劇烈波動時，會立即觸發「風險解讀模組」介入，針對該特定事件生成專屬的警示報告。透過此機制，系統能將抽象的數據波動，即時轉化為具體的投資建議，落實自動化的風險管理。</w:t>
      </w:r>
    </w:p>
    <w:p w14:paraId="54FE73AF" w14:textId="77777777" w:rsidR="007E1562" w:rsidRDefault="00000000">
      <w:pPr>
        <w:spacing w:before="240" w:after="120"/>
        <w:rPr>
          <w:lang w:eastAsia="zh-TW"/>
        </w:rPr>
      </w:pPr>
      <w:r>
        <w:rPr>
          <w:rFonts w:ascii="Times New Roman" w:eastAsia="標楷體" w:hAnsi="Times New Roman"/>
          <w:b/>
          <w:sz w:val="28"/>
          <w:lang w:eastAsia="zh-TW"/>
        </w:rPr>
        <w:t xml:space="preserve">3. </w:t>
      </w:r>
      <w:r>
        <w:rPr>
          <w:rFonts w:ascii="Times New Roman" w:eastAsia="標楷體" w:hAnsi="Times New Roman"/>
          <w:b/>
          <w:sz w:val="28"/>
          <w:lang w:eastAsia="zh-TW"/>
        </w:rPr>
        <w:t>實驗與測試成果</w:t>
      </w:r>
    </w:p>
    <w:p w14:paraId="40A8D984" w14:textId="77777777" w:rsidR="007E1562" w:rsidRDefault="00000000">
      <w:pPr>
        <w:rPr>
          <w:lang w:eastAsia="zh-TW"/>
        </w:rPr>
      </w:pPr>
      <w:r>
        <w:rPr>
          <w:rFonts w:ascii="Times New Roman" w:eastAsia="標楷體" w:hAnsi="Times New Roman"/>
          <w:sz w:val="24"/>
          <w:lang w:eastAsia="zh-TW"/>
        </w:rPr>
        <w:t>本研究使用</w:t>
      </w:r>
      <w:r>
        <w:rPr>
          <w:rFonts w:ascii="Times New Roman" w:eastAsia="標楷體" w:hAnsi="Times New Roman"/>
          <w:sz w:val="24"/>
          <w:lang w:eastAsia="zh-TW"/>
        </w:rPr>
        <w:t xml:space="preserve"> 2010 </w:t>
      </w:r>
      <w:r>
        <w:rPr>
          <w:rFonts w:ascii="Times New Roman" w:eastAsia="標楷體" w:hAnsi="Times New Roman"/>
          <w:sz w:val="24"/>
          <w:lang w:eastAsia="zh-TW"/>
        </w:rPr>
        <w:t>年至</w:t>
      </w:r>
      <w:r>
        <w:rPr>
          <w:rFonts w:ascii="Times New Roman" w:eastAsia="標楷體" w:hAnsi="Times New Roman"/>
          <w:sz w:val="24"/>
          <w:lang w:eastAsia="zh-TW"/>
        </w:rPr>
        <w:t xml:space="preserve"> 2025 </w:t>
      </w:r>
      <w:r>
        <w:rPr>
          <w:rFonts w:ascii="Times New Roman" w:eastAsia="標楷體" w:hAnsi="Times New Roman"/>
          <w:sz w:val="24"/>
          <w:lang w:eastAsia="zh-TW"/>
        </w:rPr>
        <w:t>年之歷史數據進行實作驗證。</w:t>
      </w:r>
    </w:p>
    <w:p w14:paraId="28AD67BC" w14:textId="77777777" w:rsidR="007E1562" w:rsidRDefault="00000000">
      <w:pPr>
        <w:spacing w:before="240" w:after="120"/>
        <w:rPr>
          <w:lang w:eastAsia="zh-TW"/>
        </w:rPr>
      </w:pPr>
      <w:r>
        <w:rPr>
          <w:rFonts w:ascii="Times New Roman" w:eastAsia="標楷體" w:hAnsi="Times New Roman"/>
          <w:b/>
          <w:sz w:val="26"/>
          <w:lang w:eastAsia="zh-TW"/>
        </w:rPr>
        <w:t xml:space="preserve">3.1 </w:t>
      </w:r>
      <w:r>
        <w:rPr>
          <w:rFonts w:ascii="Times New Roman" w:eastAsia="標楷體" w:hAnsi="Times New Roman"/>
          <w:b/>
          <w:sz w:val="26"/>
          <w:lang w:eastAsia="zh-TW"/>
        </w:rPr>
        <w:t>模型效能分析</w:t>
      </w:r>
    </w:p>
    <w:p w14:paraId="1F71556A" w14:textId="77777777" w:rsidR="007E1562" w:rsidRDefault="00000000">
      <w:pPr>
        <w:rPr>
          <w:lang w:eastAsia="zh-TW"/>
        </w:rPr>
      </w:pPr>
      <w:r>
        <w:rPr>
          <w:rFonts w:ascii="Times New Roman" w:eastAsia="標楷體" w:hAnsi="Times New Roman"/>
          <w:sz w:val="24"/>
          <w:lang w:eastAsia="zh-TW"/>
        </w:rPr>
        <w:t>針對趨勢偵測模組，我們比較了不同演算法的表現。實驗結果顯示，在結構複雜的美股市場</w:t>
      </w:r>
      <w:r>
        <w:rPr>
          <w:rFonts w:ascii="Times New Roman" w:eastAsia="標楷體" w:hAnsi="Times New Roman"/>
          <w:sz w:val="24"/>
          <w:lang w:eastAsia="zh-TW"/>
        </w:rPr>
        <w:t xml:space="preserve"> (SPY) </w:t>
      </w:r>
      <w:r>
        <w:rPr>
          <w:rFonts w:ascii="Times New Roman" w:eastAsia="標楷體" w:hAnsi="Times New Roman"/>
          <w:sz w:val="24"/>
          <w:lang w:eastAsia="zh-TW"/>
        </w:rPr>
        <w:t>中，雙層</w:t>
      </w:r>
      <w:r>
        <w:rPr>
          <w:rFonts w:ascii="Times New Roman" w:eastAsia="標楷體" w:hAnsi="Times New Roman"/>
          <w:sz w:val="24"/>
          <w:lang w:eastAsia="zh-TW"/>
        </w:rPr>
        <w:t xml:space="preserve"> LSTM </w:t>
      </w:r>
      <w:r>
        <w:rPr>
          <w:rFonts w:ascii="Times New Roman" w:eastAsia="標楷體" w:hAnsi="Times New Roman"/>
          <w:sz w:val="24"/>
          <w:lang w:eastAsia="zh-TW"/>
        </w:rPr>
        <w:t>架構的</w:t>
      </w:r>
      <w:r>
        <w:rPr>
          <w:rFonts w:ascii="Times New Roman" w:eastAsia="標楷體" w:hAnsi="Times New Roman"/>
          <w:sz w:val="24"/>
          <w:lang w:eastAsia="zh-TW"/>
        </w:rPr>
        <w:t xml:space="preserve"> F1-Score </w:t>
      </w:r>
      <w:r>
        <w:rPr>
          <w:rFonts w:ascii="Times New Roman" w:eastAsia="標楷體" w:hAnsi="Times New Roman"/>
          <w:sz w:val="24"/>
          <w:lang w:eastAsia="zh-TW"/>
        </w:rPr>
        <w:t>達到</w:t>
      </w:r>
      <w:r>
        <w:rPr>
          <w:rFonts w:ascii="Times New Roman" w:eastAsia="標楷體" w:hAnsi="Times New Roman"/>
          <w:sz w:val="24"/>
          <w:lang w:eastAsia="zh-TW"/>
        </w:rPr>
        <w:t xml:space="preserve"> 0.733</w:t>
      </w:r>
      <w:r>
        <w:rPr>
          <w:rFonts w:ascii="Times New Roman" w:eastAsia="標楷體" w:hAnsi="Times New Roman"/>
          <w:sz w:val="24"/>
          <w:lang w:eastAsia="zh-TW"/>
        </w:rPr>
        <w:t>，顯著優於傳統隨機森林模型。而在碳權市場</w:t>
      </w:r>
      <w:r>
        <w:rPr>
          <w:rFonts w:ascii="Times New Roman" w:eastAsia="標楷體" w:hAnsi="Times New Roman"/>
          <w:sz w:val="24"/>
          <w:lang w:eastAsia="zh-TW"/>
        </w:rPr>
        <w:t xml:space="preserve"> (KRBN) </w:t>
      </w:r>
      <w:r>
        <w:rPr>
          <w:rFonts w:ascii="Times New Roman" w:eastAsia="標楷體" w:hAnsi="Times New Roman"/>
          <w:sz w:val="24"/>
          <w:lang w:eastAsia="zh-TW"/>
        </w:rPr>
        <w:t>中，數據暗示了碳權價格的波動邏輯具有高度的「隨機性」與「雜訊特徵」。不同於股市受財報與經濟數據驅動，碳權資產更常受到非市場因素（如歐盟</w:t>
      </w:r>
      <w:r>
        <w:rPr>
          <w:rFonts w:ascii="Times New Roman" w:eastAsia="標楷體" w:hAnsi="Times New Roman"/>
          <w:sz w:val="24"/>
          <w:lang w:eastAsia="zh-TW"/>
        </w:rPr>
        <w:t xml:space="preserve"> ETS </w:t>
      </w:r>
      <w:r>
        <w:rPr>
          <w:rFonts w:ascii="Times New Roman" w:eastAsia="標楷體" w:hAnsi="Times New Roman"/>
          <w:sz w:val="24"/>
          <w:lang w:eastAsia="zh-TW"/>
        </w:rPr>
        <w:t>碳定價政策公告、各國碳稅法規變動）的突發性干擾，導致歷史價格的非線性規律較難被</w:t>
      </w:r>
      <w:r>
        <w:rPr>
          <w:rFonts w:ascii="Times New Roman" w:eastAsia="標楷體" w:hAnsi="Times New Roman"/>
          <w:sz w:val="24"/>
          <w:lang w:eastAsia="zh-TW"/>
        </w:rPr>
        <w:t xml:space="preserve"> LSTM </w:t>
      </w:r>
      <w:r>
        <w:rPr>
          <w:rFonts w:ascii="Times New Roman" w:eastAsia="標楷體" w:hAnsi="Times New Roman"/>
          <w:sz w:val="24"/>
          <w:lang w:eastAsia="zh-TW"/>
        </w:rPr>
        <w:t>完整捕捉。</w:t>
      </w:r>
    </w:p>
    <w:p w14:paraId="59E68D3C" w14:textId="77777777" w:rsidR="007E1562" w:rsidRDefault="00000000">
      <w:pPr>
        <w:jc w:val="center"/>
      </w:pPr>
      <w:r>
        <w:rPr>
          <w:rFonts w:ascii="Times New Roman" w:eastAsia="標楷體" w:hAnsi="Times New Roman"/>
          <w:b/>
          <w:sz w:val="24"/>
        </w:rPr>
        <w:t>表</w:t>
      </w:r>
      <w:r>
        <w:rPr>
          <w:rFonts w:ascii="Times New Roman" w:eastAsia="標楷體" w:hAnsi="Times New Roman"/>
          <w:b/>
          <w:sz w:val="24"/>
        </w:rPr>
        <w:t xml:space="preserve"> 1</w:t>
      </w:r>
      <w:r>
        <w:rPr>
          <w:rFonts w:ascii="Times New Roman" w:eastAsia="標楷體" w:hAnsi="Times New Roman"/>
          <w:b/>
          <w:sz w:val="24"/>
        </w:rPr>
        <w:t>：各模型於雙軌市場之效能比較</w:t>
      </w:r>
      <w:r>
        <w:rPr>
          <w:rFonts w:ascii="Times New Roman" w:eastAsia="標楷體" w:hAnsi="Times New Roman"/>
          <w:b/>
          <w:sz w:val="24"/>
        </w:rPr>
        <w:t xml:space="preserve"> (F1-Score)</w:t>
      </w:r>
    </w:p>
    <w:tbl>
      <w:tblPr>
        <w:tblStyle w:val="aff2"/>
        <w:tblW w:w="0" w:type="auto"/>
        <w:jc w:val="center"/>
        <w:tblLook w:val="04A0" w:firstRow="1" w:lastRow="0" w:firstColumn="1" w:lastColumn="0" w:noHBand="0" w:noVBand="1"/>
      </w:tblPr>
      <w:tblGrid>
        <w:gridCol w:w="2160"/>
        <w:gridCol w:w="2160"/>
        <w:gridCol w:w="2160"/>
        <w:gridCol w:w="2160"/>
      </w:tblGrid>
      <w:tr w:rsidR="007E1562" w14:paraId="0D919F4D" w14:textId="77777777">
        <w:trPr>
          <w:jc w:val="center"/>
        </w:trPr>
        <w:tc>
          <w:tcPr>
            <w:tcW w:w="2160" w:type="dxa"/>
          </w:tcPr>
          <w:p w14:paraId="7CC52CCE" w14:textId="77777777" w:rsidR="007E1562" w:rsidRDefault="00000000">
            <w:pPr>
              <w:jc w:val="center"/>
            </w:pPr>
            <w:r>
              <w:rPr>
                <w:rFonts w:ascii="Times New Roman" w:eastAsia="標楷體" w:hAnsi="Times New Roman"/>
                <w:b/>
              </w:rPr>
              <w:t>Model</w:t>
            </w:r>
          </w:p>
        </w:tc>
        <w:tc>
          <w:tcPr>
            <w:tcW w:w="2160" w:type="dxa"/>
          </w:tcPr>
          <w:p w14:paraId="3354DE43" w14:textId="77777777" w:rsidR="007E1562" w:rsidRDefault="00000000">
            <w:pPr>
              <w:jc w:val="center"/>
            </w:pPr>
            <w:r>
              <w:rPr>
                <w:rFonts w:ascii="Times New Roman" w:eastAsia="標楷體" w:hAnsi="Times New Roman"/>
                <w:b/>
              </w:rPr>
              <w:t>SPY (</w:t>
            </w:r>
            <w:r>
              <w:rPr>
                <w:rFonts w:ascii="Times New Roman" w:eastAsia="標楷體" w:hAnsi="Times New Roman"/>
                <w:b/>
              </w:rPr>
              <w:t>美股大盤</w:t>
            </w:r>
            <w:r>
              <w:rPr>
                <w:rFonts w:ascii="Times New Roman" w:eastAsia="標楷體" w:hAnsi="Times New Roman"/>
                <w:b/>
              </w:rPr>
              <w:t>)</w:t>
            </w:r>
          </w:p>
        </w:tc>
        <w:tc>
          <w:tcPr>
            <w:tcW w:w="2160" w:type="dxa"/>
          </w:tcPr>
          <w:p w14:paraId="59DF7AE4" w14:textId="77777777" w:rsidR="007E1562" w:rsidRDefault="00000000">
            <w:pPr>
              <w:jc w:val="center"/>
            </w:pPr>
            <w:r>
              <w:rPr>
                <w:rFonts w:ascii="Times New Roman" w:eastAsia="標楷體" w:hAnsi="Times New Roman"/>
                <w:b/>
              </w:rPr>
              <w:t>QQQ (</w:t>
            </w:r>
            <w:r>
              <w:rPr>
                <w:rFonts w:ascii="Times New Roman" w:eastAsia="標楷體" w:hAnsi="Times New Roman"/>
                <w:b/>
              </w:rPr>
              <w:t>科技股</w:t>
            </w:r>
            <w:r>
              <w:rPr>
                <w:rFonts w:ascii="Times New Roman" w:eastAsia="標楷體" w:hAnsi="Times New Roman"/>
                <w:b/>
              </w:rPr>
              <w:t>)</w:t>
            </w:r>
          </w:p>
        </w:tc>
        <w:tc>
          <w:tcPr>
            <w:tcW w:w="2160" w:type="dxa"/>
          </w:tcPr>
          <w:p w14:paraId="6D7A72C3" w14:textId="77777777" w:rsidR="007E1562" w:rsidRDefault="00000000">
            <w:pPr>
              <w:jc w:val="center"/>
            </w:pPr>
            <w:r>
              <w:rPr>
                <w:rFonts w:ascii="Times New Roman" w:eastAsia="標楷體" w:hAnsi="Times New Roman"/>
                <w:b/>
              </w:rPr>
              <w:t>KRBN (</w:t>
            </w:r>
            <w:r>
              <w:rPr>
                <w:rFonts w:ascii="Times New Roman" w:eastAsia="標楷體" w:hAnsi="Times New Roman"/>
                <w:b/>
              </w:rPr>
              <w:t>碳權</w:t>
            </w:r>
            <w:r>
              <w:rPr>
                <w:rFonts w:ascii="Times New Roman" w:eastAsia="標楷體" w:hAnsi="Times New Roman"/>
                <w:b/>
              </w:rPr>
              <w:t>)</w:t>
            </w:r>
          </w:p>
        </w:tc>
      </w:tr>
      <w:tr w:rsidR="007E1562" w14:paraId="600DC03C" w14:textId="77777777">
        <w:trPr>
          <w:jc w:val="center"/>
        </w:trPr>
        <w:tc>
          <w:tcPr>
            <w:tcW w:w="2160" w:type="dxa"/>
          </w:tcPr>
          <w:p w14:paraId="2698F536" w14:textId="77777777" w:rsidR="007E1562" w:rsidRDefault="00000000">
            <w:pPr>
              <w:jc w:val="center"/>
            </w:pPr>
            <w:r>
              <w:rPr>
                <w:rFonts w:ascii="Times New Roman" w:eastAsia="標楷體" w:hAnsi="Times New Roman"/>
              </w:rPr>
              <w:t>RandomForest</w:t>
            </w:r>
          </w:p>
        </w:tc>
        <w:tc>
          <w:tcPr>
            <w:tcW w:w="2160" w:type="dxa"/>
          </w:tcPr>
          <w:p w14:paraId="5503E0D9" w14:textId="77777777" w:rsidR="007E1562" w:rsidRDefault="00000000">
            <w:pPr>
              <w:jc w:val="center"/>
            </w:pPr>
            <w:r>
              <w:rPr>
                <w:rFonts w:ascii="Times New Roman" w:eastAsia="標楷體" w:hAnsi="Times New Roman"/>
              </w:rPr>
              <w:t>0.725</w:t>
            </w:r>
          </w:p>
        </w:tc>
        <w:tc>
          <w:tcPr>
            <w:tcW w:w="2160" w:type="dxa"/>
          </w:tcPr>
          <w:p w14:paraId="10D5C292" w14:textId="77777777" w:rsidR="007E1562" w:rsidRDefault="00000000">
            <w:pPr>
              <w:jc w:val="center"/>
            </w:pPr>
            <w:r>
              <w:rPr>
                <w:rFonts w:ascii="Times New Roman" w:eastAsia="標楷體" w:hAnsi="Times New Roman"/>
              </w:rPr>
              <w:t>0.732</w:t>
            </w:r>
          </w:p>
        </w:tc>
        <w:tc>
          <w:tcPr>
            <w:tcW w:w="2160" w:type="dxa"/>
          </w:tcPr>
          <w:p w14:paraId="7396176E" w14:textId="77777777" w:rsidR="007E1562" w:rsidRDefault="00000000">
            <w:pPr>
              <w:jc w:val="center"/>
            </w:pPr>
            <w:r>
              <w:rPr>
                <w:rFonts w:ascii="Times New Roman" w:eastAsia="標楷體" w:hAnsi="Times New Roman"/>
              </w:rPr>
              <w:t>0.585</w:t>
            </w:r>
          </w:p>
        </w:tc>
      </w:tr>
      <w:tr w:rsidR="007E1562" w14:paraId="591FF3E3" w14:textId="77777777">
        <w:trPr>
          <w:jc w:val="center"/>
        </w:trPr>
        <w:tc>
          <w:tcPr>
            <w:tcW w:w="2160" w:type="dxa"/>
          </w:tcPr>
          <w:p w14:paraId="0A949F95" w14:textId="77777777" w:rsidR="007E1562" w:rsidRDefault="00000000">
            <w:pPr>
              <w:jc w:val="center"/>
            </w:pPr>
            <w:r>
              <w:rPr>
                <w:rFonts w:ascii="Times New Roman" w:eastAsia="標楷體" w:hAnsi="Times New Roman"/>
              </w:rPr>
              <w:t>SingleLayerLSTM</w:t>
            </w:r>
          </w:p>
        </w:tc>
        <w:tc>
          <w:tcPr>
            <w:tcW w:w="2160" w:type="dxa"/>
          </w:tcPr>
          <w:p w14:paraId="02BACC2F" w14:textId="77777777" w:rsidR="007E1562" w:rsidRDefault="00000000">
            <w:pPr>
              <w:jc w:val="center"/>
            </w:pPr>
            <w:r>
              <w:rPr>
                <w:rFonts w:ascii="Times New Roman" w:eastAsia="標楷體" w:hAnsi="Times New Roman"/>
              </w:rPr>
              <w:t>0.728</w:t>
            </w:r>
          </w:p>
        </w:tc>
        <w:tc>
          <w:tcPr>
            <w:tcW w:w="2160" w:type="dxa"/>
          </w:tcPr>
          <w:p w14:paraId="5337CB44" w14:textId="77777777" w:rsidR="007E1562" w:rsidRDefault="00000000">
            <w:pPr>
              <w:jc w:val="center"/>
            </w:pPr>
            <w:r>
              <w:rPr>
                <w:rFonts w:ascii="Times New Roman" w:eastAsia="標楷體" w:hAnsi="Times New Roman"/>
              </w:rPr>
              <w:t>0.722</w:t>
            </w:r>
          </w:p>
        </w:tc>
        <w:tc>
          <w:tcPr>
            <w:tcW w:w="2160" w:type="dxa"/>
          </w:tcPr>
          <w:p w14:paraId="1E7DBF48" w14:textId="77777777" w:rsidR="007E1562" w:rsidRDefault="00000000">
            <w:pPr>
              <w:jc w:val="center"/>
            </w:pPr>
            <w:r>
              <w:rPr>
                <w:rFonts w:ascii="Times New Roman" w:eastAsia="標楷體" w:hAnsi="Times New Roman"/>
              </w:rPr>
              <w:t>0.612</w:t>
            </w:r>
          </w:p>
        </w:tc>
      </w:tr>
      <w:tr w:rsidR="007E1562" w14:paraId="479B0DF0" w14:textId="77777777">
        <w:trPr>
          <w:jc w:val="center"/>
        </w:trPr>
        <w:tc>
          <w:tcPr>
            <w:tcW w:w="2160" w:type="dxa"/>
          </w:tcPr>
          <w:p w14:paraId="39DC374A" w14:textId="77777777" w:rsidR="007E1562" w:rsidRDefault="00000000">
            <w:pPr>
              <w:jc w:val="center"/>
            </w:pPr>
            <w:r>
              <w:rPr>
                <w:rFonts w:ascii="Times New Roman" w:eastAsia="標楷體" w:hAnsi="Times New Roman"/>
              </w:rPr>
              <w:t>DoubleLayerLSTM</w:t>
            </w:r>
          </w:p>
        </w:tc>
        <w:tc>
          <w:tcPr>
            <w:tcW w:w="2160" w:type="dxa"/>
          </w:tcPr>
          <w:p w14:paraId="5041D3F8" w14:textId="77777777" w:rsidR="007E1562" w:rsidRDefault="00000000">
            <w:pPr>
              <w:jc w:val="center"/>
            </w:pPr>
            <w:r>
              <w:rPr>
                <w:rFonts w:ascii="Times New Roman" w:eastAsia="標楷體" w:hAnsi="Times New Roman"/>
              </w:rPr>
              <w:t>0.733</w:t>
            </w:r>
          </w:p>
        </w:tc>
        <w:tc>
          <w:tcPr>
            <w:tcW w:w="2160" w:type="dxa"/>
          </w:tcPr>
          <w:p w14:paraId="086DB2E1" w14:textId="77777777" w:rsidR="007E1562" w:rsidRDefault="00000000">
            <w:pPr>
              <w:jc w:val="center"/>
            </w:pPr>
            <w:r>
              <w:rPr>
                <w:rFonts w:ascii="Times New Roman" w:eastAsia="標楷體" w:hAnsi="Times New Roman"/>
              </w:rPr>
              <w:t>0.711</w:t>
            </w:r>
          </w:p>
        </w:tc>
        <w:tc>
          <w:tcPr>
            <w:tcW w:w="2160" w:type="dxa"/>
          </w:tcPr>
          <w:p w14:paraId="737416C9" w14:textId="77777777" w:rsidR="007E1562" w:rsidRDefault="00000000">
            <w:pPr>
              <w:jc w:val="center"/>
            </w:pPr>
            <w:r>
              <w:rPr>
                <w:rFonts w:ascii="Times New Roman" w:eastAsia="標楷體" w:hAnsi="Times New Roman"/>
              </w:rPr>
              <w:t>0.608</w:t>
            </w:r>
          </w:p>
        </w:tc>
      </w:tr>
    </w:tbl>
    <w:p w14:paraId="22727FD7" w14:textId="77777777" w:rsidR="007E1562" w:rsidRDefault="007E1562"/>
    <w:p w14:paraId="1D9F11CE" w14:textId="77777777" w:rsidR="007E1562" w:rsidRDefault="00000000">
      <w:pPr>
        <w:spacing w:before="240" w:after="120"/>
        <w:rPr>
          <w:lang w:eastAsia="zh-TW"/>
        </w:rPr>
      </w:pPr>
      <w:r>
        <w:rPr>
          <w:rFonts w:ascii="Times New Roman" w:eastAsia="標楷體" w:hAnsi="Times New Roman"/>
          <w:b/>
          <w:sz w:val="26"/>
          <w:lang w:eastAsia="zh-TW"/>
        </w:rPr>
        <w:t xml:space="preserve">3.2 </w:t>
      </w:r>
      <w:r>
        <w:rPr>
          <w:rFonts w:ascii="Times New Roman" w:eastAsia="標楷體" w:hAnsi="Times New Roman"/>
          <w:b/>
          <w:sz w:val="26"/>
          <w:lang w:eastAsia="zh-TW"/>
        </w:rPr>
        <w:t>跨資產泛化能力與差異分析</w:t>
      </w:r>
    </w:p>
    <w:p w14:paraId="7A7AD63D" w14:textId="77777777" w:rsidR="007E1562" w:rsidRDefault="00000000">
      <w:pPr>
        <w:rPr>
          <w:lang w:eastAsia="zh-TW"/>
        </w:rPr>
      </w:pPr>
      <w:r>
        <w:rPr>
          <w:rFonts w:ascii="Times New Roman" w:eastAsia="標楷體" w:hAnsi="Times New Roman"/>
          <w:sz w:val="24"/>
          <w:lang w:eastAsia="zh-TW"/>
        </w:rPr>
        <w:t>為探討模型在不同性質資產間的泛化能力，本節進一步比較模型在「成長型資產（</w:t>
      </w:r>
      <w:r>
        <w:rPr>
          <w:rFonts w:ascii="Times New Roman" w:eastAsia="標楷體" w:hAnsi="Times New Roman"/>
          <w:sz w:val="24"/>
          <w:lang w:eastAsia="zh-TW"/>
        </w:rPr>
        <w:t>SPY</w:t>
      </w:r>
      <w:r>
        <w:rPr>
          <w:rFonts w:ascii="Times New Roman" w:eastAsia="標楷體" w:hAnsi="Times New Roman"/>
          <w:sz w:val="24"/>
          <w:lang w:eastAsia="zh-TW"/>
        </w:rPr>
        <w:t>）」與「氣候避險資產（</w:t>
      </w:r>
      <w:r>
        <w:rPr>
          <w:rFonts w:ascii="Times New Roman" w:eastAsia="標楷體" w:hAnsi="Times New Roman"/>
          <w:sz w:val="24"/>
          <w:lang w:eastAsia="zh-TW"/>
        </w:rPr>
        <w:t>KRBN</w:t>
      </w:r>
      <w:r>
        <w:rPr>
          <w:rFonts w:ascii="Times New Roman" w:eastAsia="標楷體" w:hAnsi="Times New Roman"/>
          <w:sz w:val="24"/>
          <w:lang w:eastAsia="zh-TW"/>
        </w:rPr>
        <w:t>）」上的表現差異（如圖</w:t>
      </w:r>
      <w:r>
        <w:rPr>
          <w:rFonts w:ascii="Times New Roman" w:eastAsia="標楷體" w:hAnsi="Times New Roman"/>
          <w:sz w:val="24"/>
          <w:lang w:eastAsia="zh-TW"/>
        </w:rPr>
        <w:t xml:space="preserve"> 2</w:t>
      </w:r>
      <w:r>
        <w:rPr>
          <w:rFonts w:ascii="Times New Roman" w:eastAsia="標楷體" w:hAnsi="Times New Roman"/>
          <w:sz w:val="24"/>
          <w:lang w:eastAsia="zh-TW"/>
        </w:rPr>
        <w:t>）。</w:t>
      </w:r>
      <w:r>
        <w:rPr>
          <w:rFonts w:ascii="Times New Roman" w:eastAsia="標楷體" w:hAnsi="Times New Roman"/>
          <w:sz w:val="24"/>
          <w:lang w:eastAsia="zh-TW"/>
        </w:rPr>
        <w:br/>
      </w:r>
      <w:r>
        <w:rPr>
          <w:rFonts w:ascii="Times New Roman" w:eastAsia="標楷體" w:hAnsi="Times New Roman"/>
          <w:sz w:val="24"/>
          <w:lang w:eastAsia="zh-TW"/>
        </w:rPr>
        <w:lastRenderedPageBreak/>
        <w:t>由圖</w:t>
      </w:r>
      <w:r>
        <w:rPr>
          <w:rFonts w:ascii="Times New Roman" w:eastAsia="標楷體" w:hAnsi="Times New Roman"/>
          <w:sz w:val="24"/>
          <w:lang w:eastAsia="zh-TW"/>
        </w:rPr>
        <w:t xml:space="preserve"> 2 </w:t>
      </w:r>
      <w:r>
        <w:rPr>
          <w:rFonts w:ascii="Times New Roman" w:eastAsia="標楷體" w:hAnsi="Times New Roman"/>
          <w:sz w:val="24"/>
          <w:lang w:eastAsia="zh-TW"/>
        </w:rPr>
        <w:t>可觀察到，同一套</w:t>
      </w:r>
      <w:r>
        <w:rPr>
          <w:rFonts w:ascii="Times New Roman" w:eastAsia="標楷體" w:hAnsi="Times New Roman"/>
          <w:sz w:val="24"/>
          <w:lang w:eastAsia="zh-TW"/>
        </w:rPr>
        <w:t xml:space="preserve"> LSTM </w:t>
      </w:r>
      <w:r>
        <w:rPr>
          <w:rFonts w:ascii="Times New Roman" w:eastAsia="標楷體" w:hAnsi="Times New Roman"/>
          <w:sz w:val="24"/>
          <w:lang w:eastAsia="zh-TW"/>
        </w:rPr>
        <w:t>架構在美股</w:t>
      </w:r>
      <w:r>
        <w:rPr>
          <w:rFonts w:ascii="Times New Roman" w:eastAsia="標楷體" w:hAnsi="Times New Roman"/>
          <w:sz w:val="24"/>
          <w:lang w:eastAsia="zh-TW"/>
        </w:rPr>
        <w:t xml:space="preserve"> SPY </w:t>
      </w:r>
      <w:r>
        <w:rPr>
          <w:rFonts w:ascii="Times New Roman" w:eastAsia="標楷體" w:hAnsi="Times New Roman"/>
          <w:sz w:val="24"/>
          <w:lang w:eastAsia="zh-TW"/>
        </w:rPr>
        <w:t>的預測效能顯著優於碳權</w:t>
      </w:r>
      <w:r>
        <w:rPr>
          <w:rFonts w:ascii="Times New Roman" w:eastAsia="標楷體" w:hAnsi="Times New Roman"/>
          <w:sz w:val="24"/>
          <w:lang w:eastAsia="zh-TW"/>
        </w:rPr>
        <w:t xml:space="preserve"> KRBN</w:t>
      </w:r>
      <w:r>
        <w:rPr>
          <w:rFonts w:ascii="Times New Roman" w:eastAsia="標楷體" w:hAnsi="Times New Roman"/>
          <w:sz w:val="24"/>
          <w:lang w:eastAsia="zh-TW"/>
        </w:rPr>
        <w:t>。針對此一「傳統資產優於氣候資產」的現象，本研究提出以下兩點解釋：</w:t>
      </w:r>
      <w:r>
        <w:rPr>
          <w:rFonts w:ascii="Times New Roman" w:eastAsia="標楷體" w:hAnsi="Times New Roman"/>
          <w:sz w:val="24"/>
          <w:lang w:eastAsia="zh-TW"/>
        </w:rPr>
        <w:br/>
        <w:t xml:space="preserve">1. </w:t>
      </w:r>
      <w:r>
        <w:rPr>
          <w:rFonts w:ascii="Times New Roman" w:eastAsia="標楷體" w:hAnsi="Times New Roman"/>
          <w:sz w:val="24"/>
          <w:lang w:eastAsia="zh-TW"/>
        </w:rPr>
        <w:t>市場驅動機制的差異：美股市場（</w:t>
      </w:r>
      <w:r>
        <w:rPr>
          <w:rFonts w:ascii="Times New Roman" w:eastAsia="標楷體" w:hAnsi="Times New Roman"/>
          <w:sz w:val="24"/>
          <w:lang w:eastAsia="zh-TW"/>
        </w:rPr>
        <w:t>SPY</w:t>
      </w:r>
      <w:r>
        <w:rPr>
          <w:rFonts w:ascii="Times New Roman" w:eastAsia="標楷體" w:hAnsi="Times New Roman"/>
          <w:sz w:val="24"/>
          <w:lang w:eastAsia="zh-TW"/>
        </w:rPr>
        <w:t>）主要由企業基本面與總體經濟數據驅動，具有較清晰的景氣循環週期，利於</w:t>
      </w:r>
      <w:r>
        <w:rPr>
          <w:rFonts w:ascii="Times New Roman" w:eastAsia="標楷體" w:hAnsi="Times New Roman"/>
          <w:sz w:val="24"/>
          <w:lang w:eastAsia="zh-TW"/>
        </w:rPr>
        <w:t xml:space="preserve"> LSTM </w:t>
      </w:r>
      <w:r>
        <w:rPr>
          <w:rFonts w:ascii="Times New Roman" w:eastAsia="標楷體" w:hAnsi="Times New Roman"/>
          <w:sz w:val="24"/>
          <w:lang w:eastAsia="zh-TW"/>
        </w:rPr>
        <w:t>捕捉規律。反觀碳權市場（</w:t>
      </w:r>
      <w:r>
        <w:rPr>
          <w:rFonts w:ascii="Times New Roman" w:eastAsia="標楷體" w:hAnsi="Times New Roman"/>
          <w:sz w:val="24"/>
          <w:lang w:eastAsia="zh-TW"/>
        </w:rPr>
        <w:t>KRBN</w:t>
      </w:r>
      <w:r>
        <w:rPr>
          <w:rFonts w:ascii="Times New Roman" w:eastAsia="標楷體" w:hAnsi="Times New Roman"/>
          <w:sz w:val="24"/>
          <w:lang w:eastAsia="zh-TW"/>
        </w:rPr>
        <w:t>），其價格波動高度受控於「政策面」（如歐盟</w:t>
      </w:r>
      <w:r>
        <w:rPr>
          <w:rFonts w:ascii="Times New Roman" w:eastAsia="標楷體" w:hAnsi="Times New Roman"/>
          <w:sz w:val="24"/>
          <w:lang w:eastAsia="zh-TW"/>
        </w:rPr>
        <w:t xml:space="preserve"> ETS </w:t>
      </w:r>
      <w:r>
        <w:rPr>
          <w:rFonts w:ascii="Times New Roman" w:eastAsia="標楷體" w:hAnsi="Times New Roman"/>
          <w:sz w:val="24"/>
          <w:lang w:eastAsia="zh-TW"/>
        </w:rPr>
        <w:t>碳價配額調整、政府拍賣底價），這類「政策突發事件」往往缺乏歷史規律，導致純技術面模型的預測難度增加。</w:t>
      </w:r>
      <w:r>
        <w:rPr>
          <w:rFonts w:ascii="Times New Roman" w:eastAsia="標楷體" w:hAnsi="Times New Roman"/>
          <w:sz w:val="24"/>
          <w:lang w:eastAsia="zh-TW"/>
        </w:rPr>
        <w:br/>
        <w:t xml:space="preserve">2. </w:t>
      </w:r>
      <w:r>
        <w:rPr>
          <w:rFonts w:ascii="Times New Roman" w:eastAsia="標楷體" w:hAnsi="Times New Roman"/>
          <w:sz w:val="24"/>
          <w:lang w:eastAsia="zh-TW"/>
        </w:rPr>
        <w:t>資產組成的本質不同：</w:t>
      </w:r>
      <w:r>
        <w:rPr>
          <w:rFonts w:ascii="Times New Roman" w:eastAsia="標楷體" w:hAnsi="Times New Roman"/>
          <w:sz w:val="24"/>
          <w:lang w:eastAsia="zh-TW"/>
        </w:rPr>
        <w:t xml:space="preserve">SPY </w:t>
      </w:r>
      <w:r>
        <w:rPr>
          <w:rFonts w:ascii="Times New Roman" w:eastAsia="標楷體" w:hAnsi="Times New Roman"/>
          <w:sz w:val="24"/>
          <w:lang w:eastAsia="zh-TW"/>
        </w:rPr>
        <w:t>由</w:t>
      </w:r>
      <w:r>
        <w:rPr>
          <w:rFonts w:ascii="Times New Roman" w:eastAsia="標楷體" w:hAnsi="Times New Roman"/>
          <w:sz w:val="24"/>
          <w:lang w:eastAsia="zh-TW"/>
        </w:rPr>
        <w:t xml:space="preserve"> 500 </w:t>
      </w:r>
      <w:r>
        <w:rPr>
          <w:rFonts w:ascii="Times New Roman" w:eastAsia="標楷體" w:hAnsi="Times New Roman"/>
          <w:sz w:val="24"/>
          <w:lang w:eastAsia="zh-TW"/>
        </w:rPr>
        <w:t>家大型上市公司組成，個別公司的非系統性風險已被分散；而</w:t>
      </w:r>
      <w:r>
        <w:rPr>
          <w:rFonts w:ascii="Times New Roman" w:eastAsia="標楷體" w:hAnsi="Times New Roman"/>
          <w:sz w:val="24"/>
          <w:lang w:eastAsia="zh-TW"/>
        </w:rPr>
        <w:t xml:space="preserve"> KRBN </w:t>
      </w:r>
      <w:r>
        <w:rPr>
          <w:rFonts w:ascii="Times New Roman" w:eastAsia="標楷體" w:hAnsi="Times New Roman"/>
          <w:sz w:val="24"/>
          <w:lang w:eastAsia="zh-TW"/>
        </w:rPr>
        <w:t>主要持有的是「碳排放期貨合約」，期貨具有轉倉成本（</w:t>
      </w:r>
      <w:r>
        <w:rPr>
          <w:rFonts w:ascii="Times New Roman" w:eastAsia="標楷體" w:hAnsi="Times New Roman"/>
          <w:sz w:val="24"/>
          <w:lang w:eastAsia="zh-TW"/>
        </w:rPr>
        <w:t>Roll Yield</w:t>
      </w:r>
      <w:r>
        <w:rPr>
          <w:rFonts w:ascii="Times New Roman" w:eastAsia="標楷體" w:hAnsi="Times New Roman"/>
          <w:sz w:val="24"/>
          <w:lang w:eastAsia="zh-TW"/>
        </w:rPr>
        <w:t>）與到期日效應，這些衍生性金融商品的特性，使得其價格雜訊（</w:t>
      </w:r>
      <w:r>
        <w:rPr>
          <w:rFonts w:ascii="Times New Roman" w:eastAsia="標楷體" w:hAnsi="Times New Roman"/>
          <w:sz w:val="24"/>
          <w:lang w:eastAsia="zh-TW"/>
        </w:rPr>
        <w:t>Noise</w:t>
      </w:r>
      <w:r>
        <w:rPr>
          <w:rFonts w:ascii="Times New Roman" w:eastAsia="標楷體" w:hAnsi="Times New Roman"/>
          <w:sz w:val="24"/>
          <w:lang w:eastAsia="zh-TW"/>
        </w:rPr>
        <w:t>）天然高於股票現貨</w:t>
      </w:r>
      <w:r>
        <w:rPr>
          <w:rFonts w:ascii="Times New Roman" w:eastAsia="標楷體" w:hAnsi="Times New Roman"/>
          <w:sz w:val="24"/>
          <w:lang w:eastAsia="zh-TW"/>
        </w:rPr>
        <w:t xml:space="preserve"> ETF</w:t>
      </w:r>
      <w:r>
        <w:rPr>
          <w:rFonts w:ascii="Times New Roman" w:eastAsia="標楷體" w:hAnsi="Times New Roman"/>
          <w:sz w:val="24"/>
          <w:lang w:eastAsia="zh-TW"/>
        </w:rPr>
        <w:t>。</w:t>
      </w:r>
    </w:p>
    <w:p w14:paraId="5579CA29" w14:textId="77777777" w:rsidR="007E1562" w:rsidRDefault="00000000">
      <w:pPr>
        <w:jc w:val="center"/>
      </w:pPr>
      <w:r>
        <w:rPr>
          <w:noProof/>
        </w:rPr>
        <w:drawing>
          <wp:inline distT="0" distB="0" distL="0" distR="0" wp14:anchorId="52AA9765" wp14:editId="757EECF5">
            <wp:extent cx="5040000" cy="3259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rf.png"/>
                    <pic:cNvPicPr/>
                  </pic:nvPicPr>
                  <pic:blipFill>
                    <a:blip r:embed="rId9"/>
                    <a:stretch>
                      <a:fillRect/>
                    </a:stretch>
                  </pic:blipFill>
                  <pic:spPr>
                    <a:xfrm>
                      <a:off x="0" y="0"/>
                      <a:ext cx="5040000" cy="3259849"/>
                    </a:xfrm>
                    <a:prstGeom prst="rect">
                      <a:avLst/>
                    </a:prstGeom>
                  </pic:spPr>
                </pic:pic>
              </a:graphicData>
            </a:graphic>
          </wp:inline>
        </w:drawing>
      </w:r>
    </w:p>
    <w:p w14:paraId="3C4D653B" w14:textId="77777777" w:rsidR="007E1562" w:rsidRDefault="00000000">
      <w:pPr>
        <w:spacing w:after="240"/>
        <w:jc w:val="center"/>
        <w:rPr>
          <w:lang w:eastAsia="zh-TW"/>
        </w:rPr>
      </w:pPr>
      <w:r>
        <w:rPr>
          <w:rFonts w:ascii="Times New Roman" w:eastAsia="標楷體" w:hAnsi="Times New Roman"/>
          <w:b/>
          <w:color w:val="000000"/>
          <w:sz w:val="24"/>
          <w:lang w:eastAsia="zh-TW"/>
        </w:rPr>
        <w:t>圖</w:t>
      </w:r>
      <w:r>
        <w:rPr>
          <w:rFonts w:ascii="Times New Roman" w:eastAsia="標楷體" w:hAnsi="Times New Roman"/>
          <w:b/>
          <w:color w:val="000000"/>
          <w:sz w:val="24"/>
          <w:lang w:eastAsia="zh-TW"/>
        </w:rPr>
        <w:t xml:space="preserve"> 2</w:t>
      </w:r>
      <w:r>
        <w:rPr>
          <w:rFonts w:ascii="Times New Roman" w:eastAsia="標楷體" w:hAnsi="Times New Roman"/>
          <w:b/>
          <w:color w:val="000000"/>
          <w:sz w:val="24"/>
          <w:lang w:eastAsia="zh-TW"/>
        </w:rPr>
        <w:t>：</w:t>
      </w:r>
      <w:proofErr w:type="spellStart"/>
      <w:r>
        <w:rPr>
          <w:rFonts w:ascii="Times New Roman" w:eastAsia="標楷體" w:hAnsi="Times New Roman"/>
          <w:b/>
          <w:color w:val="000000"/>
          <w:sz w:val="24"/>
          <w:lang w:eastAsia="zh-TW"/>
        </w:rPr>
        <w:t>DoubleLayerLSTM</w:t>
      </w:r>
      <w:proofErr w:type="spellEnd"/>
      <w:r>
        <w:rPr>
          <w:rFonts w:ascii="Times New Roman" w:eastAsia="標楷體" w:hAnsi="Times New Roman"/>
          <w:b/>
          <w:color w:val="000000"/>
          <w:sz w:val="24"/>
          <w:lang w:eastAsia="zh-TW"/>
        </w:rPr>
        <w:t xml:space="preserve"> </w:t>
      </w:r>
      <w:r>
        <w:rPr>
          <w:rFonts w:ascii="Times New Roman" w:eastAsia="標楷體" w:hAnsi="Times New Roman"/>
          <w:b/>
          <w:color w:val="000000"/>
          <w:sz w:val="24"/>
          <w:lang w:eastAsia="zh-TW"/>
        </w:rPr>
        <w:t>於不同市場之效能比較</w:t>
      </w:r>
    </w:p>
    <w:p w14:paraId="00315637" w14:textId="77777777" w:rsidR="007E1562" w:rsidRDefault="00000000">
      <w:pPr>
        <w:spacing w:before="240" w:after="120"/>
        <w:rPr>
          <w:lang w:eastAsia="zh-TW"/>
        </w:rPr>
      </w:pPr>
      <w:r>
        <w:rPr>
          <w:rFonts w:ascii="Times New Roman" w:eastAsia="標楷體" w:hAnsi="Times New Roman"/>
          <w:b/>
          <w:sz w:val="26"/>
          <w:lang w:eastAsia="zh-TW"/>
        </w:rPr>
        <w:t xml:space="preserve">3.3 </w:t>
      </w:r>
      <w:r>
        <w:rPr>
          <w:rFonts w:ascii="Times New Roman" w:eastAsia="標楷體" w:hAnsi="Times New Roman"/>
          <w:b/>
          <w:sz w:val="26"/>
          <w:lang w:eastAsia="zh-TW"/>
        </w:rPr>
        <w:t>系統整合與視覺化實測</w:t>
      </w:r>
    </w:p>
    <w:p w14:paraId="7FC51DEB" w14:textId="77777777" w:rsidR="007E1562" w:rsidRDefault="00000000">
      <w:pPr>
        <w:rPr>
          <w:lang w:eastAsia="zh-TW"/>
        </w:rPr>
      </w:pPr>
      <w:r>
        <w:rPr>
          <w:rFonts w:ascii="Times New Roman" w:eastAsia="標楷體" w:hAnsi="Times New Roman"/>
          <w:sz w:val="24"/>
          <w:lang w:eastAsia="zh-TW"/>
        </w:rPr>
        <w:t>本平台已完成全端實作並進行整合測試。圖</w:t>
      </w:r>
      <w:r>
        <w:rPr>
          <w:rFonts w:ascii="Times New Roman" w:eastAsia="標楷體" w:hAnsi="Times New Roman"/>
          <w:sz w:val="24"/>
          <w:lang w:eastAsia="zh-TW"/>
        </w:rPr>
        <w:t xml:space="preserve"> 3 </w:t>
      </w:r>
      <w:r>
        <w:rPr>
          <w:rFonts w:ascii="Times New Roman" w:eastAsia="標楷體" w:hAnsi="Times New Roman"/>
          <w:sz w:val="24"/>
          <w:lang w:eastAsia="zh-TW"/>
        </w:rPr>
        <w:t>展示了</w:t>
      </w:r>
      <w:r>
        <w:rPr>
          <w:rFonts w:ascii="Times New Roman" w:eastAsia="標楷體" w:hAnsi="Times New Roman"/>
          <w:sz w:val="24"/>
          <w:lang w:eastAsia="zh-TW"/>
        </w:rPr>
        <w:t xml:space="preserve"> AEGIS </w:t>
      </w:r>
      <w:r>
        <w:rPr>
          <w:rFonts w:ascii="Times New Roman" w:eastAsia="標楷體" w:hAnsi="Times New Roman"/>
          <w:sz w:val="24"/>
          <w:lang w:eastAsia="zh-TW"/>
        </w:rPr>
        <w:t>系統的前端介面，使用者可透過下拉選單自由切換</w:t>
      </w:r>
      <w:r>
        <w:rPr>
          <w:rFonts w:ascii="Times New Roman" w:eastAsia="標楷體" w:hAnsi="Times New Roman"/>
          <w:sz w:val="24"/>
          <w:lang w:eastAsia="zh-TW"/>
        </w:rPr>
        <w:t xml:space="preserve"> SPY </w:t>
      </w:r>
      <w:r>
        <w:rPr>
          <w:rFonts w:ascii="Times New Roman" w:eastAsia="標楷體" w:hAnsi="Times New Roman"/>
          <w:sz w:val="24"/>
          <w:lang w:eastAsia="zh-TW"/>
        </w:rPr>
        <w:t>與</w:t>
      </w:r>
      <w:r>
        <w:rPr>
          <w:rFonts w:ascii="Times New Roman" w:eastAsia="標楷體" w:hAnsi="Times New Roman"/>
          <w:sz w:val="24"/>
          <w:lang w:eastAsia="zh-TW"/>
        </w:rPr>
        <w:t xml:space="preserve"> KRBN </w:t>
      </w:r>
      <w:r>
        <w:rPr>
          <w:rFonts w:ascii="Times New Roman" w:eastAsia="標楷體" w:hAnsi="Times New Roman"/>
          <w:sz w:val="24"/>
          <w:lang w:eastAsia="zh-TW"/>
        </w:rPr>
        <w:t>視角。</w:t>
      </w:r>
      <w:r>
        <w:rPr>
          <w:rFonts w:ascii="Times New Roman" w:eastAsia="標楷體" w:hAnsi="Times New Roman"/>
          <w:sz w:val="24"/>
          <w:lang w:eastAsia="zh-TW"/>
        </w:rPr>
        <w:br/>
        <w:t xml:space="preserve">1. </w:t>
      </w:r>
      <w:r>
        <w:rPr>
          <w:rFonts w:ascii="Times New Roman" w:eastAsia="標楷體" w:hAnsi="Times New Roman"/>
          <w:sz w:val="24"/>
          <w:lang w:eastAsia="zh-TW"/>
        </w:rPr>
        <w:t>效能測試：系統經測試，從資料庫撈取預測結果至前端渲染的反應時間平均低於</w:t>
      </w:r>
      <w:r>
        <w:rPr>
          <w:rFonts w:ascii="Times New Roman" w:eastAsia="標楷體" w:hAnsi="Times New Roman"/>
          <w:sz w:val="24"/>
          <w:lang w:eastAsia="zh-TW"/>
        </w:rPr>
        <w:t xml:space="preserve"> 1 </w:t>
      </w:r>
      <w:r>
        <w:rPr>
          <w:rFonts w:ascii="Times New Roman" w:eastAsia="標楷體" w:hAnsi="Times New Roman"/>
          <w:sz w:val="24"/>
          <w:lang w:eastAsia="zh-TW"/>
        </w:rPr>
        <w:t>秒，且能正確處理每日資料更新與模型重載，符合即時看盤需求。</w:t>
      </w:r>
      <w:r>
        <w:rPr>
          <w:rFonts w:ascii="Times New Roman" w:eastAsia="標楷體" w:hAnsi="Times New Roman"/>
          <w:sz w:val="24"/>
          <w:lang w:eastAsia="zh-TW"/>
        </w:rPr>
        <w:br/>
        <w:t xml:space="preserve">2. AI </w:t>
      </w:r>
      <w:r>
        <w:rPr>
          <w:rFonts w:ascii="Times New Roman" w:eastAsia="標楷體" w:hAnsi="Times New Roman"/>
          <w:sz w:val="24"/>
          <w:lang w:eastAsia="zh-TW"/>
        </w:rPr>
        <w:t>摘要驗證：在圖</w:t>
      </w:r>
      <w:r>
        <w:rPr>
          <w:rFonts w:ascii="Times New Roman" w:eastAsia="標楷體" w:hAnsi="Times New Roman"/>
          <w:sz w:val="24"/>
          <w:lang w:eastAsia="zh-TW"/>
        </w:rPr>
        <w:t xml:space="preserve"> 3 </w:t>
      </w:r>
      <w:r>
        <w:rPr>
          <w:rFonts w:ascii="Times New Roman" w:eastAsia="標楷體" w:hAnsi="Times New Roman"/>
          <w:sz w:val="24"/>
          <w:lang w:eastAsia="zh-TW"/>
        </w:rPr>
        <w:t>的實測畫面中，針對</w:t>
      </w:r>
      <w:r>
        <w:rPr>
          <w:rFonts w:ascii="Times New Roman" w:eastAsia="標楷體" w:hAnsi="Times New Roman"/>
          <w:sz w:val="24"/>
          <w:lang w:eastAsia="zh-TW"/>
        </w:rPr>
        <w:t xml:space="preserve"> KRBN </w:t>
      </w:r>
      <w:r>
        <w:rPr>
          <w:rFonts w:ascii="Times New Roman" w:eastAsia="標楷體" w:hAnsi="Times New Roman"/>
          <w:sz w:val="24"/>
          <w:lang w:eastAsia="zh-TW"/>
        </w:rPr>
        <w:t>的走勢，</w:t>
      </w:r>
      <w:r>
        <w:rPr>
          <w:rFonts w:ascii="Times New Roman" w:eastAsia="標楷體" w:hAnsi="Times New Roman"/>
          <w:sz w:val="24"/>
          <w:lang w:eastAsia="zh-TW"/>
        </w:rPr>
        <w:t xml:space="preserve">GPT </w:t>
      </w:r>
      <w:r>
        <w:rPr>
          <w:rFonts w:ascii="Times New Roman" w:eastAsia="標楷體" w:hAnsi="Times New Roman"/>
          <w:sz w:val="24"/>
          <w:lang w:eastAsia="zh-TW"/>
        </w:rPr>
        <w:t>生成的摘要能準確描述當前</w:t>
      </w:r>
      <w:r>
        <w:rPr>
          <w:rFonts w:ascii="Times New Roman" w:eastAsia="標楷體" w:hAnsi="Times New Roman"/>
          <w:sz w:val="24"/>
          <w:lang w:eastAsia="zh-TW"/>
        </w:rPr>
        <w:t xml:space="preserve"> RSI </w:t>
      </w:r>
      <w:r>
        <w:rPr>
          <w:rFonts w:ascii="Times New Roman" w:eastAsia="標楷體" w:hAnsi="Times New Roman"/>
          <w:sz w:val="24"/>
          <w:lang w:eastAsia="zh-TW"/>
        </w:rPr>
        <w:t>為中性偏弱，並結合</w:t>
      </w:r>
      <w:r>
        <w:rPr>
          <w:rFonts w:ascii="Times New Roman" w:eastAsia="標楷體" w:hAnsi="Times New Roman"/>
          <w:sz w:val="24"/>
          <w:lang w:eastAsia="zh-TW"/>
        </w:rPr>
        <w:t xml:space="preserve"> LSTM </w:t>
      </w:r>
      <w:r>
        <w:rPr>
          <w:rFonts w:ascii="Times New Roman" w:eastAsia="標楷體" w:hAnsi="Times New Roman"/>
          <w:sz w:val="24"/>
          <w:lang w:eastAsia="zh-TW"/>
        </w:rPr>
        <w:t>的預測結果提示「未來波動風險增加」。</w:t>
      </w:r>
      <w:r>
        <w:rPr>
          <w:rFonts w:ascii="Times New Roman" w:eastAsia="標楷體" w:hAnsi="Times New Roman"/>
          <w:sz w:val="24"/>
          <w:lang w:eastAsia="zh-TW"/>
        </w:rPr>
        <w:br/>
      </w:r>
      <w:r>
        <w:rPr>
          <w:rFonts w:ascii="Times New Roman" w:eastAsia="標楷體" w:hAnsi="Times New Roman"/>
          <w:sz w:val="24"/>
          <w:lang w:eastAsia="zh-TW"/>
        </w:rPr>
        <w:lastRenderedPageBreak/>
        <w:t xml:space="preserve">3. </w:t>
      </w:r>
      <w:r>
        <w:rPr>
          <w:rFonts w:ascii="Times New Roman" w:eastAsia="標楷體" w:hAnsi="Times New Roman"/>
          <w:sz w:val="24"/>
          <w:lang w:eastAsia="zh-TW"/>
        </w:rPr>
        <w:t>雙軌避險價值：實驗介面成功呈現了</w:t>
      </w:r>
      <w:r>
        <w:rPr>
          <w:rFonts w:ascii="Times New Roman" w:eastAsia="標楷體" w:hAnsi="Times New Roman"/>
          <w:sz w:val="24"/>
          <w:lang w:eastAsia="zh-TW"/>
        </w:rPr>
        <w:t xml:space="preserve"> KRBN </w:t>
      </w:r>
      <w:r>
        <w:rPr>
          <w:rFonts w:ascii="Times New Roman" w:eastAsia="標楷體" w:hAnsi="Times New Roman"/>
          <w:sz w:val="24"/>
          <w:lang w:eastAsia="zh-TW"/>
        </w:rPr>
        <w:t>與</w:t>
      </w:r>
      <w:r>
        <w:rPr>
          <w:rFonts w:ascii="Times New Roman" w:eastAsia="標楷體" w:hAnsi="Times New Roman"/>
          <w:sz w:val="24"/>
          <w:lang w:eastAsia="zh-TW"/>
        </w:rPr>
        <w:t xml:space="preserve"> SPY </w:t>
      </w:r>
      <w:r>
        <w:rPr>
          <w:rFonts w:ascii="Times New Roman" w:eastAsia="標楷體" w:hAnsi="Times New Roman"/>
          <w:sz w:val="24"/>
          <w:lang w:eastAsia="zh-TW"/>
        </w:rPr>
        <w:t>的走勢背離現象（低相關性），驗證了本平台能協助投資人在追求美股成長的同時，透過碳權配置來達成氣候風險對沖的目標。</w:t>
      </w:r>
    </w:p>
    <w:p w14:paraId="4819CB70" w14:textId="41AEA35F" w:rsidR="007E1562" w:rsidRDefault="008F5471">
      <w:pPr>
        <w:jc w:val="center"/>
      </w:pPr>
      <w:r w:rsidRPr="008F5471">
        <w:drawing>
          <wp:inline distT="0" distB="0" distL="0" distR="0" wp14:anchorId="63BE40D6" wp14:editId="5C11A55E">
            <wp:extent cx="5908964" cy="3256769"/>
            <wp:effectExtent l="0" t="0" r="0" b="1270"/>
            <wp:docPr id="3817689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8900" name=""/>
                    <pic:cNvPicPr/>
                  </pic:nvPicPr>
                  <pic:blipFill>
                    <a:blip r:embed="rId10"/>
                    <a:stretch>
                      <a:fillRect/>
                    </a:stretch>
                  </pic:blipFill>
                  <pic:spPr>
                    <a:xfrm>
                      <a:off x="0" y="0"/>
                      <a:ext cx="5921035" cy="3263422"/>
                    </a:xfrm>
                    <a:prstGeom prst="rect">
                      <a:avLst/>
                    </a:prstGeom>
                  </pic:spPr>
                </pic:pic>
              </a:graphicData>
            </a:graphic>
          </wp:inline>
        </w:drawing>
      </w:r>
    </w:p>
    <w:p w14:paraId="209E74B6" w14:textId="77777777" w:rsidR="007E1562" w:rsidRDefault="00000000">
      <w:pPr>
        <w:spacing w:after="240"/>
        <w:jc w:val="center"/>
        <w:rPr>
          <w:lang w:eastAsia="zh-TW"/>
        </w:rPr>
      </w:pPr>
      <w:r>
        <w:rPr>
          <w:rFonts w:ascii="Times New Roman" w:eastAsia="標楷體" w:hAnsi="Times New Roman"/>
          <w:b/>
          <w:color w:val="000000"/>
          <w:sz w:val="24"/>
          <w:lang w:eastAsia="zh-TW"/>
        </w:rPr>
        <w:t>圖</w:t>
      </w:r>
      <w:r>
        <w:rPr>
          <w:rFonts w:ascii="Times New Roman" w:eastAsia="標楷體" w:hAnsi="Times New Roman"/>
          <w:b/>
          <w:color w:val="000000"/>
          <w:sz w:val="24"/>
          <w:lang w:eastAsia="zh-TW"/>
        </w:rPr>
        <w:t xml:space="preserve"> 3</w:t>
      </w:r>
      <w:r>
        <w:rPr>
          <w:rFonts w:ascii="Times New Roman" w:eastAsia="標楷體" w:hAnsi="Times New Roman"/>
          <w:b/>
          <w:color w:val="000000"/>
          <w:sz w:val="24"/>
          <w:lang w:eastAsia="zh-TW"/>
        </w:rPr>
        <w:t>：</w:t>
      </w:r>
      <w:r>
        <w:rPr>
          <w:rFonts w:ascii="Times New Roman" w:eastAsia="標楷體" w:hAnsi="Times New Roman"/>
          <w:b/>
          <w:color w:val="000000"/>
          <w:sz w:val="24"/>
          <w:lang w:eastAsia="zh-TW"/>
        </w:rPr>
        <w:t xml:space="preserve">AEGIS </w:t>
      </w:r>
      <w:r>
        <w:rPr>
          <w:rFonts w:ascii="Times New Roman" w:eastAsia="標楷體" w:hAnsi="Times New Roman"/>
          <w:b/>
          <w:color w:val="000000"/>
          <w:sz w:val="24"/>
          <w:lang w:eastAsia="zh-TW"/>
        </w:rPr>
        <w:t>系統前端介面展示</w:t>
      </w:r>
    </w:p>
    <w:p w14:paraId="79F0289B" w14:textId="77777777" w:rsidR="007E1562" w:rsidRDefault="00000000">
      <w:pPr>
        <w:spacing w:before="240" w:after="120"/>
        <w:rPr>
          <w:lang w:eastAsia="zh-TW"/>
        </w:rPr>
      </w:pPr>
      <w:r>
        <w:rPr>
          <w:rFonts w:ascii="Times New Roman" w:eastAsia="標楷體" w:hAnsi="Times New Roman"/>
          <w:b/>
          <w:sz w:val="28"/>
          <w:lang w:eastAsia="zh-TW"/>
        </w:rPr>
        <w:t xml:space="preserve">4. </w:t>
      </w:r>
      <w:r>
        <w:rPr>
          <w:rFonts w:ascii="Times New Roman" w:eastAsia="標楷體" w:hAnsi="Times New Roman"/>
          <w:b/>
          <w:sz w:val="28"/>
          <w:lang w:eastAsia="zh-TW"/>
        </w:rPr>
        <w:t>結論</w:t>
      </w:r>
    </w:p>
    <w:p w14:paraId="0D52AEE2" w14:textId="77777777" w:rsidR="007E1562" w:rsidRDefault="00000000">
      <w:pPr>
        <w:rPr>
          <w:lang w:eastAsia="zh-TW"/>
        </w:rPr>
      </w:pPr>
      <w:r>
        <w:rPr>
          <w:rFonts w:ascii="Times New Roman" w:eastAsia="標楷體" w:hAnsi="Times New Roman"/>
          <w:sz w:val="24"/>
          <w:lang w:eastAsia="zh-TW"/>
        </w:rPr>
        <w:t>本文提出了一套基於生成式</w:t>
      </w:r>
      <w:r>
        <w:rPr>
          <w:rFonts w:ascii="Times New Roman" w:eastAsia="標楷體" w:hAnsi="Times New Roman"/>
          <w:sz w:val="24"/>
          <w:lang w:eastAsia="zh-TW"/>
        </w:rPr>
        <w:t xml:space="preserve"> AI </w:t>
      </w:r>
      <w:r>
        <w:rPr>
          <w:rFonts w:ascii="Times New Roman" w:eastAsia="標楷體" w:hAnsi="Times New Roman"/>
          <w:sz w:val="24"/>
          <w:lang w:eastAsia="zh-TW"/>
        </w:rPr>
        <w:t>的</w:t>
      </w:r>
      <w:r>
        <w:rPr>
          <w:rFonts w:ascii="Times New Roman" w:eastAsia="標楷體" w:hAnsi="Times New Roman"/>
          <w:sz w:val="24"/>
          <w:lang w:eastAsia="zh-TW"/>
        </w:rPr>
        <w:t xml:space="preserve"> ETF </w:t>
      </w:r>
      <w:r>
        <w:rPr>
          <w:rFonts w:ascii="Times New Roman" w:eastAsia="標楷體" w:hAnsi="Times New Roman"/>
          <w:sz w:val="24"/>
          <w:lang w:eastAsia="zh-TW"/>
        </w:rPr>
        <w:t>雙軌分析架構</w:t>
      </w:r>
      <w:r>
        <w:rPr>
          <w:rFonts w:ascii="Times New Roman" w:eastAsia="標楷體" w:hAnsi="Times New Roman"/>
          <w:sz w:val="24"/>
          <w:lang w:eastAsia="zh-TW"/>
        </w:rPr>
        <w:t xml:space="preserve"> AEGIS</w:t>
      </w:r>
      <w:r>
        <w:rPr>
          <w:rFonts w:ascii="Times New Roman" w:eastAsia="標楷體" w:hAnsi="Times New Roman"/>
          <w:sz w:val="24"/>
          <w:lang w:eastAsia="zh-TW"/>
        </w:rPr>
        <w:t>。本研究的主要貢獻在於：</w:t>
      </w:r>
      <w:r>
        <w:rPr>
          <w:rFonts w:ascii="Times New Roman" w:eastAsia="標楷體" w:hAnsi="Times New Roman"/>
          <w:sz w:val="24"/>
          <w:lang w:eastAsia="zh-TW"/>
        </w:rPr>
        <w:t xml:space="preserve">(1) </w:t>
      </w:r>
      <w:r>
        <w:rPr>
          <w:rFonts w:ascii="Times New Roman" w:eastAsia="標楷體" w:hAnsi="Times New Roman"/>
          <w:sz w:val="24"/>
          <w:lang w:eastAsia="zh-TW"/>
        </w:rPr>
        <w:t>架構創新：成功將「協同運作」概念應用於跨市場風險管理；</w:t>
      </w:r>
      <w:r>
        <w:rPr>
          <w:rFonts w:ascii="Times New Roman" w:eastAsia="標楷體" w:hAnsi="Times New Roman"/>
          <w:sz w:val="24"/>
          <w:lang w:eastAsia="zh-TW"/>
        </w:rPr>
        <w:t xml:space="preserve">(2) </w:t>
      </w:r>
      <w:r>
        <w:rPr>
          <w:rFonts w:ascii="Times New Roman" w:eastAsia="標楷體" w:hAnsi="Times New Roman"/>
          <w:sz w:val="24"/>
          <w:lang w:eastAsia="zh-TW"/>
        </w:rPr>
        <w:t>實證分析：驗證了</w:t>
      </w:r>
      <w:r>
        <w:rPr>
          <w:rFonts w:ascii="Times New Roman" w:eastAsia="標楷體" w:hAnsi="Times New Roman"/>
          <w:sz w:val="24"/>
          <w:lang w:eastAsia="zh-TW"/>
        </w:rPr>
        <w:t xml:space="preserve"> LSTM </w:t>
      </w:r>
      <w:r>
        <w:rPr>
          <w:rFonts w:ascii="Times New Roman" w:eastAsia="標楷體" w:hAnsi="Times New Roman"/>
          <w:sz w:val="24"/>
          <w:lang w:eastAsia="zh-TW"/>
        </w:rPr>
        <w:t>在碳權</w:t>
      </w:r>
      <w:r>
        <w:rPr>
          <w:rFonts w:ascii="Times New Roman" w:eastAsia="標楷體" w:hAnsi="Times New Roman"/>
          <w:sz w:val="24"/>
          <w:lang w:eastAsia="zh-TW"/>
        </w:rPr>
        <w:t xml:space="preserve"> (KRBN) </w:t>
      </w:r>
      <w:r>
        <w:rPr>
          <w:rFonts w:ascii="Times New Roman" w:eastAsia="標楷體" w:hAnsi="Times New Roman"/>
          <w:sz w:val="24"/>
          <w:lang w:eastAsia="zh-TW"/>
        </w:rPr>
        <w:t>與美股雙軌預測上的效能差異，指出了碳權市場的高雜訊特徵；</w:t>
      </w:r>
      <w:r>
        <w:rPr>
          <w:rFonts w:ascii="Times New Roman" w:eastAsia="標楷體" w:hAnsi="Times New Roman"/>
          <w:sz w:val="24"/>
          <w:lang w:eastAsia="zh-TW"/>
        </w:rPr>
        <w:t xml:space="preserve">(3) </w:t>
      </w:r>
      <w:r>
        <w:rPr>
          <w:rFonts w:ascii="Times New Roman" w:eastAsia="標楷體" w:hAnsi="Times New Roman"/>
          <w:sz w:val="24"/>
          <w:lang w:eastAsia="zh-TW"/>
        </w:rPr>
        <w:t>應用價值：利用生成式</w:t>
      </w:r>
      <w:r>
        <w:rPr>
          <w:rFonts w:ascii="Times New Roman" w:eastAsia="標楷體" w:hAnsi="Times New Roman"/>
          <w:sz w:val="24"/>
          <w:lang w:eastAsia="zh-TW"/>
        </w:rPr>
        <w:t xml:space="preserve"> AI </w:t>
      </w:r>
      <w:r>
        <w:rPr>
          <w:rFonts w:ascii="Times New Roman" w:eastAsia="標楷體" w:hAnsi="Times New Roman"/>
          <w:sz w:val="24"/>
          <w:lang w:eastAsia="zh-TW"/>
        </w:rPr>
        <w:t>降低了綠色金融的技術門檻，為投資人提供了一套視覺化、可解釋的決策輔助工具。</w:t>
      </w:r>
    </w:p>
    <w:p w14:paraId="380BCF39" w14:textId="77777777" w:rsidR="007E1562" w:rsidRDefault="00000000">
      <w:pPr>
        <w:spacing w:before="240" w:after="120"/>
        <w:rPr>
          <w:lang w:eastAsia="zh-TW"/>
        </w:rPr>
      </w:pPr>
      <w:r>
        <w:rPr>
          <w:rFonts w:ascii="Times New Roman" w:eastAsia="標楷體" w:hAnsi="Times New Roman"/>
          <w:b/>
          <w:sz w:val="28"/>
          <w:lang w:eastAsia="zh-TW"/>
        </w:rPr>
        <w:t>致謝</w:t>
      </w:r>
    </w:p>
    <w:p w14:paraId="38197D3F" w14:textId="77777777" w:rsidR="007E1562" w:rsidRDefault="00000000">
      <w:pPr>
        <w:rPr>
          <w:lang w:eastAsia="zh-TW"/>
        </w:rPr>
      </w:pPr>
      <w:r>
        <w:rPr>
          <w:rFonts w:ascii="Times New Roman" w:eastAsia="標楷體" w:hAnsi="Times New Roman"/>
          <w:sz w:val="24"/>
          <w:lang w:eastAsia="zh-TW"/>
        </w:rPr>
        <w:t>感謝指導教授李冠榮教授對於本系統架構設計與實驗分析之指導，以及實驗室同仁的討論與建議。</w:t>
      </w:r>
    </w:p>
    <w:p w14:paraId="44E6B4ED" w14:textId="77777777" w:rsidR="007E1562" w:rsidRDefault="007E1562">
      <w:pPr>
        <w:rPr>
          <w:lang w:eastAsia="zh-TW"/>
        </w:rPr>
      </w:pPr>
    </w:p>
    <w:p w14:paraId="61B7B62C" w14:textId="77777777" w:rsidR="007E1562" w:rsidRDefault="00000000">
      <w:pPr>
        <w:rPr>
          <w:lang w:eastAsia="zh-TW"/>
        </w:rPr>
      </w:pPr>
      <w:r>
        <w:rPr>
          <w:rFonts w:ascii="Times New Roman" w:eastAsia="標楷體" w:hAnsi="Times New Roman"/>
          <w:b/>
          <w:sz w:val="28"/>
          <w:lang w:eastAsia="zh-TW"/>
        </w:rPr>
        <w:t>參考文獻</w:t>
      </w:r>
    </w:p>
    <w:p w14:paraId="5FD49A29" w14:textId="77777777" w:rsidR="007E1562" w:rsidRDefault="00000000">
      <w:pPr>
        <w:ind w:left="425" w:hanging="425"/>
        <w:rPr>
          <w:lang w:eastAsia="zh-TW"/>
        </w:rPr>
      </w:pPr>
      <w:r>
        <w:rPr>
          <w:rFonts w:ascii="Times New Roman" w:eastAsia="標楷體" w:hAnsi="Times New Roman"/>
          <w:sz w:val="24"/>
          <w:lang w:eastAsia="zh-TW"/>
        </w:rPr>
        <w:lastRenderedPageBreak/>
        <w:t>楊又肇</w:t>
      </w:r>
      <w:r>
        <w:rPr>
          <w:rFonts w:ascii="Times New Roman" w:eastAsia="標楷體" w:hAnsi="Times New Roman"/>
          <w:sz w:val="24"/>
          <w:lang w:eastAsia="zh-TW"/>
        </w:rPr>
        <w:t xml:space="preserve"> (2020)</w:t>
      </w:r>
      <w:r>
        <w:rPr>
          <w:rFonts w:ascii="Times New Roman" w:eastAsia="標楷體" w:hAnsi="Times New Roman"/>
          <w:sz w:val="24"/>
          <w:lang w:eastAsia="zh-TW"/>
        </w:rPr>
        <w:t>。以深度學習</w:t>
      </w:r>
      <w:r>
        <w:rPr>
          <w:rFonts w:ascii="Times New Roman" w:eastAsia="標楷體" w:hAnsi="Times New Roman"/>
          <w:sz w:val="24"/>
          <w:lang w:eastAsia="zh-TW"/>
        </w:rPr>
        <w:t>LSTM</w:t>
      </w:r>
      <w:r>
        <w:rPr>
          <w:rFonts w:ascii="Times New Roman" w:eastAsia="標楷體" w:hAnsi="Times New Roman"/>
          <w:sz w:val="24"/>
          <w:lang w:eastAsia="zh-TW"/>
        </w:rPr>
        <w:t>方法進行台灣加權股價指數預測。國立交通大學資訊管理研究所碩士論文。</w:t>
      </w:r>
    </w:p>
    <w:p w14:paraId="7A2B1179" w14:textId="77777777" w:rsidR="007E1562" w:rsidRDefault="00000000">
      <w:pPr>
        <w:ind w:left="425" w:hanging="425"/>
        <w:rPr>
          <w:lang w:eastAsia="zh-TW"/>
        </w:rPr>
      </w:pPr>
      <w:r>
        <w:rPr>
          <w:rFonts w:ascii="Times New Roman" w:eastAsia="標楷體" w:hAnsi="Times New Roman"/>
          <w:sz w:val="24"/>
          <w:lang w:eastAsia="zh-TW"/>
        </w:rPr>
        <w:t>鐘毅</w:t>
      </w:r>
      <w:r>
        <w:rPr>
          <w:rFonts w:ascii="Times New Roman" w:eastAsia="標楷體" w:hAnsi="Times New Roman"/>
          <w:sz w:val="24"/>
          <w:lang w:eastAsia="zh-TW"/>
        </w:rPr>
        <w:t xml:space="preserve"> (2020)</w:t>
      </w:r>
      <w:r>
        <w:rPr>
          <w:rFonts w:ascii="Times New Roman" w:eastAsia="標楷體" w:hAnsi="Times New Roman"/>
          <w:sz w:val="24"/>
          <w:lang w:eastAsia="zh-TW"/>
        </w:rPr>
        <w:t>。以深度學習</w:t>
      </w:r>
      <w:r>
        <w:rPr>
          <w:rFonts w:ascii="Times New Roman" w:eastAsia="標楷體" w:hAnsi="Times New Roman"/>
          <w:sz w:val="24"/>
          <w:lang w:eastAsia="zh-TW"/>
        </w:rPr>
        <w:t>LSTM</w:t>
      </w:r>
      <w:r>
        <w:rPr>
          <w:rFonts w:ascii="Times New Roman" w:eastAsia="標楷體" w:hAnsi="Times New Roman"/>
          <w:sz w:val="24"/>
          <w:lang w:eastAsia="zh-TW"/>
        </w:rPr>
        <w:t>方法進行台灣加權股價指數預測。國立交通大學科技管理研究所碩士論文。</w:t>
      </w:r>
    </w:p>
    <w:p w14:paraId="614A5574" w14:textId="77777777" w:rsidR="007E1562" w:rsidRDefault="00000000">
      <w:pPr>
        <w:ind w:left="425" w:hanging="425"/>
        <w:rPr>
          <w:lang w:eastAsia="zh-TW"/>
        </w:rPr>
      </w:pPr>
      <w:r>
        <w:rPr>
          <w:rFonts w:ascii="Times New Roman" w:eastAsia="標楷體" w:hAnsi="Times New Roman"/>
          <w:sz w:val="24"/>
          <w:lang w:eastAsia="zh-TW"/>
        </w:rPr>
        <w:t>陳思妘</w:t>
      </w:r>
      <w:r>
        <w:rPr>
          <w:rFonts w:ascii="Times New Roman" w:eastAsia="標楷體" w:hAnsi="Times New Roman"/>
          <w:sz w:val="24"/>
          <w:lang w:eastAsia="zh-TW"/>
        </w:rPr>
        <w:t xml:space="preserve"> (2021)</w:t>
      </w:r>
      <w:r>
        <w:rPr>
          <w:rFonts w:ascii="Times New Roman" w:eastAsia="標楷體" w:hAnsi="Times New Roman"/>
          <w:sz w:val="24"/>
          <w:lang w:eastAsia="zh-TW"/>
        </w:rPr>
        <w:t>。深度學習於台灣加權股價指數預測之應用。國立交通大學管理學院財務金融學程碩士論文。</w:t>
      </w:r>
    </w:p>
    <w:p w14:paraId="7BBD1EC6" w14:textId="77777777" w:rsidR="007E1562" w:rsidRDefault="00000000">
      <w:pPr>
        <w:ind w:left="425" w:hanging="425"/>
      </w:pPr>
      <w:proofErr w:type="spellStart"/>
      <w:r>
        <w:rPr>
          <w:rFonts w:ascii="Times New Roman" w:eastAsia="標楷體" w:hAnsi="Times New Roman"/>
          <w:sz w:val="24"/>
        </w:rPr>
        <w:t>Breiman</w:t>
      </w:r>
      <w:proofErr w:type="spellEnd"/>
      <w:r>
        <w:rPr>
          <w:rFonts w:ascii="Times New Roman" w:eastAsia="標楷體" w:hAnsi="Times New Roman"/>
          <w:sz w:val="24"/>
        </w:rPr>
        <w:t>, L. (2001). Random forests. Machine Learning, 45(1), 5-32.</w:t>
      </w:r>
    </w:p>
    <w:p w14:paraId="215297C1" w14:textId="77777777" w:rsidR="007E1562" w:rsidRDefault="00000000">
      <w:pPr>
        <w:ind w:left="425" w:hanging="425"/>
      </w:pPr>
      <w:r>
        <w:rPr>
          <w:rFonts w:ascii="Times New Roman" w:eastAsia="標楷體" w:hAnsi="Times New Roman"/>
          <w:sz w:val="24"/>
        </w:rPr>
        <w:t>Hochreiter, S., &amp; Schmidhuber, J. (1997). Long short-term memory. Neural Computation, 9(8), 1735-1780.</w:t>
      </w:r>
    </w:p>
    <w:p w14:paraId="78948A78" w14:textId="77777777" w:rsidR="007E1562" w:rsidRDefault="00000000">
      <w:pPr>
        <w:ind w:left="425" w:hanging="425"/>
      </w:pPr>
      <w:r>
        <w:rPr>
          <w:rFonts w:ascii="Times New Roman" w:eastAsia="標楷體" w:hAnsi="Times New Roman"/>
          <w:sz w:val="24"/>
        </w:rPr>
        <w:t>Fama, E. F. (1970). Efficient capital markets: A review of theory and empirical work. The Journal of Finance, 25(2), 383-417.</w:t>
      </w:r>
    </w:p>
    <w:p w14:paraId="7591291B" w14:textId="77777777" w:rsidR="007E1562" w:rsidRDefault="00000000">
      <w:pPr>
        <w:ind w:left="425" w:hanging="425"/>
      </w:pPr>
      <w:r>
        <w:rPr>
          <w:rFonts w:ascii="Times New Roman" w:eastAsia="標楷體" w:hAnsi="Times New Roman"/>
          <w:sz w:val="24"/>
        </w:rPr>
        <w:t>Kingma, D. P., &amp; Ba, J. (2014). Adam: A method for stochastic optimization. arXiv preprint arXiv:1412.6980.</w:t>
      </w:r>
    </w:p>
    <w:p w14:paraId="5CE2F967" w14:textId="77777777" w:rsidR="007E1562" w:rsidRDefault="00000000">
      <w:pPr>
        <w:ind w:left="425" w:hanging="425"/>
      </w:pPr>
      <w:r>
        <w:rPr>
          <w:rFonts w:ascii="Times New Roman" w:eastAsia="標楷體" w:hAnsi="Times New Roman"/>
          <w:sz w:val="24"/>
        </w:rPr>
        <w:t>Engle, R. F., Giglio, S., Kelly, B., Lee, H., &amp; Stroebel, J. (2020). Hedging climate change news. The Review of Financial Studies, 33(3), 1184-1216.</w:t>
      </w:r>
    </w:p>
    <w:p w14:paraId="0A86C35B" w14:textId="77777777" w:rsidR="007E1562" w:rsidRDefault="00000000">
      <w:pPr>
        <w:ind w:left="425" w:hanging="425"/>
      </w:pPr>
      <w:r>
        <w:rPr>
          <w:rFonts w:ascii="Times New Roman" w:eastAsia="標楷體" w:hAnsi="Times New Roman"/>
          <w:sz w:val="24"/>
        </w:rPr>
        <w:t>OpenAI. (2023). GPT-4 Technical Report. arXiv preprint arXiv:2303.08774.</w:t>
      </w:r>
    </w:p>
    <w:p w14:paraId="6F0132DA" w14:textId="77777777" w:rsidR="007E1562" w:rsidRDefault="00000000">
      <w:pPr>
        <w:ind w:left="425" w:hanging="425"/>
      </w:pPr>
      <w:r>
        <w:rPr>
          <w:rFonts w:ascii="Times New Roman" w:eastAsia="標楷體" w:hAnsi="Times New Roman"/>
          <w:sz w:val="24"/>
        </w:rPr>
        <w:t>Wu, S., Irsoy, O., Lu, S., Dabravolski, V., Dredze, M., Gehrmann, S., ... &amp; Mann, G. (2023). BloombergGPT: A large language model for finance. arXiv preprint arXiv:2303.17564.</w:t>
      </w:r>
    </w:p>
    <w:p w14:paraId="1C08C943" w14:textId="77777777" w:rsidR="007E1562" w:rsidRDefault="00000000">
      <w:pPr>
        <w:ind w:left="425" w:hanging="425"/>
      </w:pPr>
      <w:r>
        <w:rPr>
          <w:rFonts w:ascii="Times New Roman" w:eastAsia="標楷體" w:hAnsi="Times New Roman"/>
          <w:sz w:val="24"/>
        </w:rPr>
        <w:t>Aroussi, R. (2023). yfinance: Yahoo! Finance market data downloader. PyPI.</w:t>
      </w:r>
    </w:p>
    <w:p w14:paraId="181DD0C1" w14:textId="77777777" w:rsidR="007E1562" w:rsidRDefault="00000000">
      <w:pPr>
        <w:ind w:left="425" w:hanging="425"/>
      </w:pPr>
      <w:r>
        <w:rPr>
          <w:rFonts w:ascii="Times New Roman" w:eastAsia="標楷體" w:hAnsi="Times New Roman"/>
          <w:sz w:val="24"/>
        </w:rPr>
        <w:t>IHS Markit. (2023). IHS Markit Global Carbon Index Rulebook. London: IHS Markit.</w:t>
      </w:r>
    </w:p>
    <w:sectPr w:rsidR="007E156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8C798" w14:textId="77777777" w:rsidR="00A93754" w:rsidRDefault="00A93754" w:rsidP="008F5471">
      <w:pPr>
        <w:spacing w:after="0" w:line="240" w:lineRule="auto"/>
      </w:pPr>
      <w:r>
        <w:separator/>
      </w:r>
    </w:p>
  </w:endnote>
  <w:endnote w:type="continuationSeparator" w:id="0">
    <w:p w14:paraId="0598EF36" w14:textId="77777777" w:rsidR="00A93754" w:rsidRDefault="00A93754" w:rsidP="008F5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7C22" w14:textId="77777777" w:rsidR="00A93754" w:rsidRDefault="00A93754" w:rsidP="008F5471">
      <w:pPr>
        <w:spacing w:after="0" w:line="240" w:lineRule="auto"/>
      </w:pPr>
      <w:r>
        <w:separator/>
      </w:r>
    </w:p>
  </w:footnote>
  <w:footnote w:type="continuationSeparator" w:id="0">
    <w:p w14:paraId="0AB0A88D" w14:textId="77777777" w:rsidR="00A93754" w:rsidRDefault="00A93754" w:rsidP="008F5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1876659">
    <w:abstractNumId w:val="8"/>
  </w:num>
  <w:num w:numId="2" w16cid:durableId="820193156">
    <w:abstractNumId w:val="6"/>
  </w:num>
  <w:num w:numId="3" w16cid:durableId="341081449">
    <w:abstractNumId w:val="5"/>
  </w:num>
  <w:num w:numId="4" w16cid:durableId="139004358">
    <w:abstractNumId w:val="4"/>
  </w:num>
  <w:num w:numId="5" w16cid:durableId="25253134">
    <w:abstractNumId w:val="7"/>
  </w:num>
  <w:num w:numId="6" w16cid:durableId="1837264464">
    <w:abstractNumId w:val="3"/>
  </w:num>
  <w:num w:numId="7" w16cid:durableId="1365444874">
    <w:abstractNumId w:val="2"/>
  </w:num>
  <w:num w:numId="8" w16cid:durableId="1690788933">
    <w:abstractNumId w:val="1"/>
  </w:num>
  <w:num w:numId="9" w16cid:durableId="114523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206"/>
    <w:rsid w:val="0029639D"/>
    <w:rsid w:val="00326F90"/>
    <w:rsid w:val="005D4CF5"/>
    <w:rsid w:val="007E1562"/>
    <w:rsid w:val="008F5471"/>
    <w:rsid w:val="00A93754"/>
    <w:rsid w:val="00AA1D8D"/>
    <w:rsid w:val="00B47730"/>
    <w:rsid w:val="00C52D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E9BE7E"/>
  <w14:defaultImageDpi w14:val="300"/>
  <w15:docId w15:val="{339567F8-A0F2-4025-B9C8-AF470139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子瑜 林</cp:lastModifiedBy>
  <cp:revision>4</cp:revision>
  <dcterms:created xsi:type="dcterms:W3CDTF">2013-12-23T23:15:00Z</dcterms:created>
  <dcterms:modified xsi:type="dcterms:W3CDTF">2025-12-24T14:58:00Z</dcterms:modified>
  <cp:category/>
</cp:coreProperties>
</file>