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  <w:jc w:val="center"/>
      </w:pPr>
      <w:r>
        <w:rPr>
          <w:b/>
          <w:color w:val="2E86AB"/>
          <w:sz w:val="44"/>
        </w:rPr>
        <w:t>Can We Predict Which Startups Win?</w:t>
      </w:r>
    </w:p>
    <w:p>
      <w:pPr>
        <w:spacing w:before="40" w:after="120"/>
      </w:pPr>
      <w:r>
        <w:rPr>
          <w:b/>
          <w:sz w:val="22"/>
        </w:rPr>
        <w:t>54,294 startups · 3 outcomes · 5 notebooks</w:t>
      </w:r>
    </w:p>
    <w:p>
      <w:pPr>
        <w:spacing w:before="120" w:after="120"/>
        <w:pBdr>
          <w:bottom w:val="single" w:sz="6" w:color="2E86AB"/>
        </w:pBdr>
      </w:pPr>
    </w:p>
    <w:p>
      <w:pPr>
        <w:spacing w:before="280" w:after="80"/>
      </w:pPr>
      <w:r>
        <w:rPr>
          <w:b/>
          <w:color w:val="1A1A2E"/>
          <w:sz w:val="32"/>
        </w:rPr>
        <w:t>The Journey</w:t>
      </w:r>
    </w:p>
    <w:p>
      <w:pPr>
        <w:spacing w:before="80" w:after="80"/>
        <w:ind w:left="454"/>
      </w:pPr>
      <w:r>
        <w:rPr>
          <w:i/>
          <w:color w:val="2E86AB"/>
          <w:sz w:val="20"/>
        </w:rPr>
        <w:t>📊  [Diagram — see rendered Markdown for flowchart/chart]</w:t>
      </w:r>
    </w:p>
    <w:p>
      <w:pPr>
        <w:spacing w:before="120" w:after="120"/>
        <w:pBdr>
          <w:bottom w:val="single" w:sz="6" w:color="2E86AB"/>
        </w:pBdr>
      </w:pPr>
    </w:p>
    <w:p>
      <w:pPr>
        <w:spacing w:before="280" w:after="80"/>
      </w:pPr>
      <w:r>
        <w:rPr>
          <w:b/>
          <w:color w:val="1A1A2E"/>
          <w:sz w:val="32"/>
        </w:rPr>
        <w:t>Phase 1 — EDA</w:t>
      </w:r>
    </w:p>
    <w:p>
      <w:pPr>
        <w:spacing w:before="80" w:after="80"/>
        <w:ind w:left="454"/>
      </w:pPr>
      <w:r>
        <w:rPr>
          <w:i/>
          <w:color w:val="2E86AB"/>
          <w:sz w:val="20"/>
        </w:rPr>
        <w:t>📊  [Diagram — see rendered Markdown for flowchart/chart]</w:t>
      </w:r>
    </w:p>
    <w:p>
      <w:pPr>
        <w:spacing w:before="40" w:after="120"/>
      </w:pPr>
      <w:r>
        <w:rPr>
          <w:b/>
          <w:sz w:val="22"/>
        </w:rPr>
        <w:t>Funding amounts — before and after log transform:</w:t>
      </w:r>
    </w:p>
    <w:p>
      <w:pPr>
        <w:spacing w:before="0" w:after="0"/>
        <w:ind w:left="454"/>
      </w:pPr>
      <w:r>
        <w:rPr>
          <w:rFonts w:ascii="Courier New" w:hAnsi="Courier New"/>
          <w:color w:val="1A1A2E"/>
          <w:sz w:val="18"/>
        </w:rPr>
        <w:t>LINEAR SCALE</w:t>
      </w:r>
    </w:p>
    <w:p>
      <w:pPr>
        <w:spacing w:before="0" w:after="0"/>
        <w:ind w:left="454"/>
      </w:pPr>
      <w:r>
        <w:rPr>
          <w:rFonts w:ascii="Courier New" w:hAnsi="Courier New"/>
          <w:color w:val="1A1A2E"/>
          <w:sz w:val="18"/>
        </w:rPr>
        <w:t>seed  ████████████████████████████████████████░░░░    99% near zero, spikes at tail</w:t>
      </w:r>
    </w:p>
    <w:p>
      <w:pPr>
        <w:spacing w:before="0" w:after="0"/>
        <w:ind w:left="454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0" w:after="0"/>
        <w:ind w:left="454"/>
      </w:pPr>
      <w:r>
        <w:rPr>
          <w:rFonts w:ascii="Courier New" w:hAnsi="Courier New"/>
          <w:color w:val="1A1A2E"/>
          <w:sz w:val="18"/>
        </w:rPr>
        <w:t>LOG SCALE</w:t>
      </w:r>
    </w:p>
    <w:p>
      <w:pPr>
        <w:spacing w:before="0" w:after="0"/>
        <w:ind w:left="454"/>
      </w:pPr>
      <w:r>
        <w:rPr>
          <w:rFonts w:ascii="Courier New" w:hAnsi="Courier New"/>
          <w:color w:val="1A1A2E"/>
          <w:sz w:val="18"/>
        </w:rPr>
        <w:t>seed       ░░▒▒████████████████████▒▒░░               near-normal distribution</w:t>
      </w:r>
    </w:p>
    <w:p/>
    <w:p>
      <w:pPr>
        <w:spacing w:before="160" w:after="80"/>
      </w:pPr>
      <w:r>
        <w:rPr>
          <w:b/>
          <w:color w:val="2E86AB"/>
          <w:sz w:val="26"/>
        </w:rPr>
        <w:t>Challenges We Hit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2E86A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vAlign w:val="center"/>
            <w:shd w:val="clear" w:color="auto" w:fill="2E86A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Challenge</w:t>
            </w:r>
          </w:p>
        </w:tc>
        <w:tc>
          <w:tcPr>
            <w:tcW w:type="dxa" w:w="3135"/>
            <w:vAlign w:val="center"/>
            <w:shd w:val="clear" w:color="auto" w:fill="2E86A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What We Did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1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sz w:val="20"/>
              </w:rPr>
              <w:t>15K+ rows missing founding date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Median imputation per column (year / month / quarter)</w:t>
            </w:r>
          </w:p>
        </w:tc>
      </w:tr>
      <w:tr>
        <w:tc>
          <w:tcPr>
            <w:tcW w:type="dxa" w:w="3135"/>
            <w:vAlign w:val="center"/>
            <w:shd w:val="clear" w:color="auto" w:fill="EEF4F9"/>
          </w:tcPr>
          <w:p>
            <w:pPr>
              <w:spacing w:before="60" w:after="60"/>
            </w:pPr>
            <w:r>
              <w:rPr>
                <w:sz w:val="20"/>
              </w:rPr>
              <w:t>2</w:t>
            </w:r>
          </w:p>
        </w:tc>
        <w:tc>
          <w:tcPr>
            <w:tcW w:type="dxa" w:w="3135"/>
            <w:vAlign w:val="center"/>
            <w:shd w:val="clear" w:color="auto" w:fill="EEF4F9"/>
          </w:tcPr>
          <w:p>
            <w:pPr>
              <w:spacing w:before="60" w:after="60"/>
            </w:pPr>
            <w:r>
              <w:rPr>
                <w:b/>
                <w:sz w:val="20"/>
              </w:rPr>
              <w:t>Geography dominated by USA</w:t>
            </w:r>
          </w:p>
        </w:tc>
        <w:tc>
          <w:tcPr>
            <w:tcW w:type="dxa" w:w="3135"/>
            <w:vAlign w:val="center"/>
            <w:shd w:val="clear" w:color="auto" w:fill="EEF4F9"/>
          </w:tcPr>
          <w:p>
            <w:pPr>
              <w:spacing w:before="60" w:after="60"/>
            </w:pPr>
            <w:r>
              <w:rPr>
                <w:sz w:val="20"/>
              </w:rPr>
              <w:t>Silicon Valley, NY, Boston, Seattle, LA → 7 named clusters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3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sz w:val="20"/>
              </w:rPr>
              <w:t>753 markets, 115 countries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One-hot encoding impractical → target encoding (mean acquisition rate)</w:t>
            </w:r>
          </w:p>
        </w:tc>
      </w:tr>
      <w:tr>
        <w:tc>
          <w:tcPr>
            <w:tcW w:type="dxa" w:w="3135"/>
            <w:vAlign w:val="center"/>
            <w:shd w:val="clear" w:color="auto" w:fill="EEF4F9"/>
          </w:tcPr>
          <w:p>
            <w:pPr>
              <w:spacing w:before="60" w:after="60"/>
            </w:pPr>
            <w:r>
              <w:rPr>
                <w:sz w:val="20"/>
              </w:rPr>
              <w:t>4</w:t>
            </w:r>
          </w:p>
        </w:tc>
        <w:tc>
          <w:tcPr>
            <w:tcW w:type="dxa" w:w="3135"/>
            <w:vAlign w:val="center"/>
            <w:shd w:val="clear" w:color="auto" w:fill="EEF4F9"/>
          </w:tcPr>
          <w:p>
            <w:pPr>
              <w:spacing w:before="60" w:after="60"/>
            </w:pPr>
            <w:r>
              <w:rPr>
                <w:b/>
                <w:sz w:val="20"/>
              </w:rPr>
              <w:t>`funding_total_usd` vs `rounds_sum` mismatch</w:t>
            </w:r>
          </w:p>
        </w:tc>
        <w:tc>
          <w:tcPr>
            <w:tcW w:type="dxa" w:w="3135"/>
            <w:vAlign w:val="center"/>
            <w:shd w:val="clear" w:color="auto" w:fill="EEF4F9"/>
          </w:tcPr>
          <w:p>
            <w:pPr>
              <w:spacing w:before="60" w:after="60"/>
            </w:pPr>
            <w:r>
              <w:rPr>
                <w:sz w:val="20"/>
              </w:rPr>
              <w:t>Cross-referenced to separate true zeros from missing data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5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sz w:val="20"/>
              </w:rPr>
              <w:t>Round amount columns mostly zeros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 xml:space="preserve">Converted to binary flags: </w:t>
            </w:r>
            <w:r>
              <w:rPr>
                <w:rFonts w:ascii="Courier New" w:hAnsi="Courier New"/>
                <w:sz w:val="18"/>
              </w:rPr>
              <w:t>has_round_A / B / C</w:t>
            </w:r>
          </w:p>
        </w:tc>
      </w:tr>
      <w:tr>
        <w:tc>
          <w:tcPr>
            <w:tcW w:type="dxa" w:w="3135"/>
            <w:vAlign w:val="center"/>
            <w:shd w:val="clear" w:color="auto" w:fill="EEF4F9"/>
          </w:tcPr>
          <w:p>
            <w:pPr>
              <w:spacing w:before="60" w:after="60"/>
            </w:pPr>
            <w:r>
              <w:rPr>
                <w:sz w:val="20"/>
              </w:rPr>
              <w:t>6</w:t>
            </w:r>
          </w:p>
        </w:tc>
        <w:tc>
          <w:tcPr>
            <w:tcW w:type="dxa" w:w="3135"/>
            <w:vAlign w:val="center"/>
            <w:shd w:val="clear" w:color="auto" w:fill="EEF4F9"/>
          </w:tcPr>
          <w:p>
            <w:pPr>
              <w:spacing w:before="60" w:after="60"/>
            </w:pPr>
            <w:r>
              <w:rPr>
                <w:b/>
                <w:sz w:val="20"/>
              </w:rPr>
              <w:t>Rounds D–H each below 3% participation</w:t>
            </w:r>
          </w:p>
        </w:tc>
        <w:tc>
          <w:tcPr>
            <w:tcW w:type="dxa" w:w="3135"/>
            <w:vAlign w:val="center"/>
            <w:shd w:val="clear" w:color="auto" w:fill="EEF4F9"/>
          </w:tcPr>
          <w:p>
            <w:pPr>
              <w:spacing w:before="60" w:after="60"/>
            </w:pPr>
            <w:r>
              <w:rPr>
                <w:sz w:val="20"/>
              </w:rPr>
              <w:t xml:space="preserve">Too sparse individually → collapsed to </w:t>
            </w:r>
            <w:r>
              <w:rPr>
                <w:rFonts w:ascii="Courier New" w:hAnsi="Courier New"/>
                <w:sz w:val="18"/>
              </w:rPr>
              <w:t>round_D_plus</w:t>
            </w:r>
          </w:p>
        </w:tc>
      </w:tr>
    </w:tbl>
    <w:p/>
    <w:p>
      <w:pPr>
        <w:spacing w:before="120" w:after="120"/>
        <w:pBdr>
          <w:bottom w:val="single" w:sz="6" w:color="2E86AB"/>
        </w:pBdr>
      </w:pPr>
    </w:p>
    <w:p>
      <w:pPr>
        <w:spacing w:before="280" w:after="80"/>
      </w:pPr>
      <w:r>
        <w:rPr>
          <w:b/>
          <w:color w:val="1A1A2E"/>
          <w:sz w:val="32"/>
        </w:rPr>
        <w:t>Phase 2 — Research Questions</w:t>
      </w:r>
    </w:p>
    <w:p>
      <w:pPr>
        <w:spacing w:before="80" w:after="80"/>
        <w:ind w:left="454"/>
      </w:pPr>
      <w:r>
        <w:rPr>
          <w:i/>
          <w:color w:val="2E86AB"/>
          <w:sz w:val="20"/>
        </w:rPr>
        <w:t>📊  [Diagram — see rendered Markdown for flowchart/chart]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  <w:shd w:val="clear" w:color="auto" w:fill="2E86A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Bias</w:t>
            </w:r>
          </w:p>
        </w:tc>
        <w:tc>
          <w:tcPr>
            <w:tcW w:type="dxa" w:w="4703"/>
            <w:vAlign w:val="center"/>
            <w:shd w:val="clear" w:color="auto" w:fill="2E86A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Problem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sz w:val="20"/>
              </w:rPr>
              <w:t>Survivorship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Pre-2000 startups look best — failures were deleted</w:t>
            </w:r>
          </w:p>
        </w:tc>
      </w:tr>
      <w:tr>
        <w:tc>
          <w:tcPr>
            <w:tcW w:type="dxa" w:w="4703"/>
            <w:vAlign w:val="center"/>
            <w:shd w:val="clear" w:color="auto" w:fill="EEF4F9"/>
          </w:tcPr>
          <w:p>
            <w:pPr>
              <w:spacing w:before="60" w:after="60"/>
            </w:pPr>
            <w:r>
              <w:rPr>
                <w:b/>
                <w:sz w:val="20"/>
              </w:rPr>
              <w:t>Immaturity</w:t>
            </w:r>
          </w:p>
        </w:tc>
        <w:tc>
          <w:tcPr>
            <w:tcW w:type="dxa" w:w="4703"/>
            <w:vAlign w:val="center"/>
            <w:shd w:val="clear" w:color="auto" w:fill="EEF4F9"/>
          </w:tcPr>
          <w:p>
            <w:pPr>
              <w:spacing w:before="60" w:after="60"/>
            </w:pPr>
            <w:r>
              <w:rPr>
                <w:sz w:val="20"/>
              </w:rPr>
              <w:t>2012+ startups not old enough to be acquired yet</w:t>
            </w:r>
          </w:p>
        </w:tc>
      </w:tr>
      <w:tr>
        <w:tc>
          <w:tcPr>
            <w:tcW w:type="dxa" w:w="4703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sz w:val="20"/>
              </w:rPr>
              <w:t>Causality</w:t>
            </w:r>
          </w:p>
        </w:tc>
        <w:tc>
          <w:tcPr>
            <w:tcW w:type="dxa" w:w="4703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 xml:space="preserve">Correlation only — we can't say seed funding </w:t>
            </w:r>
            <w:r>
              <w:rPr>
                <w:i/>
                <w:sz w:val="20"/>
              </w:rPr>
              <w:t>causes</w:t>
            </w:r>
            <w:r>
              <w:rPr>
                <w:sz w:val="20"/>
              </w:rPr>
              <w:t xml:space="preserve"> success</w:t>
            </w:r>
          </w:p>
        </w:tc>
      </w:tr>
    </w:tbl>
    <w:p/>
    <w:p>
      <w:pPr>
        <w:spacing w:before="120" w:after="120"/>
        <w:pBdr>
          <w:bottom w:val="single" w:sz="6" w:color="2E86AB"/>
        </w:pBdr>
      </w:pPr>
    </w:p>
    <w:p>
      <w:pPr>
        <w:spacing w:before="280" w:after="80"/>
      </w:pPr>
      <w:r>
        <w:rPr>
          <w:b/>
          <w:color w:val="1A1A2E"/>
          <w:sz w:val="32"/>
        </w:rPr>
        <w:t>Phase 3 — Preprocessing</w:t>
      </w:r>
    </w:p>
    <w:p>
      <w:pPr>
        <w:spacing w:before="80" w:after="80"/>
        <w:ind w:left="454"/>
      </w:pPr>
      <w:r>
        <w:rPr>
          <w:i/>
          <w:color w:val="2E86AB"/>
          <w:sz w:val="20"/>
        </w:rPr>
        <w:t>📊  [Diagram — see rendered Markdown for flowchart/chart]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2E86A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Split</w:t>
            </w:r>
          </w:p>
        </w:tc>
        <w:tc>
          <w:tcPr>
            <w:tcW w:type="dxa" w:w="3135"/>
            <w:vAlign w:val="center"/>
            <w:shd w:val="clear" w:color="auto" w:fill="2E86A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3135"/>
            <w:vAlign w:val="center"/>
            <w:shd w:val="clear" w:color="auto" w:fill="2E86A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Share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Train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27,860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70%</w:t>
            </w:r>
          </w:p>
        </w:tc>
      </w:tr>
      <w:tr>
        <w:tc>
          <w:tcPr>
            <w:tcW w:type="dxa" w:w="3135"/>
            <w:vAlign w:val="center"/>
            <w:shd w:val="clear" w:color="auto" w:fill="EEF4F9"/>
          </w:tcPr>
          <w:p>
            <w:pPr>
              <w:spacing w:before="60" w:after="60"/>
            </w:pPr>
            <w:r>
              <w:rPr>
                <w:sz w:val="20"/>
              </w:rPr>
              <w:t>Validation</w:t>
            </w:r>
          </w:p>
        </w:tc>
        <w:tc>
          <w:tcPr>
            <w:tcW w:type="dxa" w:w="3135"/>
            <w:vAlign w:val="center"/>
            <w:shd w:val="clear" w:color="auto" w:fill="EEF4F9"/>
          </w:tcPr>
          <w:p>
            <w:pPr>
              <w:spacing w:before="60" w:after="60"/>
            </w:pPr>
            <w:r>
              <w:rPr>
                <w:sz w:val="20"/>
              </w:rPr>
              <w:t>5,971</w:t>
            </w:r>
          </w:p>
        </w:tc>
        <w:tc>
          <w:tcPr>
            <w:tcW w:type="dxa" w:w="3135"/>
            <w:vAlign w:val="center"/>
            <w:shd w:val="clear" w:color="auto" w:fill="EEF4F9"/>
          </w:tcPr>
          <w:p>
            <w:pPr>
              <w:spacing w:before="60" w:after="60"/>
            </w:pPr>
            <w:r>
              <w:rPr>
                <w:sz w:val="20"/>
              </w:rPr>
              <w:t>15%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Test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5,971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15%</w:t>
            </w:r>
          </w:p>
        </w:tc>
      </w:tr>
    </w:tbl>
    <w:p/>
    <w:p>
      <w:pPr>
        <w:spacing w:before="80" w:after="80"/>
        <w:ind w:left="567"/>
      </w:pPr>
      <w:r>
        <w:rPr>
          <w:i/>
          <w:color w:val="44779A"/>
          <w:sz w:val="22"/>
        </w:rPr>
        <w:t>Pipeline fitted on training data only — applied identically to validation and test.</w:t>
      </w:r>
    </w:p>
    <w:p>
      <w:pPr>
        <w:spacing w:before="120" w:after="120"/>
        <w:pBdr>
          <w:bottom w:val="single" w:sz="6" w:color="2E86AB"/>
        </w:pBdr>
      </w:pPr>
    </w:p>
    <w:p>
      <w:pPr>
        <w:spacing w:before="280" w:after="80"/>
      </w:pPr>
      <w:r>
        <w:rPr>
          <w:b/>
          <w:color w:val="1A1A2E"/>
          <w:sz w:val="32"/>
        </w:rPr>
        <w:t>Phase 4 — Imbalance Handling</w:t>
      </w:r>
    </w:p>
    <w:p>
      <w:pPr>
        <w:spacing w:before="0" w:after="0"/>
        <w:ind w:left="454"/>
      </w:pPr>
      <w:r>
        <w:rPr>
          <w:rFonts w:ascii="Courier New" w:hAnsi="Courier New"/>
          <w:color w:val="1A1A2E"/>
          <w:sz w:val="18"/>
        </w:rPr>
        <w:t>BEFORE RESAMPLING</w:t>
      </w:r>
    </w:p>
    <w:p>
      <w:pPr>
        <w:spacing w:before="0" w:after="0"/>
        <w:ind w:left="454"/>
      </w:pPr>
      <w:r>
        <w:rPr>
          <w:rFonts w:ascii="Courier New" w:hAnsi="Courier New"/>
          <w:color w:val="1A1A2E"/>
          <w:sz w:val="18"/>
        </w:rPr>
        <w:t>Operating  ████████████████████████████████████████████  86.5%</w:t>
      </w:r>
    </w:p>
    <w:p>
      <w:pPr>
        <w:spacing w:before="0" w:after="0"/>
        <w:ind w:left="454"/>
      </w:pPr>
      <w:r>
        <w:rPr>
          <w:rFonts w:ascii="Courier New" w:hAnsi="Courier New"/>
          <w:color w:val="1A1A2E"/>
          <w:sz w:val="18"/>
        </w:rPr>
        <w:t>Acquired   ████░░░░░░░░░░░░░░░░░░░░░░░░░░░░░░░░░░░░░░    8.1%</w:t>
      </w:r>
    </w:p>
    <w:p>
      <w:pPr>
        <w:spacing w:before="0" w:after="0"/>
        <w:ind w:left="454"/>
      </w:pPr>
      <w:r>
        <w:rPr>
          <w:rFonts w:ascii="Courier New" w:hAnsi="Courier New"/>
          <w:color w:val="1A1A2E"/>
          <w:sz w:val="18"/>
        </w:rPr>
        <w:t>Closed     ██░░░░░░░░░░░░░░░░░░░░░░░░░░░░░░░░░░░░░░░░    5.4%</w:t>
      </w:r>
    </w:p>
    <w:p>
      <w:pPr>
        <w:spacing w:before="0" w:after="0"/>
        <w:ind w:left="454"/>
      </w:pPr>
      <w:r>
        <w:rPr>
          <w:rFonts w:ascii="Courier New" w:hAnsi="Courier New"/>
          <w:color w:val="1A1A2E"/>
          <w:sz w:val="18"/>
        </w:rPr>
        <w:t xml:space="preserve"> </w:t>
      </w:r>
    </w:p>
    <w:p>
      <w:pPr>
        <w:spacing w:before="0" w:after="0"/>
        <w:ind w:left="454"/>
      </w:pPr>
      <w:r>
        <w:rPr>
          <w:rFonts w:ascii="Courier New" w:hAnsi="Courier New"/>
          <w:color w:val="1A1A2E"/>
          <w:sz w:val="18"/>
        </w:rPr>
        <w:t>AFTER SMOTETomek</w:t>
      </w:r>
    </w:p>
    <w:p>
      <w:pPr>
        <w:spacing w:before="0" w:after="0"/>
        <w:ind w:left="454"/>
      </w:pPr>
      <w:r>
        <w:rPr>
          <w:rFonts w:ascii="Courier New" w:hAnsi="Courier New"/>
          <w:color w:val="1A1A2E"/>
          <w:sz w:val="18"/>
        </w:rPr>
        <w:t>Operating  ██████████████░░░░░░░░░░░░░░░░░░░░░░░░░░░░   32.8%</w:t>
      </w:r>
    </w:p>
    <w:p>
      <w:pPr>
        <w:spacing w:before="0" w:after="0"/>
        <w:ind w:left="454"/>
      </w:pPr>
      <w:r>
        <w:rPr>
          <w:rFonts w:ascii="Courier New" w:hAnsi="Courier New"/>
          <w:color w:val="1A1A2E"/>
          <w:sz w:val="18"/>
        </w:rPr>
        <w:t>Acquired   ██████████████░░░░░░░░░░░░░░░░░░░░░░░░░░░░   33.6%</w:t>
      </w:r>
    </w:p>
    <w:p>
      <w:pPr>
        <w:spacing w:before="0" w:after="0"/>
        <w:ind w:left="454"/>
      </w:pPr>
      <w:r>
        <w:rPr>
          <w:rFonts w:ascii="Courier New" w:hAnsi="Courier New"/>
          <w:color w:val="1A1A2E"/>
          <w:sz w:val="18"/>
        </w:rPr>
        <w:t>Closed     ███████████████░░░░░░░░░░░░░░░░░░░░░░░░░░░   33.6%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2E86A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Strategy</w:t>
            </w:r>
          </w:p>
        </w:tc>
        <w:tc>
          <w:tcPr>
            <w:tcW w:type="dxa" w:w="2351"/>
            <w:vAlign w:val="center"/>
            <w:shd w:val="clear" w:color="auto" w:fill="2E86A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Macro F1</w:t>
            </w:r>
          </w:p>
        </w:tc>
        <w:tc>
          <w:tcPr>
            <w:tcW w:type="dxa" w:w="2351"/>
            <w:vAlign w:val="center"/>
            <w:shd w:val="clear" w:color="auto" w:fill="2E86A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2351"/>
            <w:vAlign w:val="center"/>
            <w:shd w:val="clear" w:color="auto" w:fill="2E86A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Train Rows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Baseline (none)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0.387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86.2%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27,860</w:t>
            </w:r>
          </w:p>
        </w:tc>
      </w:tr>
      <w:tr>
        <w:tc>
          <w:tcPr>
            <w:tcW w:type="dxa" w:w="2351"/>
            <w:vAlign w:val="center"/>
            <w:shd w:val="clear" w:color="auto" w:fill="EEF4F9"/>
          </w:tcPr>
          <w:p>
            <w:pPr>
              <w:spacing w:before="60" w:after="60"/>
            </w:pPr>
            <w:r>
              <w:rPr>
                <w:sz w:val="20"/>
              </w:rPr>
              <w:t>ROS</w:t>
            </w:r>
          </w:p>
        </w:tc>
        <w:tc>
          <w:tcPr>
            <w:tcW w:type="dxa" w:w="2351"/>
            <w:vAlign w:val="center"/>
            <w:shd w:val="clear" w:color="auto" w:fill="EEF4F9"/>
          </w:tcPr>
          <w:p>
            <w:pPr>
              <w:spacing w:before="60" w:after="60"/>
            </w:pPr>
            <w:r>
              <w:rPr>
                <w:sz w:val="20"/>
              </w:rPr>
              <w:t>0.452</w:t>
            </w:r>
          </w:p>
        </w:tc>
        <w:tc>
          <w:tcPr>
            <w:tcW w:type="dxa" w:w="2351"/>
            <w:vAlign w:val="center"/>
            <w:shd w:val="clear" w:color="auto" w:fill="EEF4F9"/>
          </w:tcPr>
          <w:p>
            <w:pPr>
              <w:spacing w:before="60" w:after="60"/>
            </w:pPr>
            <w:r>
              <w:rPr>
                <w:sz w:val="20"/>
              </w:rPr>
              <w:t>64.9%</w:t>
            </w:r>
          </w:p>
        </w:tc>
        <w:tc>
          <w:tcPr>
            <w:tcW w:type="dxa" w:w="2351"/>
            <w:vAlign w:val="center"/>
            <w:shd w:val="clear" w:color="auto" w:fill="EEF4F9"/>
          </w:tcPr>
          <w:p>
            <w:pPr>
              <w:spacing w:before="60" w:after="60"/>
            </w:pPr>
            <w:r>
              <w:rPr>
                <w:sz w:val="20"/>
              </w:rPr>
              <w:t>~72,000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RUS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0.422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59.1%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~4,500</w:t>
            </w:r>
          </w:p>
        </w:tc>
      </w:tr>
      <w:tr>
        <w:tc>
          <w:tcPr>
            <w:tcW w:type="dxa" w:w="2351"/>
            <w:vAlign w:val="center"/>
            <w:shd w:val="clear" w:color="auto" w:fill="EEF4F9"/>
          </w:tcPr>
          <w:p>
            <w:pPr>
              <w:spacing w:before="60" w:after="60"/>
            </w:pPr>
            <w:r>
              <w:rPr>
                <w:sz w:val="20"/>
              </w:rPr>
              <w:t>SMOTE</w:t>
            </w:r>
          </w:p>
        </w:tc>
        <w:tc>
          <w:tcPr>
            <w:tcW w:type="dxa" w:w="2351"/>
            <w:vAlign w:val="center"/>
            <w:shd w:val="clear" w:color="auto" w:fill="EEF4F9"/>
          </w:tcPr>
          <w:p>
            <w:pPr>
              <w:spacing w:before="60" w:after="60"/>
            </w:pPr>
            <w:r>
              <w:rPr>
                <w:sz w:val="20"/>
              </w:rPr>
              <w:t>0.466</w:t>
            </w:r>
          </w:p>
        </w:tc>
        <w:tc>
          <w:tcPr>
            <w:tcW w:type="dxa" w:w="2351"/>
            <w:vAlign w:val="center"/>
            <w:shd w:val="clear" w:color="auto" w:fill="EEF4F9"/>
          </w:tcPr>
          <w:p>
            <w:pPr>
              <w:spacing w:before="60" w:after="60"/>
            </w:pPr>
            <w:r>
              <w:rPr>
                <w:sz w:val="20"/>
              </w:rPr>
              <w:t>83.9%</w:t>
            </w:r>
          </w:p>
        </w:tc>
        <w:tc>
          <w:tcPr>
            <w:tcW w:type="dxa" w:w="2351"/>
            <w:vAlign w:val="center"/>
            <w:shd w:val="clear" w:color="auto" w:fill="EEF4F9"/>
          </w:tcPr>
          <w:p>
            <w:pPr>
              <w:spacing w:before="60" w:after="60"/>
            </w:pPr>
            <w:r>
              <w:rPr>
                <w:sz w:val="20"/>
              </w:rPr>
              <w:t>62,364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sz w:val="20"/>
              </w:rPr>
              <w:t>SMOTETomek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sz w:val="20"/>
              </w:rPr>
              <w:t>0.479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sz w:val="20"/>
              </w:rPr>
              <w:t>83.8%</w:t>
            </w:r>
          </w:p>
        </w:tc>
        <w:tc>
          <w:tcPr>
            <w:tcW w:type="dxa" w:w="2351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sz w:val="20"/>
              </w:rPr>
              <w:t>62,364</w:t>
            </w:r>
          </w:p>
        </w:tc>
      </w:tr>
      <w:tr>
        <w:tc>
          <w:tcPr>
            <w:tcW w:type="dxa" w:w="2351"/>
            <w:vAlign w:val="center"/>
            <w:shd w:val="clear" w:color="auto" w:fill="EEF4F9"/>
          </w:tcPr>
          <w:p>
            <w:pPr>
              <w:spacing w:before="60" w:after="60"/>
            </w:pPr>
            <w:r>
              <w:rPr>
                <w:sz w:val="20"/>
              </w:rPr>
              <w:t>Class Weights</w:t>
            </w:r>
          </w:p>
        </w:tc>
        <w:tc>
          <w:tcPr>
            <w:tcW w:type="dxa" w:w="2351"/>
            <w:vAlign w:val="center"/>
            <w:shd w:val="clear" w:color="auto" w:fill="EEF4F9"/>
          </w:tcPr>
          <w:p>
            <w:pPr>
              <w:spacing w:before="60" w:after="60"/>
            </w:pPr>
            <w:r>
              <w:rPr>
                <w:sz w:val="20"/>
              </w:rPr>
              <w:t>0.439</w:t>
            </w:r>
          </w:p>
        </w:tc>
        <w:tc>
          <w:tcPr>
            <w:tcW w:type="dxa" w:w="2351"/>
            <w:vAlign w:val="center"/>
            <w:shd w:val="clear" w:color="auto" w:fill="EEF4F9"/>
          </w:tcPr>
          <w:p>
            <w:pPr>
              <w:spacing w:before="60" w:after="60"/>
            </w:pPr>
            <w:r>
              <w:rPr>
                <w:sz w:val="20"/>
              </w:rPr>
              <w:t>84.9%</w:t>
            </w:r>
          </w:p>
        </w:tc>
        <w:tc>
          <w:tcPr>
            <w:tcW w:type="dxa" w:w="2351"/>
            <w:vAlign w:val="center"/>
            <w:shd w:val="clear" w:color="auto" w:fill="EEF4F9"/>
          </w:tcPr>
          <w:p>
            <w:pPr>
              <w:spacing w:before="60" w:after="60"/>
            </w:pPr>
            <w:r>
              <w:rPr>
                <w:sz w:val="20"/>
              </w:rPr>
              <w:t>27,860</w:t>
            </w:r>
          </w:p>
        </w:tc>
      </w:tr>
    </w:tbl>
    <w:p/>
    <w:p>
      <w:pPr>
        <w:spacing w:before="40" w:after="120"/>
      </w:pPr>
      <w:r>
        <w:rPr>
          <w:sz w:val="22"/>
        </w:rPr>
        <w:t>All 5 variants carried forward into modeling.</w:t>
      </w:r>
    </w:p>
    <w:p>
      <w:pPr>
        <w:spacing w:before="120" w:after="120"/>
        <w:pBdr>
          <w:bottom w:val="single" w:sz="6" w:color="2E86AB"/>
        </w:pBdr>
      </w:pPr>
    </w:p>
    <w:p>
      <w:pPr>
        <w:spacing w:before="280" w:after="80"/>
      </w:pPr>
      <w:r>
        <w:rPr>
          <w:b/>
          <w:color w:val="1A1A2E"/>
          <w:sz w:val="32"/>
        </w:rPr>
        <w:t>Phase 5 — Feature Selection &amp; Modeling</w:t>
      </w:r>
    </w:p>
    <w:p>
      <w:pPr>
        <w:spacing w:before="80" w:after="80"/>
        <w:ind w:left="454"/>
      </w:pPr>
      <w:r>
        <w:rPr>
          <w:i/>
          <w:color w:val="2E86AB"/>
          <w:sz w:val="20"/>
        </w:rPr>
        <w:t>📊  [Diagram — see rendered Markdown for flowchart/chart]</w:t>
      </w:r>
    </w:p>
    <w:p>
      <w:pPr>
        <w:spacing w:before="40" w:after="120"/>
      </w:pPr>
      <w:r>
        <w:rPr>
          <w:b/>
          <w:sz w:val="22"/>
        </w:rPr>
        <w:t>The full experiment grid: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  <w:shd w:val="clear" w:color="auto" w:fill="2E86A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135"/>
            <w:vAlign w:val="center"/>
            <w:shd w:val="clear" w:color="auto" w:fill="2E86A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All Features (32)</w:t>
            </w:r>
          </w:p>
        </w:tc>
        <w:tc>
          <w:tcPr>
            <w:tcW w:type="dxa" w:w="3135"/>
            <w:vAlign w:val="center"/>
            <w:shd w:val="clear" w:color="auto" w:fill="2E86AB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Selected Features (24)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Logistic Regression L2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× 5 resampling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× 5 resampling</w:t>
            </w:r>
          </w:p>
        </w:tc>
      </w:tr>
      <w:tr>
        <w:tc>
          <w:tcPr>
            <w:tcW w:type="dxa" w:w="3135"/>
            <w:vAlign w:val="center"/>
            <w:shd w:val="clear" w:color="auto" w:fill="EEF4F9"/>
          </w:tcPr>
          <w:p>
            <w:pPr>
              <w:spacing w:before="60" w:after="60"/>
            </w:pPr>
            <w:r>
              <w:rPr>
                <w:sz w:val="20"/>
              </w:rPr>
              <w:t>Logistic Regression L1</w:t>
            </w:r>
          </w:p>
        </w:tc>
        <w:tc>
          <w:tcPr>
            <w:tcW w:type="dxa" w:w="3135"/>
            <w:vAlign w:val="center"/>
            <w:shd w:val="clear" w:color="auto" w:fill="EEF4F9"/>
          </w:tcPr>
          <w:p>
            <w:pPr>
              <w:spacing w:before="60" w:after="60"/>
            </w:pPr>
            <w:r>
              <w:rPr>
                <w:sz w:val="20"/>
              </w:rPr>
              <w:t>× 5 resampling</w:t>
            </w:r>
          </w:p>
        </w:tc>
        <w:tc>
          <w:tcPr>
            <w:tcW w:type="dxa" w:w="3135"/>
            <w:vAlign w:val="center"/>
            <w:shd w:val="clear" w:color="auto" w:fill="EEF4F9"/>
          </w:tcPr>
          <w:p>
            <w:pPr>
              <w:spacing w:before="60" w:after="60"/>
            </w:pPr>
            <w:r>
              <w:rPr>
                <w:sz w:val="20"/>
              </w:rPr>
              <w:t>× 5 resampling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Random Forest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× 5 resampling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× 5 resampling</w:t>
            </w:r>
          </w:p>
        </w:tc>
      </w:tr>
      <w:tr>
        <w:tc>
          <w:tcPr>
            <w:tcW w:type="dxa" w:w="3135"/>
            <w:vAlign w:val="center"/>
            <w:shd w:val="clear" w:color="auto" w:fill="EEF4F9"/>
          </w:tcPr>
          <w:p>
            <w:pPr>
              <w:spacing w:before="60" w:after="60"/>
            </w:pPr>
            <w:r>
              <w:rPr>
                <w:sz w:val="20"/>
              </w:rPr>
              <w:t>Gradient Boosting</w:t>
            </w:r>
          </w:p>
        </w:tc>
        <w:tc>
          <w:tcPr>
            <w:tcW w:type="dxa" w:w="3135"/>
            <w:vAlign w:val="center"/>
            <w:shd w:val="clear" w:color="auto" w:fill="EEF4F9"/>
          </w:tcPr>
          <w:p>
            <w:pPr>
              <w:spacing w:before="60" w:after="60"/>
            </w:pPr>
            <w:r>
              <w:rPr>
                <w:sz w:val="20"/>
              </w:rPr>
              <w:t>× 5 resampling</w:t>
            </w:r>
          </w:p>
        </w:tc>
        <w:tc>
          <w:tcPr>
            <w:tcW w:type="dxa" w:w="3135"/>
            <w:vAlign w:val="center"/>
            <w:shd w:val="clear" w:color="auto" w:fill="EEF4F9"/>
          </w:tcPr>
          <w:p>
            <w:pPr>
              <w:spacing w:before="60" w:after="60"/>
            </w:pPr>
            <w:r>
              <w:rPr>
                <w:sz w:val="20"/>
              </w:rPr>
              <w:t>× 5 resampling</w:t>
            </w:r>
          </w:p>
        </w:tc>
      </w:tr>
      <w:tr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XGBoost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× 5 resampling</w:t>
            </w:r>
          </w:p>
        </w:tc>
        <w:tc>
          <w:tcPr>
            <w:tcW w:type="dxa" w:w="3135"/>
            <w:vAlign w:val="center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× 5 resampling</w:t>
            </w:r>
          </w:p>
        </w:tc>
      </w:tr>
    </w:tbl>
    <w:p/>
    <w:p>
      <w:pPr>
        <w:spacing w:before="40" w:after="120"/>
      </w:pPr>
      <w:r>
        <w:rPr>
          <w:b/>
          <w:sz w:val="22"/>
        </w:rPr>
        <w:t>5 models × 2 feature sets × 5 resampling strategies = 50 experiments</w:t>
      </w:r>
    </w:p>
    <w:p>
      <w:pPr>
        <w:spacing w:before="40" w:after="120"/>
      </w:pPr>
      <w:r>
        <w:rPr>
          <w:sz w:val="22"/>
        </w:rPr>
        <w:t xml:space="preserve">Primary metric: </w:t>
      </w:r>
      <w:r>
        <w:rPr>
          <w:b/>
          <w:sz w:val="22"/>
        </w:rPr>
        <w:t>Macro F1</w:t>
      </w:r>
      <w:r>
        <w:rPr>
          <w:sz w:val="22"/>
        </w:rPr>
        <w:t xml:space="preserve"> (all three classes weighted equally).</w:t>
      </w:r>
    </w:p>
    <w:p>
      <w:pPr>
        <w:spacing w:before="40" w:after="120"/>
      </w:pPr>
      <w:r>
        <w:rPr>
          <w:sz w:val="22"/>
        </w:rPr>
        <w:t>Test set touched exactly once.</w:t>
      </w:r>
    </w:p>
    <w:p>
      <w:pPr>
        <w:spacing w:before="120" w:after="120"/>
        <w:pBdr>
          <w:bottom w:val="single" w:sz="6" w:color="2E86AB"/>
        </w:pBdr>
      </w:pPr>
    </w:p>
    <w:p>
      <w:pPr>
        <w:spacing w:before="280" w:after="80"/>
      </w:pPr>
      <w:r>
        <w:rPr>
          <w:b/>
          <w:color w:val="1A1A2E"/>
          <w:sz w:val="32"/>
        </w:rPr>
        <w:t>Key Lessons</w:t>
      </w:r>
    </w:p>
    <w:p>
      <w:pPr>
        <w:pStyle w:val="ListBullet"/>
        <w:spacing w:before="20" w:after="20"/>
        <w:ind w:left="283"/>
      </w:pPr>
      <w:r>
        <w:rPr>
          <w:b/>
          <w:sz w:val="22"/>
        </w:rPr>
        <w:t>Feature engineering beats model choice</w:t>
      </w:r>
      <w:r>
        <w:rPr>
          <w:sz w:val="22"/>
        </w:rPr>
        <w:t xml:space="preserve"> — the 39 → 46 feature transformation mattered far more than which algorithm was used</w:t>
      </w:r>
    </w:p>
    <w:p>
      <w:pPr>
        <w:pStyle w:val="ListBullet"/>
        <w:spacing w:before="20" w:after="20"/>
        <w:ind w:left="283"/>
      </w:pPr>
      <w:r>
        <w:rPr>
          <w:b/>
          <w:sz w:val="22"/>
        </w:rPr>
        <w:t>Imbalance follows you everywhere</w:t>
      </w:r>
      <w:r>
        <w:rPr>
          <w:sz w:val="22"/>
        </w:rPr>
        <w:t xml:space="preserve"> — resampling in notebook 04 was only the beginning; every modeling decision downstream depended on it</w:t>
      </w:r>
    </w:p>
    <w:p>
      <w:pPr>
        <w:pStyle w:val="ListBullet"/>
        <w:spacing w:before="20" w:after="20"/>
        <w:ind w:left="283"/>
      </w:pPr>
      <w:r>
        <w:rPr>
          <w:b/>
          <w:sz w:val="22"/>
        </w:rPr>
        <w:t>Correlation is not causation</w:t>
      </w:r>
      <w:r>
        <w:rPr>
          <w:sz w:val="22"/>
        </w:rPr>
        <w:t xml:space="preserve"> — we predict patterns, not mechanisms; that's an honest scope</w:t>
      </w:r>
    </w:p>
    <w:p>
      <w:pPr>
        <w:spacing w:before="120" w:after="120"/>
        <w:pBdr>
          <w:bottom w:val="single" w:sz="6" w:color="2E86AB"/>
        </w:pBdr>
      </w:pPr>
    </w:p>
    <w:p>
      <w:pPr>
        <w:spacing w:before="40" w:after="120"/>
      </w:pPr>
      <w:r>
        <w:rPr>
          <w:i/>
          <w:sz w:val="22"/>
        </w:rPr>
        <w:t>VC investment dataset · 54,294 startups · Machine Learning course project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