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Aptos" w:hAnsi="Aptos" w:eastAsia="Microsoft YaHei"/>
          <w:b/>
          <w:color w:val="000000"/>
          <w:sz w:val="36"/>
        </w:rPr>
        <w:t>FinTrace-CN 研究报告纠错核查智能体竞赛实施计划</w:t>
      </w:r>
    </w:p>
    <w:p>
      <w:pPr>
        <w:spacing w:after="360"/>
        <w:jc w:val="center"/>
      </w:pPr>
      <w:r>
        <w:rPr>
          <w:rFonts w:ascii="Aptos" w:hAnsi="Aptos" w:eastAsia="Microsoft YaHei"/>
          <w:b w:val="0"/>
          <w:color w:val="555555"/>
          <w:sz w:val="22"/>
        </w:rPr>
        <w:t>北京市大学生金融人工智能竞赛  初赛收敛方案</w:t>
      </w:r>
    </w:p>
    <w:p>
      <w:pPr>
        <w:spacing w:after="120" w:line="324" w:lineRule="auto"/>
      </w:pPr>
      <w:r>
        <w:rPr>
          <w:rFonts w:ascii="Aptos" w:hAnsi="Aptos" w:eastAsia="Microsoft YaHei"/>
          <w:b/>
          <w:sz w:val="21"/>
        </w:rPr>
        <w:t>本计划用于</w:t>
      </w:r>
      <w:r>
        <w:rPr>
          <w:rFonts w:ascii="Aptos" w:hAnsi="Aptos" w:eastAsia="Microsoft YaHei"/>
          <w:b w:val="0"/>
          <w:sz w:val="21"/>
        </w:rPr>
        <w:t>将现有 FinTrace-CN 项目收敛为一套可展示、可核验、可复现的研究报告纠错核查 Agent。项目主选赛题为研究报告纠错核查，并以财务报告分析为事实和计算基础，以估值复算作为可选加分能力。</w:t>
      </w:r>
    </w:p>
    <w:p>
      <w:pPr>
        <w:spacing w:after="120" w:line="324" w:lineRule="auto"/>
      </w:pPr>
      <w:r>
        <w:rPr>
          <w:rFonts w:ascii="Aptos" w:hAnsi="Aptos" w:eastAsia="Microsoft YaHei"/>
          <w:b/>
          <w:sz w:val="21"/>
        </w:rPr>
        <w:t>核心结论：</w:t>
      </w:r>
      <w:r>
        <w:rPr>
          <w:rFonts w:ascii="Aptos" w:hAnsi="Aptos" w:eastAsia="Microsoft YaHei"/>
          <w:b w:val="0"/>
          <w:sz w:val="21"/>
        </w:rPr>
        <w:t>不重写已有的文档解析、财务规范化、证据链和确定性校验器；将它们收敛为由 Agent 调用的受控工具，并以一条完整的研报核查流程作为唯一主展示。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一 项目定位与范围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项目定位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项目名称：FinTrace-CN 面向 A 股研究报告的可追溯智能核查 Agent。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项目定义：系统读取原始财务材料和研究报告草稿，由大语言模型驱动的 Agent 识别核查任务并调用受控工具，完成事实提取、口径统一、财务与估值复算、引用定位和结果生成。每一条确认错误均可回到原文、数据、公式和执行记录。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选题范围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13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竞赛选题</w:t>
            </w:r>
          </w:p>
        </w:tc>
        <w:tc>
          <w:tcPr>
            <w:tcW w:type="dxa" w:w="396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在系统中的作用</w:t>
            </w:r>
          </w:p>
        </w:tc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处理原则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主线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5 研究报告纠错核查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最终业务闭环与展示重点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必须完成并稳定演示</w:t>
            </w:r>
          </w:p>
        </w:tc>
      </w:tr>
      <w:tr>
        <w:tc>
          <w:tcPr>
            <w:tcW w:type="dxa" w:w="113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支撑</w:t>
            </w:r>
          </w:p>
        </w:tc>
        <w:tc>
          <w:tcPr>
            <w:tcW w:type="dxa" w:w="187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 上市公司财务报告分析</w:t>
            </w:r>
          </w:p>
        </w:tc>
        <w:tc>
          <w:tcPr>
            <w:tcW w:type="dxa" w:w="3969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提供收入、利润、现金流、期间和口径事实</w:t>
            </w:r>
          </w:p>
        </w:tc>
        <w:tc>
          <w:tcPr>
            <w:tcW w:type="dxa" w:w="226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必须保留为核查依据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加分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 自动化估值建模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复算 PE PB PS 与可验证目标价输入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仅做核查 不做完整 DCF</w:t>
            </w:r>
          </w:p>
        </w:tc>
      </w:tr>
      <w:tr>
        <w:tc>
          <w:tcPr>
            <w:tcW w:type="dxa" w:w="113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暂缓</w:t>
            </w:r>
          </w:p>
        </w:tc>
        <w:tc>
          <w:tcPr>
            <w:tcW w:type="dxa" w:w="187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6 7 3 等其他方向</w:t>
            </w:r>
          </w:p>
        </w:tc>
        <w:tc>
          <w:tcPr>
            <w:tcW w:type="dxa" w:w="3969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备忘录 质量评估 产业链等独立产品方向</w:t>
            </w:r>
          </w:p>
        </w:tc>
        <w:tc>
          <w:tcPr>
            <w:tcW w:type="dxa" w:w="226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不进入初赛主流程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 明确不纳入初赛主线的内容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每日复盘与行情产品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买方投资备忘录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产业链影响分析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多智能体和 MCP 服务化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完整 DCF 流水线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投资逻辑脆弱性和时间重验证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对抗评测的产品化展示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二 业务流程与 Agent 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4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原始年报或公告  +  研究报告草稿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        ↓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文档解析  →  财务事实规范化  →  Agent 任务规划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        ↓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主张提取  →  工具调用  →  确定性核验与复算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              ↓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错误清单  →  证据定位  →  修改建议  →  审计记录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Agent 做什么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识别研报中收入、利润、同比、估值、引用、因果陈述等待核查主张。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将主张拆成可验证任务，并在允许的工具集合中选择下一步。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材料缺失、期间不明确或证据不足时，输出无法核验或待人工复核。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将已经验证的结果组织为结构化核查报告和简明修改建议。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Agent 不做什么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不自行创造财务数字、来源、页码或证据。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不自行计算同比、环比、PE、PB、PS 或单位换算。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不自行决定事实是否成立，或绕过 Validator 输出结论。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不将预测、分析师观点和可验证历史事实混为一谈。</w:t>
      </w: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3 执行控制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采用单 Agent、受控工具调用和有限步数执行。建议每个任务最多 8 至 12 次工具调用，默认在本地材料和版本化快照中运行，不依赖互联网。模型负责任务理解与编排，确定性代码负责事实、计算、证据和最终放行。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三 核心工具与输出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8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566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13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register_documents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登记文件 哈希 类型 来源和研究截止日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83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parse_document</w:t>
            </w:r>
          </w:p>
        </w:tc>
        <w:tc>
          <w:tcPr>
            <w:tcW w:type="dxa" w:w="5669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解析 PDF 表格 扫描件和研报草稿</w:t>
            </w:r>
          </w:p>
        </w:tc>
        <w:tc>
          <w:tcPr>
            <w:tcW w:type="dxa" w:w="113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extract_financial_facts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抽取收入 利润 现金流 股本等事实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83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normalize_financial_facts</w:t>
            </w:r>
          </w:p>
        </w:tc>
        <w:tc>
          <w:tcPr>
            <w:tcW w:type="dxa" w:w="5669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统一单位 期间 币种和统计口径</w:t>
            </w:r>
          </w:p>
        </w:tc>
        <w:tc>
          <w:tcPr>
            <w:tcW w:type="dxa" w:w="113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extract_report_claims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从研报原句提取结构化待核查主张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83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check_report_claims</w:t>
            </w:r>
          </w:p>
        </w:tc>
        <w:tc>
          <w:tcPr>
            <w:tcW w:type="dxa" w:w="5669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确定性规则核验并生成 finding</w:t>
            </w:r>
          </w:p>
        </w:tc>
        <w:tc>
          <w:tcPr>
            <w:tcW w:type="dxa" w:w="113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locate_evidence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定位原文页码 表格位置和 Evidence ID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83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recalculate_valuation</w:t>
            </w:r>
          </w:p>
        </w:tc>
        <w:tc>
          <w:tcPr>
            <w:tcW w:type="dxa" w:w="5669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复算可验证估值倍数和输入关系</w:t>
            </w:r>
          </w:p>
        </w:tc>
        <w:tc>
          <w:tcPr>
            <w:tcW w:type="dxa" w:w="113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generate_checker_report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生成 JSON Markdown 和导出结果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1 每条核查结果的必要字段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306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5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finding_id 与 check_type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唯一编号和错误类型，例如 unit_error 或 period_error</w:t>
            </w:r>
          </w:p>
        </w:tc>
      </w:tr>
      <w:tr>
        <w:tc>
          <w:tcPr>
            <w:tcW w:type="dxa" w:w="306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draft_claim 与 draft_location</w:t>
            </w:r>
          </w:p>
        </w:tc>
        <w:tc>
          <w:tcPr>
            <w:tcW w:type="dxa" w:w="657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研报原句及其页码或段落位置</w:t>
            </w:r>
          </w:p>
        </w:tc>
      </w:tr>
      <w:t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status 与 severity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确认错误 警告 无法核验 观点预测 核验通过及严重等级</w:t>
            </w:r>
          </w:p>
        </w:tc>
      </w:tr>
      <w:tr>
        <w:tc>
          <w:tcPr>
            <w:tcW w:type="dxa" w:w="306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expected_value</w:t>
            </w:r>
          </w:p>
        </w:tc>
        <w:tc>
          <w:tcPr>
            <w:tcW w:type="dxa" w:w="657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正确数值 单位 期间和口径</w:t>
            </w:r>
          </w:p>
        </w:tc>
      </w:tr>
      <w:t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evidence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原始材料 document_id 页码和 Evidence ID</w:t>
            </w:r>
          </w:p>
        </w:tc>
      </w:tr>
      <w:tr>
        <w:tc>
          <w:tcPr>
            <w:tcW w:type="dxa" w:w="306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calculation</w:t>
            </w:r>
          </w:p>
        </w:tc>
        <w:tc>
          <w:tcPr>
            <w:tcW w:type="dxa" w:w="657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公式 输入与程序化复算结果</w:t>
            </w:r>
          </w:p>
        </w:tc>
      </w:tr>
      <w:t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suggestion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可直接执行的修改建议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ptos" w:hAnsi="Aptos" w:eastAsia="Microsoft YaHei"/>
          <w:b/>
          <w:color w:val="000000"/>
          <w:sz w:val="24"/>
        </w:rPr>
        <w:t>2 首批稳定覆盖的错误类型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初赛主展示优先覆盖八类：数值错误、单位错误、期间错误、统计口径错误、同比或环比计算错误、估值倍数复算错误、缺失或错误引用、错误页码或来源定位失败。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后续加分类型包括：过期引用、重述后仍使用旧值、因果断言证据不足、预测值与历史事实混淆、金融机构估值方法不适用。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四 产品界面与演示设计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595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评委可见内容</w:t>
            </w:r>
          </w:p>
        </w:tc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主要目标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案例与材料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原始材料 草稿 文件哈希 数据版本 研究截止日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明确受控数据来源</w:t>
            </w:r>
          </w:p>
        </w:tc>
      </w:tr>
      <w:tr>
        <w:tc>
          <w:tcPr>
            <w:tcW w:type="dxa" w:w="181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智能核查</w:t>
            </w:r>
          </w:p>
        </w:tc>
        <w:tc>
          <w:tcPr>
            <w:tcW w:type="dxa" w:w="5953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任务计划 工具调用 进度 成功或警告状态</w:t>
            </w:r>
          </w:p>
        </w:tc>
        <w:tc>
          <w:tcPr>
            <w:tcW w:type="dxa" w:w="187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证明系统是 Agent 而非普通 OCR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核查结果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错误类型 原句 正确值 原因 修改建议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形成业务交付物</w:t>
            </w:r>
          </w:p>
        </w:tc>
      </w:tr>
      <w:tr>
        <w:tc>
          <w:tcPr>
            <w:tcW w:type="dxa" w:w="1814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证据与复算</w:t>
            </w:r>
          </w:p>
        </w:tc>
        <w:tc>
          <w:tcPr>
            <w:tcW w:type="dxa" w:w="5953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PDF 页码 Evidence ID 规范化过程 公式</w:t>
            </w:r>
          </w:p>
        </w:tc>
        <w:tc>
          <w:tcPr>
            <w:tcW w:type="dxa" w:w="187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证明结论可回溯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审计轨迹与导出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文件访问 工具记录 计算记录 Prompt 版本 输出哈希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证明过程可复现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竞赛版应隐藏研究总览、每日复盘、市场行情、独立同行估值、任务中心、评测与消融及实验 Demo 页面。它们可以保留代码兼容性，但不应分散评委注意力。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五 现有代码的收敛策略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9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06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36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竞赛中的角色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src/cn/checker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保留并优先打磨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研报核查的确定性核心</w:t>
            </w:r>
          </w:p>
        </w:tc>
      </w:tr>
      <w:tr>
        <w:tc>
          <w:tcPr>
            <w:tcW w:type="dxa" w:w="294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src/cn/documents</w:t>
            </w:r>
          </w:p>
        </w:tc>
        <w:tc>
          <w:tcPr>
            <w:tcW w:type="dxa" w:w="306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保留</w:t>
            </w:r>
          </w:p>
        </w:tc>
        <w:tc>
          <w:tcPr>
            <w:tcW w:type="dxa" w:w="362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原始材料和草稿解析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src/cn/normalization 与 analysis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保留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单位 期间 口径和财务复算</w:t>
            </w:r>
          </w:p>
        </w:tc>
      </w:tr>
      <w:tr>
        <w:tc>
          <w:tcPr>
            <w:tcW w:type="dxa" w:w="294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evidence validation runs</w:t>
            </w:r>
          </w:p>
        </w:tc>
        <w:tc>
          <w:tcPr>
            <w:tcW w:type="dxa" w:w="306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保留</w:t>
            </w:r>
          </w:p>
        </w:tc>
        <w:tc>
          <w:tcPr>
            <w:tcW w:type="dxa" w:w="362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证据链 校验和审计复现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valuation 与 peer_workflow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保留为可选工具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估值核验加分项</w:t>
            </w:r>
          </w:p>
        </w:tc>
      </w:tr>
      <w:tr>
        <w:tc>
          <w:tcPr>
            <w:tcW w:type="dxa" w:w="294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daily_review memo industries</w:t>
            </w:r>
          </w:p>
        </w:tc>
        <w:tc>
          <w:tcPr>
            <w:tcW w:type="dxa" w:w="306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从比赛入口隐藏</w:t>
            </w:r>
          </w:p>
        </w:tc>
        <w:tc>
          <w:tcPr>
            <w:tcW w:type="dxa" w:w="3628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后续产品方向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acme graph proof temporal fragility finfuzz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保留为内部或答辩备选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不单独作为初赛模块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对外统一使用“证据链与复核记录”这一术语。Evidence Ledger、Claim Evidence Graph 和 Financial Claim Passport 可以保留内部实现，但不宜在首轮演示中以三套并列概念出现。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六 测试与演示数据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sz w:val="21"/>
        </w:rPr>
        <w:t>准备一套完全离线的固定演示材料，并为每个案例人工维护金标预期结果。合成植入错误集只能说明合成测试表现，不得表述为真实研报准确率。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300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金标案例</w:t>
            </w:r>
          </w:p>
        </w:tc>
        <w:tc>
          <w:tcPr>
            <w:tcW w:type="dxa" w:w="663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重点验证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正确研报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零误报 不为展示效果而乱报错</w:t>
            </w:r>
          </w:p>
        </w:tc>
      </w:tr>
      <w:tr>
        <w:tc>
          <w:tcPr>
            <w:tcW w:type="dxa" w:w="300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单位错误</w:t>
            </w:r>
          </w:p>
        </w:tc>
        <w:tc>
          <w:tcPr>
            <w:tcW w:type="dxa" w:w="6633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元 万元 亿元的换算与正确修改建议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期间错误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年报 半年报 单季 TTM 混用识别</w:t>
            </w:r>
          </w:p>
        </w:tc>
      </w:tr>
      <w:tr>
        <w:tc>
          <w:tcPr>
            <w:tcW w:type="dxa" w:w="300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口径错误</w:t>
            </w:r>
          </w:p>
        </w:tc>
        <w:tc>
          <w:tcPr>
            <w:tcW w:type="dxa" w:w="6633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合并 母公司 归母 扣非等统计口径识别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计算错误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同比 环比或 PE PB 等程序化复算</w:t>
            </w:r>
          </w:p>
        </w:tc>
      </w:tr>
      <w:tr>
        <w:tc>
          <w:tcPr>
            <w:tcW w:type="dxa" w:w="300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引用错误或数据过期</w:t>
            </w:r>
          </w:p>
        </w:tc>
        <w:tc>
          <w:tcPr>
            <w:tcW w:type="dxa" w:w="6633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来源 页码 重述和无法核验状态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七 十天实施排期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53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470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重点工作</w:t>
            </w:r>
          </w:p>
        </w:tc>
        <w:tc>
          <w:tcPr>
            <w:tcW w:type="dxa" w:w="340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当日交付物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8 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冻结范围 保护现有改动 确定演示材料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范围说明与材料清单</w:t>
            </w:r>
          </w:p>
        </w:tc>
      </w:tr>
      <w:tr>
        <w:tc>
          <w:tcPr>
            <w:tcW w:type="dxa" w:w="153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9 日</w:t>
            </w:r>
          </w:p>
        </w:tc>
        <w:tc>
          <w:tcPr>
            <w:tcW w:type="dxa" w:w="470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固定端到端主流程和金标结果</w:t>
            </w:r>
          </w:p>
        </w:tc>
        <w:tc>
          <w:tcPr>
            <w:tcW w:type="dxa" w:w="3402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一套可复跑案例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10 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收敛 Agent 工具链与运行记录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工具列表和执行轨迹</w:t>
            </w:r>
          </w:p>
        </w:tc>
      </w:tr>
      <w:tr>
        <w:tc>
          <w:tcPr>
            <w:tcW w:type="dxa" w:w="153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11 日</w:t>
            </w:r>
          </w:p>
        </w:tc>
        <w:tc>
          <w:tcPr>
            <w:tcW w:type="dxa" w:w="470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完成结构化 CheckerReport</w:t>
            </w:r>
          </w:p>
        </w:tc>
        <w:tc>
          <w:tcPr>
            <w:tcW w:type="dxa" w:w="3402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错误清单和 JSON 输出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12 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完成证据与复算跳转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原句 页码 公式展示</w:t>
            </w:r>
          </w:p>
        </w:tc>
      </w:tr>
      <w:tr>
        <w:tc>
          <w:tcPr>
            <w:tcW w:type="dxa" w:w="153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13 日</w:t>
            </w:r>
          </w:p>
        </w:tc>
        <w:tc>
          <w:tcPr>
            <w:tcW w:type="dxa" w:w="470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收敛为五页竞赛 UI</w:t>
            </w:r>
          </w:p>
        </w:tc>
        <w:tc>
          <w:tcPr>
            <w:tcW w:type="dxa" w:w="3402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竞赛版工作台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14 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完善审计记录与导出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Manifest 与 Markdown 导出</w:t>
            </w:r>
          </w:p>
        </w:tc>
      </w:tr>
      <w:tr>
        <w:tc>
          <w:tcPr>
            <w:tcW w:type="dxa" w:w="153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15 日</w:t>
            </w:r>
          </w:p>
        </w:tc>
        <w:tc>
          <w:tcPr>
            <w:tcW w:type="dxa" w:w="470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离线测试 演示彩排 代码冻结</w:t>
            </w:r>
          </w:p>
        </w:tc>
        <w:tc>
          <w:tcPr>
            <w:tcW w:type="dxa" w:w="3402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测试记录和录屏候选版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16 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完成计划书和五分钟视频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PDF 与视频初版</w:t>
            </w:r>
          </w:p>
        </w:tc>
      </w:tr>
      <w:tr>
        <w:tc>
          <w:tcPr>
            <w:tcW w:type="dxa" w:w="1531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17 日</w:t>
            </w:r>
          </w:p>
        </w:tc>
        <w:tc>
          <w:tcPr>
            <w:tcW w:type="dxa" w:w="470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模拟答辩与提交检查</w:t>
            </w:r>
          </w:p>
        </w:tc>
        <w:tc>
          <w:tcPr>
            <w:tcW w:type="dxa" w:w="3402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最终源码包和材料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 月 18 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提交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提交清单确认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八 团队分工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66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697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Agent 与后端负责人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任务编排 工具契约 API 运行日志</w:t>
            </w:r>
          </w:p>
        </w:tc>
      </w:tr>
      <w:tr>
        <w:tc>
          <w:tcPr>
            <w:tcW w:type="dxa" w:w="266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金融规则负责人</w:t>
            </w:r>
          </w:p>
        </w:tc>
        <w:tc>
          <w:tcPr>
            <w:tcW w:type="dxa" w:w="6973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指标口径 错误规则 修改建议与适用边界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文档智能负责人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PDF 表格解析 主张提取 原文定位</w:t>
            </w:r>
          </w:p>
        </w:tc>
      </w:tr>
      <w:tr>
        <w:tc>
          <w:tcPr>
            <w:tcW w:type="dxa" w:w="2665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前端与演示负责人</w:t>
            </w:r>
          </w:p>
        </w:tc>
        <w:tc>
          <w:tcPr>
            <w:tcW w:type="dxa" w:w="6973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五页工作台 结果可视化 视频与答辩</w:t>
            </w:r>
          </w:p>
        </w:tc>
      </w:tr>
      <w:tr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测试与材料负责人</w:t>
            </w:r>
          </w:p>
        </w:tc>
        <w:tc>
          <w:tcPr>
            <w:tcW w:type="dxa" w:w="6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金标案例 离线测试 计划书 第三方清单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九 五分钟视频建议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17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7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0:00 至 0:25</w:t>
            </w:r>
          </w:p>
        </w:tc>
        <w:tc>
          <w:tcPr>
            <w:tcW w:type="dxa" w:w="7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说明研报数字 口径和引用难以人工高效复核的问题</w:t>
            </w:r>
          </w:p>
        </w:tc>
      </w:tr>
      <w:tr>
        <w:tc>
          <w:tcPr>
            <w:tcW w:type="dxa" w:w="1757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0:25 至 0:50</w:t>
            </w:r>
          </w:p>
        </w:tc>
        <w:tc>
          <w:tcPr>
            <w:tcW w:type="dxa" w:w="7880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展示 Agent 工具 证据 Validator 的整体架构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0:50 至 1:25</w:t>
            </w:r>
          </w:p>
        </w:tc>
        <w:tc>
          <w:tcPr>
            <w:tcW w:type="dxa" w:w="7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展示受控环境中的年报 公告与含错草稿</w:t>
            </w:r>
          </w:p>
        </w:tc>
      </w:tr>
      <w:tr>
        <w:tc>
          <w:tcPr>
            <w:tcW w:type="dxa" w:w="1757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1:25 至 2:10</w:t>
            </w:r>
          </w:p>
        </w:tc>
        <w:tc>
          <w:tcPr>
            <w:tcW w:type="dxa" w:w="7880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展示 Agent 任务计划和工具调用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2:10 至 3:20</w:t>
            </w:r>
          </w:p>
        </w:tc>
        <w:tc>
          <w:tcPr>
            <w:tcW w:type="dxa" w:w="7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展示数值 单位 期间 引用和估值等纠错结果</w:t>
            </w:r>
          </w:p>
        </w:tc>
      </w:tr>
      <w:tr>
        <w:tc>
          <w:tcPr>
            <w:tcW w:type="dxa" w:w="1757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3:20 至 4:05</w:t>
            </w:r>
          </w:p>
        </w:tc>
        <w:tc>
          <w:tcPr>
            <w:tcW w:type="dxa" w:w="7880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点击一条错误 回到 PDF 页码并展示公式复算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4:05 至 4:35</w:t>
            </w:r>
          </w:p>
        </w:tc>
        <w:tc>
          <w:tcPr>
            <w:tcW w:type="dxa" w:w="7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展示日志 哈希 Validator 和离线复跑</w:t>
            </w:r>
          </w:p>
        </w:tc>
      </w:tr>
      <w:tr>
        <w:tc>
          <w:tcPr>
            <w:tcW w:type="dxa" w:w="1757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4:35 至 4:50</w:t>
            </w:r>
          </w:p>
        </w:tc>
        <w:tc>
          <w:tcPr>
            <w:tcW w:type="dxa" w:w="7880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总结系统用工具和证据核查 而非凭模型猜测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十 提交前验收清单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从自然语言研报草稿中提取可核查主张，并保留逐字原句与页码。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使用至少一个大语言模型作为 Agent 的任务理解和工具编排引擎。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稳定覆盖数值、单位、期间、口径、计算、估值和引用等核心核查。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每条确认错误均能定位研报原句和原始财务材料。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每条数值类错误均能展示程序化计算过程和输入证据。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证据不足时输出无法核验或待人工复核，而不是编造结论。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在本地封闭或半封闭环境中完整运行，并保存文件、工具、计算和结果日志。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默认测试离线运行，不依赖网络、密钥、缓存或实时行情。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不将合成演示数据、干跑结果或模型叙述表述为真实金融事实或真实模型效果。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□ 提交包不含密钥、.env、受版权限制原始材料、虚拟环境或 node_modules。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000000"/>
          <w:sz w:val="30"/>
        </w:rPr>
        <w:t>十一 第一周优先级</w:t>
      </w:r>
    </w:p>
    <w:p>
      <w:pPr>
        <w:pStyle w:val="ListNumber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选择并冻结一组原始材料与含错研报草稿，建立人工金标。</w:t>
      </w:r>
    </w:p>
    <w:p>
      <w:pPr>
        <w:pStyle w:val="ListNumber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将现有 checker 流程接入受控 Agent 工具调用，保留确定性核验边界。</w:t>
      </w:r>
    </w:p>
    <w:p>
      <w:pPr>
        <w:pStyle w:val="ListNumber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将工作台收敛为案例材料、智能核查、核查结果、证据复算、审计导出五页。</w:t>
      </w:r>
    </w:p>
    <w:p>
      <w:pPr>
        <w:pStyle w:val="ListNumber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完成至少六个离线金标案例，并将结果接入测试。</w:t>
      </w:r>
    </w:p>
    <w:p>
      <w:pPr>
        <w:pStyle w:val="ListNumber"/>
        <w:spacing w:after="60" w:line="300" w:lineRule="auto"/>
      </w:pPr>
      <w:r>
        <w:rPr>
          <w:rFonts w:ascii="Aptos" w:hAnsi="Aptos" w:eastAsia="Microsoft YaHei"/>
          <w:b w:val="0"/>
          <w:sz w:val="21"/>
        </w:rPr>
        <w:t>录制完整端到端流程，先保证稳定性，再优化界面和叙事。</w:t>
      </w:r>
    </w:p>
    <w:sectPr w:rsidR="00FC693F" w:rsidRPr="0006063C" w:rsidSect="00034616">
      <w:footerReference w:type="default" r:id="rId9"/>
      <w:pgSz w:w="12240" w:h="15840"/>
      <w:pgMar w:top="1247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6"/>
      </w:rPr>
      <w:t>FinTrace-CN 竞赛实施计划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