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  <w:jc w:val="center"/>
      </w:pPr>
      <w:r>
        <w:rPr>
          <w:rFonts w:ascii="Aptos" w:hAnsi="Aptos" w:eastAsia="Microsoft YaHei"/>
          <w:b/>
          <w:color w:val="000000"/>
          <w:sz w:val="36"/>
        </w:rPr>
        <w:t>FinTrace-CN 研究报告纠错核查智能体竞赛实施计划</w:t>
      </w:r>
    </w:p>
    <w:p>
      <w:pPr>
        <w:spacing w:after="360"/>
        <w:jc w:val="center"/>
      </w:pPr>
      <w:r>
        <w:rPr>
          <w:rFonts w:ascii="Aptos" w:hAnsi="Aptos" w:eastAsia="Microsoft YaHei"/>
          <w:b w:val="0"/>
          <w:color w:val="555555"/>
          <w:sz w:val="22"/>
        </w:rPr>
        <w:t>北京市大学生金融人工智能竞赛  初赛收敛方案</w:t>
      </w:r>
    </w:p>
    <w:p>
      <w:pPr>
        <w:spacing w:after="120" w:line="324" w:lineRule="auto"/>
      </w:pPr>
      <w:r>
        <w:rPr>
          <w:rFonts w:ascii="Aptos" w:hAnsi="Aptos" w:eastAsia="Microsoft YaHei"/>
          <w:b/>
          <w:sz w:val="21"/>
        </w:rPr>
        <w:t>本计划用于</w:t>
      </w:r>
      <w:r>
        <w:rPr>
          <w:rFonts w:ascii="Aptos" w:hAnsi="Aptos" w:eastAsia="Microsoft YaHei"/>
          <w:b w:val="0"/>
          <w:sz w:val="21"/>
        </w:rPr>
        <w:t>将现有 FinTrace-CN 项目收敛为一套可展示、可核验、可复现的研究报告纠错核查 Agent。项目主选赛题为研究报告纠错核查，并以财务报告分析为事实和计算基础，以估值复算作为可选加分能力。</w:t>
      </w:r>
    </w:p>
    <w:p>
      <w:pPr>
        <w:spacing w:after="120" w:line="324" w:lineRule="auto"/>
      </w:pPr>
      <w:r>
        <w:rPr>
          <w:rFonts w:ascii="Aptos" w:hAnsi="Aptos" w:eastAsia="Microsoft YaHei"/>
          <w:b/>
          <w:sz w:val="21"/>
        </w:rPr>
        <w:t>核心结论：</w:t>
      </w:r>
      <w:r>
        <w:rPr>
          <w:rFonts w:ascii="Aptos" w:hAnsi="Aptos" w:eastAsia="Microsoft YaHei"/>
          <w:b w:val="0"/>
          <w:sz w:val="21"/>
        </w:rPr>
        <w:t>不重写已有的文档解析、财务规范化、证据链和确定性校验器；将它们收敛为由 Agent 调用的受控工具，并以一条完整的研报核查流程作为唯一主展示。</w:t>
      </w:r>
    </w:p>
    <w:p>
      <w:pPr>
        <w:pStyle w:val="Heading1"/>
        <w:spacing w:before="240" w:after="100"/>
      </w:pPr>
      <w:r>
        <w:rPr>
          <w:rFonts w:ascii="Aptos" w:hAnsi="Aptos" w:eastAsia="Microsoft YaHei"/>
          <w:b/>
          <w:color w:val="000000"/>
          <w:sz w:val="30"/>
        </w:rPr>
        <w:t>一 项目定位与范围</w:t>
      </w:r>
    </w:p>
    <w:p>
      <w:pPr>
        <w:pStyle w:val="Heading2"/>
        <w:spacing w:before="160" w:after="100"/>
      </w:pPr>
      <w:r>
        <w:rPr>
          <w:rFonts w:ascii="Aptos" w:hAnsi="Aptos" w:eastAsia="Microsoft YaHei"/>
          <w:b/>
          <w:color w:val="000000"/>
          <w:sz w:val="24"/>
        </w:rPr>
        <w:t>1 项目定位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sz w:val="21"/>
        </w:rPr>
        <w:t>项目名称：FinTrace-CN 面向 A 股研究报告的可追溯智能核查 Agent。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sz w:val="21"/>
        </w:rPr>
        <w:t>项目定义：系统读取原始财务材料和研究报告草稿，由大语言模型驱动的 Agent 识别核查任务并调用受控工具，完成事实提取、口径统一、财务与估值复算、引用定位和结果生成。每一条确认错误均可回到原文、数据、公式和执行记录。</w:t>
      </w:r>
    </w:p>
    <w:p>
      <w:pPr>
        <w:pStyle w:val="Heading2"/>
        <w:spacing w:before="160" w:after="100"/>
      </w:pPr>
      <w:r>
        <w:rPr>
          <w:rFonts w:ascii="Aptos" w:hAnsi="Aptos" w:eastAsia="Microsoft YaHei"/>
          <w:b/>
          <w:color w:val="000000"/>
          <w:sz w:val="24"/>
        </w:rPr>
        <w:t>2 选题范围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50"/>
        <w:gridCol w:w="2450"/>
        <w:gridCol w:w="2450"/>
        <w:gridCol w:w="2450"/>
      </w:tblGrid>
      <w:tr>
        <w:trPr>
          <w:tblHeader w:val="true"/>
        </w:trPr>
        <w:tc>
          <w:tcPr>
            <w:tcW w:type="dxa" w:w="1134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层级</w:t>
            </w:r>
          </w:p>
        </w:tc>
        <w:tc>
          <w:tcPr>
            <w:tcW w:type="dxa" w:w="1871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竞赛选题</w:t>
            </w:r>
          </w:p>
        </w:tc>
        <w:tc>
          <w:tcPr>
            <w:tcW w:type="dxa" w:w="3969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在系统中的作用</w:t>
            </w:r>
          </w:p>
        </w:tc>
        <w:tc>
          <w:tcPr>
            <w:tcW w:type="dxa" w:w="2268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处理原则</w:t>
            </w:r>
          </w:p>
        </w:tc>
      </w:tr>
      <w:t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主线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5 研究报告纠错核查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最终业务闭环与展示重点</w:t>
            </w:r>
          </w:p>
        </w:tc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必须完成并稳定演示</w:t>
            </w:r>
          </w:p>
        </w:tc>
      </w:tr>
      <w:tr>
        <w:tc>
          <w:tcPr>
            <w:tcW w:type="dxa" w:w="1134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支撑</w:t>
            </w:r>
          </w:p>
        </w:tc>
        <w:tc>
          <w:tcPr>
            <w:tcW w:type="dxa" w:w="1871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2 上市公司财务报告分析</w:t>
            </w:r>
          </w:p>
        </w:tc>
        <w:tc>
          <w:tcPr>
            <w:tcW w:type="dxa" w:w="3969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提供收入、利润、现金流、期间和口径事实</w:t>
            </w:r>
          </w:p>
        </w:tc>
        <w:tc>
          <w:tcPr>
            <w:tcW w:type="dxa" w:w="2268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必须保留为核查依据</w:t>
            </w:r>
          </w:p>
        </w:tc>
      </w:tr>
      <w:t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加分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4 自动化估值建模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复算 PE PB PS 与可验证目标价输入</w:t>
            </w:r>
          </w:p>
        </w:tc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仅做核查 不做完整 DCF</w:t>
            </w:r>
          </w:p>
        </w:tc>
      </w:tr>
      <w:tr>
        <w:tc>
          <w:tcPr>
            <w:tcW w:type="dxa" w:w="1134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暂缓</w:t>
            </w:r>
          </w:p>
        </w:tc>
        <w:tc>
          <w:tcPr>
            <w:tcW w:type="dxa" w:w="1871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6 7 3 等其他方向</w:t>
            </w:r>
          </w:p>
        </w:tc>
        <w:tc>
          <w:tcPr>
            <w:tcW w:type="dxa" w:w="3969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备忘录 质量评估 产业链等独立产品方向</w:t>
            </w:r>
          </w:p>
        </w:tc>
        <w:tc>
          <w:tcPr>
            <w:tcW w:type="dxa" w:w="2268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不进入初赛主流程</w:t>
            </w:r>
          </w:p>
        </w:tc>
      </w:tr>
    </w:tbl>
    <w:p>
      <w:pPr>
        <w:spacing w:after="40"/>
      </w:pPr>
    </w:p>
    <w:p>
      <w:pPr>
        <w:pStyle w:val="Heading2"/>
        <w:spacing w:before="160" w:after="100"/>
      </w:pPr>
      <w:r>
        <w:rPr>
          <w:rFonts w:ascii="Aptos" w:hAnsi="Aptos" w:eastAsia="Microsoft YaHei"/>
          <w:b/>
          <w:color w:val="000000"/>
          <w:sz w:val="24"/>
        </w:rPr>
        <w:t>3 明确不纳入初赛主线的内容</w:t>
      </w:r>
    </w:p>
    <w:p>
      <w:pPr>
        <w:pStyle w:val="ListBullet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每日复盘与行情产品</w:t>
      </w:r>
    </w:p>
    <w:p>
      <w:pPr>
        <w:pStyle w:val="ListBullet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买方投资备忘录</w:t>
      </w:r>
    </w:p>
    <w:p>
      <w:pPr>
        <w:pStyle w:val="ListBullet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产业链影响分析</w:t>
      </w:r>
    </w:p>
    <w:p>
      <w:pPr>
        <w:pStyle w:val="ListBullet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多智能体和 MCP 服务化</w:t>
      </w:r>
    </w:p>
    <w:p>
      <w:pPr>
        <w:pStyle w:val="ListBullet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完整 DCF 流水线</w:t>
      </w:r>
    </w:p>
    <w:p>
      <w:pPr>
        <w:pStyle w:val="ListBullet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投资逻辑脆弱性和时间重验证</w:t>
      </w:r>
    </w:p>
    <w:p>
      <w:pPr>
        <w:pStyle w:val="ListBullet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对抗评测的产品化展示</w:t>
      </w:r>
    </w:p>
    <w:p>
      <w:pPr>
        <w:pStyle w:val="Heading1"/>
        <w:spacing w:before="240" w:after="100"/>
      </w:pPr>
      <w:r>
        <w:rPr>
          <w:rFonts w:ascii="Aptos" w:hAnsi="Aptos" w:eastAsia="Microsoft YaHei"/>
          <w:b/>
          <w:color w:val="000000"/>
          <w:sz w:val="30"/>
        </w:rPr>
        <w:t>二 业务流程与 Agent 边界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02"/>
      </w:tblGrid>
      <w:tr>
        <w:tc>
          <w:tcPr>
            <w:tcW w:type="dxa" w:w="9802"/>
            <w:shd w:fill="F2F4F7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YaHei"/>
                <w:sz w:val="18"/>
              </w:rPr>
              <w:t>原始年报或公告  +  研究报告草稿</w:t>
            </w:r>
            <w:r>
              <w:br/>
            </w:r>
            <w:r>
              <w:rPr>
                <w:rFonts w:ascii="Consolas" w:hAnsi="Consolas" w:eastAsia="Microsoft YaHei"/>
                <w:sz w:val="18"/>
              </w:rPr>
              <w:t xml:space="preserve">                ↓</w:t>
            </w:r>
            <w:r>
              <w:br/>
            </w:r>
            <w:r>
              <w:rPr>
                <w:rFonts w:ascii="Consolas" w:hAnsi="Consolas" w:eastAsia="Microsoft YaHei"/>
                <w:sz w:val="18"/>
              </w:rPr>
              <w:t>文档解析  →  财务事实规范化  →  Agent 任务规划</w:t>
            </w:r>
            <w:r>
              <w:br/>
            </w:r>
            <w:r>
              <w:rPr>
                <w:rFonts w:ascii="Consolas" w:hAnsi="Consolas" w:eastAsia="Microsoft YaHei"/>
                <w:sz w:val="18"/>
              </w:rPr>
              <w:t xml:space="preserve">                ↓</w:t>
            </w:r>
            <w:r>
              <w:br/>
            </w:r>
            <w:r>
              <w:rPr>
                <w:rFonts w:ascii="Consolas" w:hAnsi="Consolas" w:eastAsia="Microsoft YaHei"/>
                <w:sz w:val="18"/>
              </w:rPr>
              <w:t>主张提取  →  工具调用  →  确定性核验与复算</w:t>
            </w:r>
            <w:r>
              <w:br/>
            </w:r>
            <w:r>
              <w:rPr>
                <w:rFonts w:ascii="Consolas" w:hAnsi="Consolas" w:eastAsia="Microsoft YaHei"/>
                <w:sz w:val="18"/>
              </w:rPr>
              <w:t xml:space="preserve">                ↓</w:t>
            </w:r>
            <w:r>
              <w:br/>
            </w:r>
            <w:r>
              <w:rPr>
                <w:rFonts w:ascii="Consolas" w:hAnsi="Consolas" w:eastAsia="Microsoft YaHei"/>
                <w:sz w:val="18"/>
              </w:rPr>
              <w:t>错误清单  →  证据定位  →  修改建议  →  审计记录</w:t>
            </w:r>
          </w:p>
        </w:tc>
      </w:tr>
    </w:tbl>
    <w:p>
      <w:pPr>
        <w:spacing w:after="40"/>
      </w:pPr>
    </w:p>
    <w:p>
      <w:pPr>
        <w:pStyle w:val="Heading2"/>
        <w:spacing w:before="160" w:after="100"/>
      </w:pPr>
      <w:r>
        <w:rPr>
          <w:rFonts w:ascii="Aptos" w:hAnsi="Aptos" w:eastAsia="Microsoft YaHei"/>
          <w:b/>
          <w:color w:val="000000"/>
          <w:sz w:val="24"/>
        </w:rPr>
        <w:t>1 Agent 做什么</w:t>
      </w:r>
    </w:p>
    <w:p>
      <w:pPr>
        <w:pStyle w:val="ListBullet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识别研报中收入、利润、同比、估值、引用、因果陈述等待核查主张。</w:t>
      </w:r>
    </w:p>
    <w:p>
      <w:pPr>
        <w:pStyle w:val="ListBullet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将主张拆成可验证任务，并在允许的工具集合中选择下一步。</w:t>
      </w:r>
    </w:p>
    <w:p>
      <w:pPr>
        <w:pStyle w:val="ListBullet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材料缺失、期间不明确或证据不足时，输出无法核验或待人工复核。</w:t>
      </w:r>
    </w:p>
    <w:p>
      <w:pPr>
        <w:pStyle w:val="ListBullet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将已经验证的结果组织为结构化核查报告和简明修改建议。</w:t>
      </w:r>
    </w:p>
    <w:p>
      <w:pPr>
        <w:pStyle w:val="Heading2"/>
        <w:spacing w:before="160" w:after="100"/>
      </w:pPr>
      <w:r>
        <w:rPr>
          <w:rFonts w:ascii="Aptos" w:hAnsi="Aptos" w:eastAsia="Microsoft YaHei"/>
          <w:b/>
          <w:color w:val="000000"/>
          <w:sz w:val="24"/>
        </w:rPr>
        <w:t>2 Agent 不做什么</w:t>
      </w:r>
    </w:p>
    <w:p>
      <w:pPr>
        <w:pStyle w:val="ListBullet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不自行创造财务数字、来源、页码或证据。</w:t>
      </w:r>
    </w:p>
    <w:p>
      <w:pPr>
        <w:pStyle w:val="ListBullet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不自行计算同比、环比、PE、PB、PS 或单位换算。</w:t>
      </w:r>
    </w:p>
    <w:p>
      <w:pPr>
        <w:pStyle w:val="ListBullet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不自行决定事实是否成立，或绕过 Validator 输出结论。</w:t>
      </w:r>
    </w:p>
    <w:p>
      <w:pPr>
        <w:pStyle w:val="ListBullet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不将预测、分析师观点和可验证历史事实混为一谈。</w:t>
      </w:r>
    </w:p>
    <w:p>
      <w:pPr>
        <w:pStyle w:val="Heading2"/>
        <w:spacing w:before="160" w:after="100"/>
      </w:pPr>
      <w:r>
        <w:rPr>
          <w:rFonts w:ascii="Aptos" w:hAnsi="Aptos" w:eastAsia="Microsoft YaHei"/>
          <w:b/>
          <w:color w:val="000000"/>
          <w:sz w:val="24"/>
        </w:rPr>
        <w:t>3 执行控制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sz w:val="21"/>
        </w:rPr>
        <w:t>采用单 Agent、受控工具调用和有限步数执行。建议每个任务最多 8 至 12 次工具调用，默认在本地材料和版本化快照中运行，不依赖互联网。模型负责任务理解与编排，确定性代码负责事实、计算、证据和最终放行。</w:t>
      </w:r>
    </w:p>
    <w:p>
      <w:pPr>
        <w:pStyle w:val="Heading1"/>
        <w:spacing w:before="240" w:after="100"/>
      </w:pPr>
      <w:r>
        <w:rPr>
          <w:rFonts w:ascii="Aptos" w:hAnsi="Aptos" w:eastAsia="Microsoft YaHei"/>
          <w:b/>
          <w:color w:val="000000"/>
          <w:sz w:val="30"/>
        </w:rPr>
        <w:t>三 核心工具与输出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tblHeader w:val="true"/>
        </w:trPr>
        <w:tc>
          <w:tcPr>
            <w:tcW w:type="dxa" w:w="2835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工具</w:t>
            </w:r>
          </w:p>
        </w:tc>
        <w:tc>
          <w:tcPr>
            <w:tcW w:type="dxa" w:w="5669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职责</w:t>
            </w:r>
          </w:p>
        </w:tc>
        <w:tc>
          <w:tcPr>
            <w:tcW w:type="dxa" w:w="1134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优先级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register_documents</w:t>
            </w:r>
          </w:p>
        </w:tc>
        <w:tc>
          <w:tcPr>
            <w:tcW w:type="dxa" w:w="56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登记文件 哈希 类型 来源和研究截止日</w:t>
            </w:r>
          </w:p>
        </w:tc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P0</w:t>
            </w:r>
          </w:p>
        </w:tc>
      </w:tr>
      <w:tr>
        <w:tc>
          <w:tcPr>
            <w:tcW w:type="dxa" w:w="2835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parse_document</w:t>
            </w:r>
          </w:p>
        </w:tc>
        <w:tc>
          <w:tcPr>
            <w:tcW w:type="dxa" w:w="5669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解析 PDF 表格 扫描件和研报草稿</w:t>
            </w:r>
          </w:p>
        </w:tc>
        <w:tc>
          <w:tcPr>
            <w:tcW w:type="dxa" w:w="1134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P0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extract_financial_facts</w:t>
            </w:r>
          </w:p>
        </w:tc>
        <w:tc>
          <w:tcPr>
            <w:tcW w:type="dxa" w:w="56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抽取收入 利润 现金流 股本等事实</w:t>
            </w:r>
          </w:p>
        </w:tc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P0</w:t>
            </w:r>
          </w:p>
        </w:tc>
      </w:tr>
      <w:tr>
        <w:tc>
          <w:tcPr>
            <w:tcW w:type="dxa" w:w="2835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normalize_financial_facts</w:t>
            </w:r>
          </w:p>
        </w:tc>
        <w:tc>
          <w:tcPr>
            <w:tcW w:type="dxa" w:w="5669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统一单位 期间 币种和统计口径</w:t>
            </w:r>
          </w:p>
        </w:tc>
        <w:tc>
          <w:tcPr>
            <w:tcW w:type="dxa" w:w="1134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P0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extract_report_claims</w:t>
            </w:r>
          </w:p>
        </w:tc>
        <w:tc>
          <w:tcPr>
            <w:tcW w:type="dxa" w:w="56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从研报原句提取结构化待核查主张</w:t>
            </w:r>
          </w:p>
        </w:tc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P0</w:t>
            </w:r>
          </w:p>
        </w:tc>
      </w:tr>
      <w:tr>
        <w:tc>
          <w:tcPr>
            <w:tcW w:type="dxa" w:w="2835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check_report_claims</w:t>
            </w:r>
          </w:p>
        </w:tc>
        <w:tc>
          <w:tcPr>
            <w:tcW w:type="dxa" w:w="5669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确定性规则核验并生成 finding</w:t>
            </w:r>
          </w:p>
        </w:tc>
        <w:tc>
          <w:tcPr>
            <w:tcW w:type="dxa" w:w="1134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P0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locate_evidence</w:t>
            </w:r>
          </w:p>
        </w:tc>
        <w:tc>
          <w:tcPr>
            <w:tcW w:type="dxa" w:w="56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定位原文页码 表格位置和 Evidence ID</w:t>
            </w:r>
          </w:p>
        </w:tc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P0</w:t>
            </w:r>
          </w:p>
        </w:tc>
      </w:tr>
      <w:tr>
        <w:tc>
          <w:tcPr>
            <w:tcW w:type="dxa" w:w="2835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recalculate_valuation</w:t>
            </w:r>
          </w:p>
        </w:tc>
        <w:tc>
          <w:tcPr>
            <w:tcW w:type="dxa" w:w="5669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复算可验证估值倍数和输入关系</w:t>
            </w:r>
          </w:p>
        </w:tc>
        <w:tc>
          <w:tcPr>
            <w:tcW w:type="dxa" w:w="1134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P1</w:t>
            </w:r>
          </w:p>
        </w:tc>
      </w:tr>
      <w:t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generate_checker_report</w:t>
            </w:r>
          </w:p>
        </w:tc>
        <w:tc>
          <w:tcPr>
            <w:tcW w:type="dxa" w:w="56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生成 JSON Markdown 和导出结果</w:t>
            </w:r>
          </w:p>
        </w:tc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P0</w:t>
            </w:r>
          </w:p>
        </w:tc>
      </w:tr>
    </w:tbl>
    <w:p>
      <w:pPr>
        <w:spacing w:after="40"/>
      </w:pPr>
    </w:p>
    <w:p>
      <w:pPr>
        <w:pStyle w:val="Heading2"/>
        <w:spacing w:before="160" w:after="100"/>
      </w:pPr>
      <w:r>
        <w:rPr>
          <w:rFonts w:ascii="Aptos" w:hAnsi="Aptos" w:eastAsia="Microsoft YaHei"/>
          <w:b/>
          <w:color w:val="000000"/>
          <w:sz w:val="24"/>
        </w:rPr>
        <w:t>1 每条核查结果的必要字段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01"/>
        <w:gridCol w:w="4901"/>
      </w:tblGrid>
      <w:tr>
        <w:trPr>
          <w:tblHeader w:val="true"/>
        </w:trPr>
        <w:tc>
          <w:tcPr>
            <w:tcW w:type="dxa" w:w="3061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6576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finding_id 与 check_type</w:t>
            </w:r>
          </w:p>
        </w:tc>
        <w:tc>
          <w:tcPr>
            <w:tcW w:type="dxa" w:w="65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唯一编号和错误类型，例如 unit_error 或 period_error</w:t>
            </w:r>
          </w:p>
        </w:tc>
      </w:tr>
      <w:tr>
        <w:tc>
          <w:tcPr>
            <w:tcW w:type="dxa" w:w="3061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draft_claim 与 draft_location</w:t>
            </w:r>
          </w:p>
        </w:tc>
        <w:tc>
          <w:tcPr>
            <w:tcW w:type="dxa" w:w="6576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研报原句及其页码或段落位置</w:t>
            </w:r>
          </w:p>
        </w:tc>
      </w:tr>
      <w:tr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status 与 severity</w:t>
            </w:r>
          </w:p>
        </w:tc>
        <w:tc>
          <w:tcPr>
            <w:tcW w:type="dxa" w:w="65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确认错误 警告 无法核验 观点预测 核验通过及严重等级</w:t>
            </w:r>
          </w:p>
        </w:tc>
      </w:tr>
      <w:tr>
        <w:tc>
          <w:tcPr>
            <w:tcW w:type="dxa" w:w="3061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expected_value</w:t>
            </w:r>
          </w:p>
        </w:tc>
        <w:tc>
          <w:tcPr>
            <w:tcW w:type="dxa" w:w="6576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正确数值 单位 期间和口径</w:t>
            </w:r>
          </w:p>
        </w:tc>
      </w:tr>
      <w:tr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evidence</w:t>
            </w:r>
          </w:p>
        </w:tc>
        <w:tc>
          <w:tcPr>
            <w:tcW w:type="dxa" w:w="65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原始材料 document_id 页码和 Evidence ID</w:t>
            </w:r>
          </w:p>
        </w:tc>
      </w:tr>
      <w:tr>
        <w:tc>
          <w:tcPr>
            <w:tcW w:type="dxa" w:w="3061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calculation</w:t>
            </w:r>
          </w:p>
        </w:tc>
        <w:tc>
          <w:tcPr>
            <w:tcW w:type="dxa" w:w="6576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公式 输入与程序化复算结果</w:t>
            </w:r>
          </w:p>
        </w:tc>
      </w:tr>
      <w:tr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suggestion</w:t>
            </w:r>
          </w:p>
        </w:tc>
        <w:tc>
          <w:tcPr>
            <w:tcW w:type="dxa" w:w="65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可直接执行的修改建议</w:t>
            </w:r>
          </w:p>
        </w:tc>
      </w:tr>
    </w:tbl>
    <w:p>
      <w:pPr>
        <w:spacing w:after="40"/>
      </w:pPr>
    </w:p>
    <w:p>
      <w:pPr>
        <w:pStyle w:val="Heading2"/>
        <w:spacing w:before="160" w:after="100"/>
      </w:pPr>
      <w:r>
        <w:rPr>
          <w:rFonts w:ascii="Aptos" w:hAnsi="Aptos" w:eastAsia="Microsoft YaHei"/>
          <w:b/>
          <w:color w:val="000000"/>
          <w:sz w:val="24"/>
        </w:rPr>
        <w:t>2 首批稳定覆盖的错误类型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sz w:val="21"/>
        </w:rPr>
        <w:t>初赛主展示优先覆盖八类：数值错误、单位错误、期间错误、统计口径错误、同比或环比计算错误、估值倍数复算错误、缺失或错误引用、错误页码或来源定位失败。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sz w:val="21"/>
        </w:rPr>
        <w:t>后续加分类型包括：过期引用、重述后仍使用旧值、因果断言证据不足、预测值与历史事实混淆、金融机构估值方法不适用。</w:t>
      </w:r>
    </w:p>
    <w:p>
      <w:pPr>
        <w:pStyle w:val="Heading1"/>
        <w:spacing w:before="240" w:after="100"/>
      </w:pPr>
      <w:r>
        <w:rPr>
          <w:rFonts w:ascii="Aptos" w:hAnsi="Aptos" w:eastAsia="Microsoft YaHei"/>
          <w:b/>
          <w:color w:val="000000"/>
          <w:sz w:val="30"/>
        </w:rPr>
        <w:t>四 产品界面与演示设计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tblHeader w:val="true"/>
        </w:trPr>
        <w:tc>
          <w:tcPr>
            <w:tcW w:type="dxa" w:w="1814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页面</w:t>
            </w:r>
          </w:p>
        </w:tc>
        <w:tc>
          <w:tcPr>
            <w:tcW w:type="dxa" w:w="5953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评委可见内容</w:t>
            </w:r>
          </w:p>
        </w:tc>
        <w:tc>
          <w:tcPr>
            <w:tcW w:type="dxa" w:w="1871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主要目标</w:t>
            </w:r>
          </w:p>
        </w:tc>
      </w:tr>
      <w:t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案例与材料</w:t>
            </w:r>
          </w:p>
        </w:tc>
        <w:tc>
          <w:tcPr>
            <w:tcW w:type="dxa" w:w="595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原始材料 草稿 文件哈希 数据版本 研究截止日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明确受控数据来源</w:t>
            </w:r>
          </w:p>
        </w:tc>
      </w:tr>
      <w:tr>
        <w:tc>
          <w:tcPr>
            <w:tcW w:type="dxa" w:w="1814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智能核查</w:t>
            </w:r>
          </w:p>
        </w:tc>
        <w:tc>
          <w:tcPr>
            <w:tcW w:type="dxa" w:w="5953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任务计划 工具调用 进度 成功或警告状态</w:t>
            </w:r>
          </w:p>
        </w:tc>
        <w:tc>
          <w:tcPr>
            <w:tcW w:type="dxa" w:w="1871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证明系统是 Agent 而非普通 OCR</w:t>
            </w:r>
          </w:p>
        </w:tc>
      </w:tr>
      <w:t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核查结果</w:t>
            </w:r>
          </w:p>
        </w:tc>
        <w:tc>
          <w:tcPr>
            <w:tcW w:type="dxa" w:w="595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错误类型 原句 正确值 原因 修改建议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形成业务交付物</w:t>
            </w:r>
          </w:p>
        </w:tc>
      </w:tr>
      <w:tr>
        <w:tc>
          <w:tcPr>
            <w:tcW w:type="dxa" w:w="1814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证据与复算</w:t>
            </w:r>
          </w:p>
        </w:tc>
        <w:tc>
          <w:tcPr>
            <w:tcW w:type="dxa" w:w="5953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PDF 页码 Evidence ID 规范化过程 公式</w:t>
            </w:r>
          </w:p>
        </w:tc>
        <w:tc>
          <w:tcPr>
            <w:tcW w:type="dxa" w:w="1871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证明结论可回溯</w:t>
            </w:r>
          </w:p>
        </w:tc>
      </w:tr>
      <w:tr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审计轨迹与导出</w:t>
            </w:r>
          </w:p>
        </w:tc>
        <w:tc>
          <w:tcPr>
            <w:tcW w:type="dxa" w:w="595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文件访问 工具记录 计算记录 Prompt 版本 输出哈希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证明过程可复现</w:t>
            </w:r>
          </w:p>
        </w:tc>
      </w:tr>
    </w:tbl>
    <w:p>
      <w:pPr>
        <w:spacing w:after="40"/>
      </w:pPr>
    </w:p>
    <w:p>
      <w:pPr>
        <w:spacing w:after="120" w:line="324" w:lineRule="auto"/>
      </w:pPr>
      <w:r>
        <w:rPr>
          <w:rFonts w:ascii="Aptos" w:hAnsi="Aptos" w:eastAsia="Microsoft YaHei"/>
          <w:b w:val="0"/>
          <w:sz w:val="21"/>
        </w:rPr>
        <w:t>竞赛版应隐藏研究总览、每日复盘、市场行情、独立同行估值、任务中心、评测与消融及实验 Demo 页面。它们可以保留代码兼容性，但不应分散评委注意力。</w:t>
      </w:r>
    </w:p>
    <w:p>
      <w:pPr>
        <w:pStyle w:val="Heading1"/>
        <w:spacing w:before="240" w:after="100"/>
      </w:pPr>
      <w:r>
        <w:rPr>
          <w:rFonts w:ascii="Aptos" w:hAnsi="Aptos" w:eastAsia="Microsoft YaHei"/>
          <w:b/>
          <w:color w:val="000000"/>
          <w:sz w:val="30"/>
        </w:rPr>
        <w:t>五 现有代码的收敛策略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tblHeader w:val="true"/>
        </w:trPr>
        <w:tc>
          <w:tcPr>
            <w:tcW w:type="dxa" w:w="2948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3061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建议</w:t>
            </w:r>
          </w:p>
        </w:tc>
        <w:tc>
          <w:tcPr>
            <w:tcW w:type="dxa" w:w="3628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竞赛中的角色</w:t>
            </w:r>
          </w:p>
        </w:tc>
      </w:tr>
      <w:tr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src/cn/checker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保留并优先打磨</w:t>
            </w:r>
          </w:p>
        </w:tc>
        <w:tc>
          <w:tcPr>
            <w:tcW w:type="dxa" w:w="36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研报核查的确定性核心</w:t>
            </w:r>
          </w:p>
        </w:tc>
      </w:tr>
      <w:tr>
        <w:tc>
          <w:tcPr>
            <w:tcW w:type="dxa" w:w="2948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src/cn/documents</w:t>
            </w:r>
          </w:p>
        </w:tc>
        <w:tc>
          <w:tcPr>
            <w:tcW w:type="dxa" w:w="3061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保留</w:t>
            </w:r>
          </w:p>
        </w:tc>
        <w:tc>
          <w:tcPr>
            <w:tcW w:type="dxa" w:w="3628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原始材料和草稿解析</w:t>
            </w:r>
          </w:p>
        </w:tc>
      </w:tr>
      <w:tr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src/cn/normalization 与 analysis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保留</w:t>
            </w:r>
          </w:p>
        </w:tc>
        <w:tc>
          <w:tcPr>
            <w:tcW w:type="dxa" w:w="36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单位 期间 口径和财务复算</w:t>
            </w:r>
          </w:p>
        </w:tc>
      </w:tr>
      <w:tr>
        <w:tc>
          <w:tcPr>
            <w:tcW w:type="dxa" w:w="2948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evidence validation runs</w:t>
            </w:r>
          </w:p>
        </w:tc>
        <w:tc>
          <w:tcPr>
            <w:tcW w:type="dxa" w:w="3061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保留</w:t>
            </w:r>
          </w:p>
        </w:tc>
        <w:tc>
          <w:tcPr>
            <w:tcW w:type="dxa" w:w="3628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证据链 校验和审计复现</w:t>
            </w:r>
          </w:p>
        </w:tc>
      </w:tr>
      <w:tr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valuation 与 peer_workflow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保留为可选工具</w:t>
            </w:r>
          </w:p>
        </w:tc>
        <w:tc>
          <w:tcPr>
            <w:tcW w:type="dxa" w:w="36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估值核验加分项</w:t>
            </w:r>
          </w:p>
        </w:tc>
      </w:tr>
      <w:tr>
        <w:tc>
          <w:tcPr>
            <w:tcW w:type="dxa" w:w="2948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daily_review memo industries</w:t>
            </w:r>
          </w:p>
        </w:tc>
        <w:tc>
          <w:tcPr>
            <w:tcW w:type="dxa" w:w="3061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从比赛入口隐藏</w:t>
            </w:r>
          </w:p>
        </w:tc>
        <w:tc>
          <w:tcPr>
            <w:tcW w:type="dxa" w:w="3628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后续产品方向</w:t>
            </w:r>
          </w:p>
        </w:tc>
      </w:tr>
      <w:tr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acme graph proof temporal fragility finfuzz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保留为内部或答辩备选</w:t>
            </w:r>
          </w:p>
        </w:tc>
        <w:tc>
          <w:tcPr>
            <w:tcW w:type="dxa" w:w="36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不单独作为初赛模块</w:t>
            </w:r>
          </w:p>
        </w:tc>
      </w:tr>
    </w:tbl>
    <w:p>
      <w:pPr>
        <w:spacing w:after="40"/>
      </w:pPr>
    </w:p>
    <w:p>
      <w:pPr>
        <w:spacing w:after="120" w:line="324" w:lineRule="auto"/>
      </w:pPr>
      <w:r>
        <w:rPr>
          <w:rFonts w:ascii="Aptos" w:hAnsi="Aptos" w:eastAsia="Microsoft YaHei"/>
          <w:b w:val="0"/>
          <w:sz w:val="21"/>
        </w:rPr>
        <w:t>对外统一使用“证据链与复核记录”这一术语。Evidence Ledger、Claim Evidence Graph 和 Financial Claim Passport 可以保留内部实现，但不宜在首轮演示中以三套并列概念出现。</w:t>
      </w:r>
    </w:p>
    <w:p>
      <w:pPr>
        <w:pStyle w:val="Heading1"/>
        <w:spacing w:before="240" w:after="100"/>
      </w:pPr>
      <w:r>
        <w:rPr>
          <w:rFonts w:ascii="Aptos" w:hAnsi="Aptos" w:eastAsia="Microsoft YaHei"/>
          <w:b/>
          <w:color w:val="000000"/>
          <w:sz w:val="30"/>
        </w:rPr>
        <w:t>六 测试与演示数据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sz w:val="21"/>
        </w:rPr>
        <w:t>准备一套完全离线的固定演示材料，并为每个案例人工维护金标预期结果。合成植入错误集只能说明合成测试表现，不得表述为真实研报准确率。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01"/>
        <w:gridCol w:w="4901"/>
      </w:tblGrid>
      <w:tr>
        <w:trPr>
          <w:tblHeader w:val="true"/>
        </w:trPr>
        <w:tc>
          <w:tcPr>
            <w:tcW w:type="dxa" w:w="3005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金标案例</w:t>
            </w:r>
          </w:p>
        </w:tc>
        <w:tc>
          <w:tcPr>
            <w:tcW w:type="dxa" w:w="6633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重点验证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正确研报</w:t>
            </w:r>
          </w:p>
        </w:tc>
        <w:tc>
          <w:tcPr>
            <w:tcW w:type="dxa" w:w="663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零误报 不为展示效果而乱报错</w:t>
            </w:r>
          </w:p>
        </w:tc>
      </w:tr>
      <w:tr>
        <w:tc>
          <w:tcPr>
            <w:tcW w:type="dxa" w:w="3005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单位错误</w:t>
            </w:r>
          </w:p>
        </w:tc>
        <w:tc>
          <w:tcPr>
            <w:tcW w:type="dxa" w:w="6633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元 万元 亿元的换算与正确修改建议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期间错误</w:t>
            </w:r>
          </w:p>
        </w:tc>
        <w:tc>
          <w:tcPr>
            <w:tcW w:type="dxa" w:w="663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年报 半年报 单季 TTM 混用识别</w:t>
            </w:r>
          </w:p>
        </w:tc>
      </w:tr>
      <w:tr>
        <w:tc>
          <w:tcPr>
            <w:tcW w:type="dxa" w:w="3005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口径错误</w:t>
            </w:r>
          </w:p>
        </w:tc>
        <w:tc>
          <w:tcPr>
            <w:tcW w:type="dxa" w:w="6633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合并 母公司 归母 扣非等统计口径识别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计算错误</w:t>
            </w:r>
          </w:p>
        </w:tc>
        <w:tc>
          <w:tcPr>
            <w:tcW w:type="dxa" w:w="663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同比 环比或 PE PB 等程序化复算</w:t>
            </w:r>
          </w:p>
        </w:tc>
      </w:tr>
      <w:tr>
        <w:tc>
          <w:tcPr>
            <w:tcW w:type="dxa" w:w="3005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引用错误或数据过期</w:t>
            </w:r>
          </w:p>
        </w:tc>
        <w:tc>
          <w:tcPr>
            <w:tcW w:type="dxa" w:w="6633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来源 页码 重述和无法核验状态</w:t>
            </w:r>
          </w:p>
        </w:tc>
      </w:tr>
    </w:tbl>
    <w:p>
      <w:pPr>
        <w:spacing w:after="40"/>
      </w:pPr>
    </w:p>
    <w:p>
      <w:pPr>
        <w:pStyle w:val="Heading1"/>
        <w:spacing w:before="240" w:after="100"/>
      </w:pPr>
      <w:r>
        <w:rPr>
          <w:rFonts w:ascii="Aptos" w:hAnsi="Aptos" w:eastAsia="Microsoft YaHei"/>
          <w:b/>
          <w:color w:val="000000"/>
          <w:sz w:val="30"/>
        </w:rPr>
        <w:t>七 冲刺实施排期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tblHeader w:val="true"/>
        </w:trPr>
        <w:tc>
          <w:tcPr>
            <w:tcW w:type="dxa" w:w="1531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4706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重点工作</w:t>
            </w:r>
          </w:p>
        </w:tc>
        <w:tc>
          <w:tcPr>
            <w:tcW w:type="dxa" w:w="3402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当日交付物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10 月 14 日</w:t>
            </w:r>
          </w:p>
        </w:tc>
        <w:tc>
          <w:tcPr>
            <w:tcW w:type="dxa" w:w="470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冻结初赛范围，复核数值抽取与默认离线测试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范围说明、测试记录与材料清单</w:t>
            </w:r>
          </w:p>
        </w:tc>
      </w:tr>
      <w:tr>
        <w:tc>
          <w:tcPr>
            <w:tcW w:type="dxa" w:w="1531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10 月 15 日</w:t>
            </w:r>
          </w:p>
        </w:tc>
        <w:tc>
          <w:tcPr>
            <w:tcW w:type="dxa" w:w="4706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固定端到端主流程和金标结果，收敛 Agent 工具链与运行记录</w:t>
            </w:r>
          </w:p>
        </w:tc>
        <w:tc>
          <w:tcPr>
            <w:tcW w:type="dxa" w:w="3402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一套可复跑案例、工具轨迹与结构化 CheckerReport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10 月 16 日</w:t>
            </w:r>
          </w:p>
        </w:tc>
        <w:tc>
          <w:tcPr>
            <w:tcW w:type="dxa" w:w="470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完成证据与复算跳转，收敛为五页竞赛 UI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原句、页码、公式展示与竞赛版工作台</w:t>
            </w:r>
          </w:p>
        </w:tc>
      </w:tr>
      <w:tr>
        <w:tc>
          <w:tcPr>
            <w:tcW w:type="dxa" w:w="1531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10 月 17 日</w:t>
            </w:r>
          </w:p>
        </w:tc>
        <w:tc>
          <w:tcPr>
            <w:tcW w:type="dxa" w:w="4706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离线测试、演示彩排、计划书和五分钟视频定稿</w:t>
            </w:r>
          </w:p>
        </w:tc>
        <w:tc>
          <w:tcPr>
            <w:tcW w:type="dxa" w:w="3402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测试记录、最终源码包与视频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10 月 18 日</w:t>
            </w:r>
          </w:p>
        </w:tc>
        <w:tc>
          <w:tcPr>
            <w:tcW w:type="dxa" w:w="470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提交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提交清单确认</w:t>
            </w:r>
          </w:p>
        </w:tc>
      </w:tr>
    </w:tbl>
    <w:p>
      <w:pPr>
        <w:spacing w:after="40"/>
      </w:pPr>
    </w:p>
    <w:p>
      <w:pPr>
        <w:pStyle w:val="Heading1"/>
        <w:spacing w:before="240" w:after="100"/>
      </w:pPr>
      <w:r>
        <w:rPr>
          <w:rFonts w:ascii="Aptos" w:hAnsi="Aptos" w:eastAsia="Microsoft YaHei"/>
          <w:b/>
          <w:color w:val="000000"/>
          <w:sz w:val="30"/>
        </w:rPr>
        <w:t>八 团队分工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01"/>
        <w:gridCol w:w="4901"/>
      </w:tblGrid>
      <w:tr>
        <w:trPr>
          <w:tblHeader w:val="true"/>
        </w:trPr>
        <w:tc>
          <w:tcPr>
            <w:tcW w:type="dxa" w:w="2665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6973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主要职责</w:t>
            </w:r>
          </w:p>
        </w:tc>
      </w:tr>
      <w:tr>
        <w:tc>
          <w:tcPr>
            <w:tcW w:type="dxa" w:w="26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Agent 与后端负责人</w:t>
            </w:r>
          </w:p>
        </w:tc>
        <w:tc>
          <w:tcPr>
            <w:tcW w:type="dxa" w:w="69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任务编排 工具契约 API 运行日志</w:t>
            </w:r>
          </w:p>
        </w:tc>
      </w:tr>
      <w:tr>
        <w:tc>
          <w:tcPr>
            <w:tcW w:type="dxa" w:w="2665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金融规则负责人</w:t>
            </w:r>
          </w:p>
        </w:tc>
        <w:tc>
          <w:tcPr>
            <w:tcW w:type="dxa" w:w="6973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指标口径 错误规则 修改建议与适用边界</w:t>
            </w:r>
          </w:p>
        </w:tc>
      </w:tr>
      <w:tr>
        <w:tc>
          <w:tcPr>
            <w:tcW w:type="dxa" w:w="26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文档智能负责人</w:t>
            </w:r>
          </w:p>
        </w:tc>
        <w:tc>
          <w:tcPr>
            <w:tcW w:type="dxa" w:w="69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PDF 表格解析 主张提取 原文定位</w:t>
            </w:r>
          </w:p>
        </w:tc>
      </w:tr>
      <w:tr>
        <w:tc>
          <w:tcPr>
            <w:tcW w:type="dxa" w:w="2665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前端与演示负责人</w:t>
            </w:r>
          </w:p>
        </w:tc>
        <w:tc>
          <w:tcPr>
            <w:tcW w:type="dxa" w:w="6973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五页工作台 结果可视化 视频与答辩</w:t>
            </w:r>
          </w:p>
        </w:tc>
      </w:tr>
      <w:tr>
        <w:tc>
          <w:tcPr>
            <w:tcW w:type="dxa" w:w="266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测试与材料负责人</w:t>
            </w:r>
          </w:p>
        </w:tc>
        <w:tc>
          <w:tcPr>
            <w:tcW w:type="dxa" w:w="697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金标案例 离线测试 计划书 第三方清单</w:t>
            </w:r>
          </w:p>
        </w:tc>
      </w:tr>
    </w:tbl>
    <w:p>
      <w:pPr>
        <w:spacing w:after="40"/>
      </w:pPr>
    </w:p>
    <w:p>
      <w:pPr>
        <w:pStyle w:val="Heading1"/>
        <w:spacing w:before="240" w:after="100"/>
      </w:pPr>
      <w:r>
        <w:rPr>
          <w:rFonts w:ascii="Aptos" w:hAnsi="Aptos" w:eastAsia="Microsoft YaHei"/>
          <w:b/>
          <w:color w:val="000000"/>
          <w:sz w:val="30"/>
        </w:rPr>
        <w:t>九 五分钟视频建议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01"/>
        <w:gridCol w:w="4901"/>
      </w:tblGrid>
      <w:tr>
        <w:trPr>
          <w:tblHeader w:val="true"/>
        </w:trPr>
        <w:tc>
          <w:tcPr>
            <w:tcW w:type="dxa" w:w="1757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788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75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0:00 至 0:25</w:t>
            </w:r>
          </w:p>
        </w:tc>
        <w:tc>
          <w:tcPr>
            <w:tcW w:type="dxa" w:w="7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说明研报数字 口径和引用难以人工高效复核的问题</w:t>
            </w:r>
          </w:p>
        </w:tc>
      </w:tr>
      <w:tr>
        <w:tc>
          <w:tcPr>
            <w:tcW w:type="dxa" w:w="1757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0:25 至 0:50</w:t>
            </w:r>
          </w:p>
        </w:tc>
        <w:tc>
          <w:tcPr>
            <w:tcW w:type="dxa" w:w="7880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展示 Agent 工具 证据 Validator 的整体架构</w:t>
            </w:r>
          </w:p>
        </w:tc>
      </w:tr>
      <w:tr>
        <w:tc>
          <w:tcPr>
            <w:tcW w:type="dxa" w:w="175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0:50 至 1:25</w:t>
            </w:r>
          </w:p>
        </w:tc>
        <w:tc>
          <w:tcPr>
            <w:tcW w:type="dxa" w:w="7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展示受控环境中的年报 公告与含错草稿</w:t>
            </w:r>
          </w:p>
        </w:tc>
      </w:tr>
      <w:tr>
        <w:tc>
          <w:tcPr>
            <w:tcW w:type="dxa" w:w="1757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1:25 至 2:10</w:t>
            </w:r>
          </w:p>
        </w:tc>
        <w:tc>
          <w:tcPr>
            <w:tcW w:type="dxa" w:w="7880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展示 Agent 任务计划和工具调用</w:t>
            </w:r>
          </w:p>
        </w:tc>
      </w:tr>
      <w:tr>
        <w:tc>
          <w:tcPr>
            <w:tcW w:type="dxa" w:w="175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2:10 至 3:20</w:t>
            </w:r>
          </w:p>
        </w:tc>
        <w:tc>
          <w:tcPr>
            <w:tcW w:type="dxa" w:w="7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展示数值 单位 期间 引用和估值等纠错结果</w:t>
            </w:r>
          </w:p>
        </w:tc>
      </w:tr>
      <w:tr>
        <w:tc>
          <w:tcPr>
            <w:tcW w:type="dxa" w:w="1757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3:20 至 4:05</w:t>
            </w:r>
          </w:p>
        </w:tc>
        <w:tc>
          <w:tcPr>
            <w:tcW w:type="dxa" w:w="7880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点击一条错误 回到 PDF 页码并展示公式复算</w:t>
            </w:r>
          </w:p>
        </w:tc>
      </w:tr>
      <w:tr>
        <w:tc>
          <w:tcPr>
            <w:tcW w:type="dxa" w:w="175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4:05 至 4:35</w:t>
            </w:r>
          </w:p>
        </w:tc>
        <w:tc>
          <w:tcPr>
            <w:tcW w:type="dxa" w:w="7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展示日志 哈希 Validator 和离线复跑</w:t>
            </w:r>
          </w:p>
        </w:tc>
      </w:tr>
      <w:tr>
        <w:tc>
          <w:tcPr>
            <w:tcW w:type="dxa" w:w="1757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4:35 至 4:50</w:t>
            </w:r>
          </w:p>
        </w:tc>
        <w:tc>
          <w:tcPr>
            <w:tcW w:type="dxa" w:w="7880"/>
            <w:shd w:fill="F2F6F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sz w:val="17"/>
              </w:rPr>
              <w:t>总结系统用工具和证据核查 而非凭模型猜测</w:t>
            </w:r>
          </w:p>
        </w:tc>
      </w:tr>
    </w:tbl>
    <w:p>
      <w:pPr>
        <w:spacing w:after="40"/>
      </w:pPr>
    </w:p>
    <w:p>
      <w:pPr>
        <w:pStyle w:val="Heading1"/>
        <w:spacing w:before="240" w:after="100"/>
      </w:pPr>
      <w:r>
        <w:rPr>
          <w:rFonts w:ascii="Aptos" w:hAnsi="Aptos" w:eastAsia="Microsoft YaHei"/>
          <w:b/>
          <w:color w:val="000000"/>
          <w:sz w:val="30"/>
        </w:rPr>
        <w:t>十 提交前验收清单</w:t>
      </w:r>
    </w:p>
    <w:p>
      <w:pPr>
        <w:pStyle w:val="ListBullet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□ 从自然语言研报草稿中提取可核查主张，并保留逐字原句与页码。</w:t>
      </w:r>
    </w:p>
    <w:p>
      <w:pPr>
        <w:pStyle w:val="ListBullet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□ 使用至少一个大语言模型作为 Agent 的任务理解和工具编排引擎。</w:t>
      </w:r>
    </w:p>
    <w:p>
      <w:pPr>
        <w:pStyle w:val="ListBullet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□ 稳定覆盖数值、单位、期间、口径、计算、估值和引用等核心核查。</w:t>
      </w:r>
    </w:p>
    <w:p>
      <w:pPr>
        <w:pStyle w:val="ListBullet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□ 每条确认错误均能定位研报原句和原始财务材料。</w:t>
      </w:r>
    </w:p>
    <w:p>
      <w:pPr>
        <w:pStyle w:val="ListBullet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□ 每条数值类错误均能展示程序化计算过程和输入证据。</w:t>
      </w:r>
    </w:p>
    <w:p>
      <w:pPr>
        <w:pStyle w:val="ListBullet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□ 证据不足时输出无法核验或待人工复核，而不是编造结论。</w:t>
      </w:r>
    </w:p>
    <w:p>
      <w:pPr>
        <w:pStyle w:val="ListBullet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□ 在本地封闭或半封闭环境中完整运行，并保存文件、工具、计算和结果日志。</w:t>
      </w:r>
    </w:p>
    <w:p>
      <w:pPr>
        <w:pStyle w:val="ListBullet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□ 默认测试离线运行，不依赖网络、密钥、缓存或实时行情。</w:t>
      </w:r>
    </w:p>
    <w:p>
      <w:pPr>
        <w:pStyle w:val="ListBullet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□ 不将合成演示数据、干跑结果或模型叙述表述为真实金融事实或真实模型效果。</w:t>
      </w:r>
    </w:p>
    <w:p>
      <w:pPr>
        <w:pStyle w:val="ListBullet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□ 提交包不含密钥、.env、受版权限制原始材料、虚拟环境或 node_modules。</w:t>
      </w:r>
    </w:p>
    <w:p>
      <w:pPr>
        <w:pStyle w:val="Heading1"/>
        <w:spacing w:before="240" w:after="100"/>
      </w:pPr>
      <w:r>
        <w:rPr>
          <w:rFonts w:ascii="Aptos" w:hAnsi="Aptos" w:eastAsia="Microsoft YaHei"/>
          <w:b/>
          <w:color w:val="000000"/>
          <w:sz w:val="30"/>
        </w:rPr>
        <w:t>十一 第一周优先级</w:t>
      </w:r>
    </w:p>
    <w:p>
      <w:pPr>
        <w:pStyle w:val="ListNumber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选择并冻结一组原始材料与含错研报草稿，建立人工金标。</w:t>
      </w:r>
    </w:p>
    <w:p>
      <w:pPr>
        <w:pStyle w:val="ListNumber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将现有 checker 流程接入受控 Agent 工具调用，保留确定性核验边界。</w:t>
      </w:r>
    </w:p>
    <w:p>
      <w:pPr>
        <w:pStyle w:val="ListNumber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将工作台收敛为案例材料、智能核查、核查结果、证据复算、审计导出五页。</w:t>
      </w:r>
    </w:p>
    <w:p>
      <w:pPr>
        <w:pStyle w:val="ListNumber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完成至少六个离线金标案例，并将结果接入测试。</w:t>
      </w:r>
    </w:p>
    <w:p>
      <w:pPr>
        <w:pStyle w:val="ListNumber"/>
        <w:spacing w:after="60" w:line="300" w:lineRule="auto"/>
      </w:pPr>
      <w:r>
        <w:rPr>
          <w:rFonts w:ascii="Aptos" w:hAnsi="Aptos" w:eastAsia="Microsoft YaHei"/>
          <w:b w:val="0"/>
          <w:sz w:val="21"/>
        </w:rPr>
        <w:t>录制完整端到端流程，先保证稳定性，再优化界面和叙事。</w:t>
      </w:r>
    </w:p>
    <w:sectPr w:rsidR="00FC693F" w:rsidRPr="0006063C" w:rsidSect="00034616">
      <w:footerReference w:type="default" r:id="rId9"/>
      <w:pgSz w:w="12240" w:h="15840"/>
      <w:pgMar w:top="1247" w:right="1219" w:bottom="1134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b w:val="0"/>
        <w:color w:val="666666"/>
        <w:sz w:val="16"/>
      </w:rPr>
      <w:t>FinTrace-CN 竞赛实施计划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