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ptos" w:hAnsi="Aptos" w:eastAsia="Microsoft YaHei"/>
          <w:b/>
          <w:color w:val="000000"/>
          <w:sz w:val="36"/>
        </w:rPr>
        <w:t>FinTrace CN 可追溯金融研究报告智能核查系统</w:t>
      </w:r>
    </w:p>
    <w:p>
      <w:pPr>
        <w:spacing w:after="360"/>
        <w:jc w:val="center"/>
      </w:pPr>
      <w:r>
        <w:rPr>
          <w:rFonts w:ascii="Aptos" w:hAnsi="Aptos" w:eastAsia="Microsoft YaHei"/>
          <w:b w:val="0"/>
          <w:color w:val="555555"/>
          <w:sz w:val="22"/>
        </w:rPr>
        <w:t>北京市大学生金融人工智能竞赛  初赛项目计划书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项目字段</w:t>
            </w:r>
          </w:p>
        </w:tc>
        <w:tc>
          <w:tcPr>
            <w:tcW w:type="dxa" w:w="7370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FinTrace CN 可追溯金融研究报告智能核查系统</w:t>
            </w:r>
          </w:p>
        </w:tc>
      </w:tr>
      <w:tr>
        <w:trPr>
          <w:cantSplit/>
        </w:trPr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队伍名称</w:t>
            </w:r>
          </w:p>
        </w:tc>
        <w:tc>
          <w:tcPr>
            <w:tcW w:type="dxa" w:w="737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〈待填〉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学校 / 学院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〈待填〉</w:t>
            </w:r>
          </w:p>
        </w:tc>
      </w:tr>
      <w:tr>
        <w:trPr>
          <w:cantSplit/>
        </w:trPr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团队成员</w:t>
            </w:r>
          </w:p>
        </w:tc>
        <w:tc>
          <w:tcPr>
            <w:tcW w:type="dxa" w:w="737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〈待填，3 至 5 人〉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指导老师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〈待填，晋级决赛后配备〉</w:t>
            </w:r>
          </w:p>
        </w:tc>
      </w:tr>
      <w:tr>
        <w:trPr>
          <w:cantSplit/>
        </w:trPr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737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v2.2 · 2026-10-15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一 项目摘要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FinTrace CN 面向 A 股研究报告中最容易造成投资判断偏差的环节：财务数据、指标口径、估值倍数与引用依据在多份材料之间发生错配。系统以研究报告草稿和原始财务材料为输入，由大语言模型识别待核查主张并组织工具调用，再由本地确定性程序完成数据比对、期间与单位换算、公式复算、证据定位和修改建议生成。</w:t>
      </w:r>
    </w:p>
    <w:p>
      <w:pPr>
        <w:spacing w:after="120" w:line="324" w:lineRule="auto"/>
      </w:pPr>
      <w:r>
        <w:rPr>
          <w:rFonts w:ascii="Aptos" w:hAnsi="Aptos" w:eastAsia="Microsoft YaHei"/>
          <w:b/>
          <w:sz w:val="21"/>
        </w:rPr>
        <w:t>项目不把</w:t>
      </w:r>
      <w:r>
        <w:rPr>
          <w:rFonts w:ascii="Aptos" w:hAnsi="Aptos" w:eastAsia="Microsoft YaHei"/>
          <w:b w:val="0"/>
          <w:sz w:val="21"/>
        </w:rPr>
        <w:t>大模型生成的文字直接当作金融事实。每项确认问题都必须包含研报原句、来源材料、页码或证据编号、核验规则或计算过程，以及可直接执行的修改建议。材料缺失、口径无法对齐或模型提取不充分时，系统明确输出“待人工复核”或“无法核验”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本项目主选赛题为“研究报告纠错核查”，并以“上市公司财务报告分析”提供事实底座，以“自动化估值建模”提供可验证的估值复算能力。最终交付物是一套可本地运行的智能核查原型、一组可复现样例、结构化核查报告与完整审计记录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二 业务需求与问题定义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真实投研工作中的核查负担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研究报告通常同时引用年报、季报、临时公告、行业材料和估值假设。人工复核需要在不同文件、不同期间、不同单位和不同统计口径之间反复跳转。常见失误并非复杂建模错误，而是“亿元和万元混用”“年报与单季混用”“归母与扣非口径混用”“同比公式写错”“估值分子分母不一致”以及“引用无法回溯”。这类问题会直接削弱研究结论的可信度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现有方法的不足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62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主要不足</w:t>
            </w:r>
          </w:p>
        </w:tc>
        <w:tc>
          <w:tcPr>
            <w:tcW w:type="dxa" w:w="408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本项目的改进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人工逐页核查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专业性强但耗时高，难保留完整复核轨迹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将重复比对、换算与定位交给程序，保留人工判断</w:t>
            </w:r>
          </w:p>
        </w:tc>
      </w:tr>
      <w:tr>
        <w:trPr>
          <w:cantSplit/>
        </w:trPr>
        <w:tc>
          <w:tcPr>
            <w:tcW w:type="dxa" w:w="19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通用 OCR 或文档问答</w:t>
            </w:r>
          </w:p>
        </w:tc>
        <w:tc>
          <w:tcPr>
            <w:tcW w:type="dxa" w:w="36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可读文本但难判断期间、口径与计算关系</w:t>
            </w:r>
          </w:p>
        </w:tc>
        <w:tc>
          <w:tcPr>
            <w:tcW w:type="dxa" w:w="408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建立金融事实规范化与确定性校验链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纯大模型审稿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可能产生幻觉，结果难解释、难复现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模型只做主张提取和任务编排，不直接裁决事实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项目目标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在受控数据环境中，自动从研究报告草稿中识别可验证的财务、估值和引用主张。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对数值、单位、期间、口径、计算、估值与引用等高频问题形成带证据的核查结论。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将模型推理、工具调用、数据访问、计算过程和最终结果全部记录，支持复核与复现。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输出面向研究员的修改建议，而非仅输出“对”或“错”的聊天式回答。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4 与竞赛评审要求的对应关系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竞赛关注点</w:t>
            </w:r>
          </w:p>
        </w:tc>
        <w:tc>
          <w:tcPr>
            <w:tcW w:type="dxa" w:w="4649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本项目的可见交付</w:t>
            </w:r>
          </w:p>
        </w:tc>
        <w:tc>
          <w:tcPr>
            <w:tcW w:type="dxa" w:w="317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评委核验方式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任务完成度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从材料登记到结构化核查报告的完整流程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现场输入样例，查看任务轨迹与最终报告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数据与计算准确性</w:t>
            </w:r>
          </w:p>
        </w:tc>
        <w:tc>
          <w:tcPr>
            <w:tcW w:type="dxa" w:w="464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财务事实对象、单位期间约束、程序化公式与人工金标</w:t>
            </w:r>
          </w:p>
        </w:tc>
        <w:tc>
          <w:tcPr>
            <w:tcW w:type="dxa" w:w="317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抽取任一错误，回看输入、公式和结果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分析逻辑与专业性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区分事实、计算错误、证据不足和需人工判断的观点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查看错误类别、适用边界与修改建议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可追溯与可复现</w:t>
            </w:r>
          </w:p>
        </w:tc>
        <w:tc>
          <w:tcPr>
            <w:tcW w:type="dxa" w:w="464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文件哈希、页码、Evidence ID、规则与运行日志</w:t>
            </w:r>
          </w:p>
        </w:tc>
        <w:tc>
          <w:tcPr>
            <w:tcW w:type="dxa" w:w="317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替换草稿或重复运行，核查结果链条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创新与应用价值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大模型负责理解编排，确定性规则负责事实裁决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对比纯 OCR 或纯聊天式审稿的输出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三 项目定位与范围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项目定位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项目名称：FinTrace-CN 面向 A 股研究报告的可追溯智能核查 Agent。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项目定义：系统读取原始财务材料和研究报告草稿，由大语言模型驱动的 Agent 识别核查任务并调用受控工具，完成事实提取、口径统一、财务与估值复算、引用定位和结果生成。每一条确认错误均可回到原文、数据、公式和执行记录。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选题范围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13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87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竞赛选题</w:t>
            </w:r>
          </w:p>
        </w:tc>
        <w:tc>
          <w:tcPr>
            <w:tcW w:type="dxa" w:w="3969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在系统中的作用</w:t>
            </w:r>
          </w:p>
        </w:tc>
        <w:tc>
          <w:tcPr>
            <w:tcW w:type="dxa" w:w="226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主线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5 研究报告纠错核查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最终业务闭环与展示重点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必须完成并稳定演示</w:t>
            </w:r>
          </w:p>
        </w:tc>
      </w:tr>
      <w:tr>
        <w:trPr>
          <w:cantSplit/>
        </w:trPr>
        <w:tc>
          <w:tcPr>
            <w:tcW w:type="dxa" w:w="113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支撑</w:t>
            </w:r>
          </w:p>
        </w:tc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 上市公司财务报告分析</w:t>
            </w:r>
          </w:p>
        </w:tc>
        <w:tc>
          <w:tcPr>
            <w:tcW w:type="dxa" w:w="396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提供收入、利润、现金流、期间和口径事实</w:t>
            </w:r>
          </w:p>
        </w:tc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必须保留为核查依据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加分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 自动化估值建模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复算 PE PB PS 与可验证目标价输入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仅做核查 不做完整 DCF</w:t>
            </w:r>
          </w:p>
        </w:tc>
      </w:tr>
      <w:tr>
        <w:trPr>
          <w:cantSplit/>
        </w:trPr>
        <w:tc>
          <w:tcPr>
            <w:tcW w:type="dxa" w:w="113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暂缓</w:t>
            </w:r>
          </w:p>
        </w:tc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买方投资备忘录、研究报告质量评估、产业链影响分析</w:t>
            </w:r>
          </w:p>
        </w:tc>
        <w:tc>
          <w:tcPr>
            <w:tcW w:type="dxa" w:w="396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可作为后续扩展方向</w:t>
            </w:r>
          </w:p>
        </w:tc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不进入初赛主流程，避免功能分散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明确不纳入初赛主线的内容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每日复盘与行情产品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买方投资备忘录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产业链影响分析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多智能体和 MCP 服务化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完整 DCF 流水线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投资逻辑脆弱性和时间重验证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对抗评测的产品化展示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四 核心创新与技术路线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核心创新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8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436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具体设计</w:t>
            </w:r>
          </w:p>
        </w:tc>
        <w:tc>
          <w:tcPr>
            <w:tcW w:type="dxa" w:w="328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解决的竞赛关键问题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受控智能体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模型负责识别主张、拆分任务与选择工具；确定性模块负责事实、计算和放行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避免以自然语言回答替代金融核验</w:t>
            </w:r>
          </w:p>
        </w:tc>
      </w:tr>
      <w:tr>
        <w:trPr>
          <w:cantSplit/>
        </w:trPr>
        <w:tc>
          <w:tcPr>
            <w:tcW w:type="dxa" w:w="198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金融事实规范化</w:t>
            </w:r>
          </w:p>
        </w:tc>
        <w:tc>
          <w:tcPr>
            <w:tcW w:type="dxa" w:w="436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每个数值同时记录期间、单位、币种、口径、来源与证据定位</w:t>
            </w:r>
          </w:p>
        </w:tc>
        <w:tc>
          <w:tcPr>
            <w:tcW w:type="dxa" w:w="328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避免跨材料直接比较导致的伪错误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可计算的证据链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错误结论绑定原句、原始材料位置、输入数据、公式和结果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让修改建议可验证、可追溯</w:t>
            </w:r>
          </w:p>
        </w:tc>
      </w:tr>
      <w:tr>
        <w:trPr>
          <w:cantSplit/>
        </w:trPr>
        <w:tc>
          <w:tcPr>
            <w:tcW w:type="dxa" w:w="198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失败状态可见</w:t>
            </w:r>
          </w:p>
        </w:tc>
        <w:tc>
          <w:tcPr>
            <w:tcW w:type="dxa" w:w="436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材料不足、解析失败、口径冲突或模型超时时输出 blocked、partial 或人工复核</w:t>
            </w:r>
          </w:p>
        </w:tc>
        <w:tc>
          <w:tcPr>
            <w:tcW w:type="dxa" w:w="328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不以“未发现错误”冒充“核验通过”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端到端流程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0EE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原始年报或公告  +  研究报告草稿  +  研究截止日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文件登记与哈希  →  文档解析  →  财务事实规范化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主张提取  →  Agent 任务规划  →  受控工具调用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确定性核验与复算  →  证据定位  →  修改建议  →  审计记录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Agent 的职责边界</w:t>
      </w:r>
    </w:p>
    <w:p>
      <w:pPr>
        <w:spacing w:after="120" w:line="324" w:lineRule="auto"/>
      </w:pPr>
      <w:r>
        <w:rPr>
          <w:rFonts w:ascii="Aptos" w:hAnsi="Aptos" w:eastAsia="Microsoft YaHei"/>
          <w:b/>
          <w:sz w:val="21"/>
        </w:rPr>
        <w:t>Agent 的作用不是</w:t>
      </w:r>
      <w:r>
        <w:rPr>
          <w:rFonts w:ascii="Aptos" w:hAnsi="Aptos" w:eastAsia="Microsoft YaHei"/>
          <w:b w:val="0"/>
          <w:sz w:val="21"/>
        </w:rPr>
        <w:t>代替分析师下结论，而是把自然语言草稿转化为一组可执行、可验证的核查任务。它必须在预定义工具集合和步数上限内运行，所有工具返回统一状态：ok、partial、blocked 或 error。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Agent 做什么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识别研报中收入、利润、同比、估值、引用、因果陈述等待核查主张。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将主张拆成可验证任务，并在允许的工具集合中选择下一步。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材料缺失、期间不明确或证据不足时，输出无法核验或待人工复核。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将已经验证的结果组织为结构化核查报告和简明修改建议。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Agent 不做什么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不自行创造财务数字、来源、页码或证据。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不自行计算同比、环比、PE、PB、PS 或单位换算。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不自行决定事实是否成立，或绕过 Validator 输出结论。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不将预测、分析师观点和可验证历史事实混为一谈。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执行控制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采用单 Agent、受控工具调用和有限步数执行。建议每个任务最多 8 至 12 次工具调用，默认在本地材料和版本化快照中运行，不依赖互联网。模型负责任务理解与编排，确定性代码负责事实、计算、证据和最终放行。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五 系统架构与核心能力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7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能力层</w:t>
            </w:r>
          </w:p>
        </w:tc>
        <w:tc>
          <w:tcPr>
            <w:tcW w:type="dxa" w:w="459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4309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输出或控制点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材料登记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登记文件哈希、来源、材料类型与研究截止日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受控数据范围与可复现输入快照</w:t>
            </w:r>
          </w:p>
        </w:tc>
      </w:tr>
      <w:tr>
        <w:trPr>
          <w:cantSplit/>
        </w:trPr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文档解析</w:t>
            </w:r>
          </w:p>
        </w:tc>
        <w:tc>
          <w:tcPr>
            <w:tcW w:type="dxa" w:w="459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解析 PDF、复杂表格、扫描件与研报草稿</w:t>
            </w:r>
          </w:p>
        </w:tc>
        <w:tc>
          <w:tcPr>
            <w:tcW w:type="dxa" w:w="430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文本片段、表格位置与解析状态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金融事实处理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抽取收入、利润、现金流、股本等事实并统一单位、期间和口径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可比较的标准化金融事实</w:t>
            </w:r>
          </w:p>
        </w:tc>
      </w:tr>
      <w:tr>
        <w:trPr>
          <w:cantSplit/>
        </w:trPr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主张理解与任务规划</w:t>
            </w:r>
          </w:p>
        </w:tc>
        <w:tc>
          <w:tcPr>
            <w:tcW w:type="dxa" w:w="459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从研报原句中识别待核查主张，并组织受控工具调用</w:t>
            </w:r>
          </w:p>
        </w:tc>
        <w:tc>
          <w:tcPr>
            <w:tcW w:type="dxa" w:w="430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结构化核查任务与调用轨迹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确定性核验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完成数值比对、公式复算、估值核验和引用检查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错误类型、正确值、规则与严重等级</w:t>
            </w:r>
          </w:p>
        </w:tc>
      </w:tr>
      <w:tr>
        <w:trPr>
          <w:cantSplit/>
        </w:trPr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证据与报告</w:t>
            </w:r>
          </w:p>
        </w:tc>
        <w:tc>
          <w:tcPr>
            <w:tcW w:type="dxa" w:w="459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定位原文页码和证据编号，生成修改建议及结构化报告</w:t>
            </w:r>
          </w:p>
        </w:tc>
        <w:tc>
          <w:tcPr>
            <w:tcW w:type="dxa" w:w="430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可回跳证据、审计记录和导出文件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每条核查结果的必要字段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306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576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finding_id 与 check_type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唯一编号和错误类型，例如 unit_error 或 period_error</w:t>
            </w:r>
          </w:p>
        </w:tc>
      </w:tr>
      <w:tr>
        <w:trPr>
          <w:cantSplit/>
        </w:trPr>
        <w:tc>
          <w:tcPr>
            <w:tcW w:type="dxa" w:w="306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draft_claim 与 draft_location</w:t>
            </w:r>
          </w:p>
        </w:tc>
        <w:tc>
          <w:tcPr>
            <w:tcW w:type="dxa" w:w="6576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研报原句及其页码或段落位置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status 与 severity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确认错误 警告 无法核验 观点预测 核验通过及严重等级</w:t>
            </w:r>
          </w:p>
        </w:tc>
      </w:tr>
      <w:tr>
        <w:trPr>
          <w:cantSplit/>
        </w:trPr>
        <w:tc>
          <w:tcPr>
            <w:tcW w:type="dxa" w:w="306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expected_value</w:t>
            </w:r>
          </w:p>
        </w:tc>
        <w:tc>
          <w:tcPr>
            <w:tcW w:type="dxa" w:w="6576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正确数值 单位 期间和口径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原始材料 document_id 页码和 Evidence ID</w:t>
            </w:r>
          </w:p>
        </w:tc>
      </w:tr>
      <w:tr>
        <w:trPr>
          <w:cantSplit/>
        </w:trPr>
        <w:tc>
          <w:tcPr>
            <w:tcW w:type="dxa" w:w="306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calculation 与 suggestion</w:t>
            </w:r>
          </w:p>
        </w:tc>
        <w:tc>
          <w:tcPr>
            <w:tcW w:type="dxa" w:w="6576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公式、输入、程序化复算结果与可直接执行的修改建议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首批稳定覆盖的错误类型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初赛主展示优先覆盖八类：数值错误、单位错误、期间错误、统计口径错误、同比或环比计算错误、估值倍数复算错误、缺失或错误引用、错误页码或来源定位失败。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后续加分类型包括：过期引用、重述后仍使用旧值、因果断言证据不足、预测值与历史事实混淆、金融机构估值方法不适用。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六 产品界面与交付形态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5953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评委可见内容</w:t>
            </w:r>
          </w:p>
        </w:tc>
        <w:tc>
          <w:tcPr>
            <w:tcW w:type="dxa" w:w="187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主要目标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案例与材料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原始材料 草稿 文件哈希 数据版本 研究截止日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明确受控数据来源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智能核查</w:t>
            </w:r>
          </w:p>
        </w:tc>
        <w:tc>
          <w:tcPr>
            <w:tcW w:type="dxa" w:w="595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任务计划 工具调用 进度 成功或警告状态</w:t>
            </w:r>
          </w:p>
        </w:tc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证明系统是 Agent 而非普通 OCR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核查结果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错误类型 原句 正确值 原因 修改建议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形成业务交付物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证据与复算</w:t>
            </w:r>
          </w:p>
        </w:tc>
        <w:tc>
          <w:tcPr>
            <w:tcW w:type="dxa" w:w="595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页码 Evidence ID 规范化过程 公式</w:t>
            </w:r>
          </w:p>
        </w:tc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证明结论可回溯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审计轨迹与导出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文件访问 工具记录 计算记录 Prompt 版本 输出哈希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证明过程可复现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竞赛版应隐藏研究总览、每日复盘、市场行情、独立同行估值、任务中心、评测与消融及实验 Demo 页面。它们可以保留代码兼容性，但不应分散评委注意力。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七 技术可行性与工程实现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原型采用“模型理解 + 受控工具 + 确定性规则 + 证据留痕”的分层实现。该设计避免把大模型作为唯一事实来源，同时保留模型处理非结构化语言和多步骤任务的优势。核心处理在本地或半封闭环境运行，第三方模型仅在被允许的范围内用于主张抽取与任务编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7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工程层</w:t>
            </w:r>
          </w:p>
        </w:tc>
        <w:tc>
          <w:tcPr>
            <w:tcW w:type="dxa" w:w="442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实现重点</w:t>
            </w:r>
          </w:p>
        </w:tc>
        <w:tc>
          <w:tcPr>
            <w:tcW w:type="dxa" w:w="4479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竞赛价值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数据层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文档登记、文件哈希、解析结果缓存和版本化材料快照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保证输入可核验，避免同名文件或版本漂移</w:t>
            </w:r>
          </w:p>
        </w:tc>
      </w:tr>
      <w:tr>
        <w:trPr>
          <w:cantSplit/>
        </w:trPr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金融规则层</w:t>
            </w:r>
          </w:p>
        </w:tc>
        <w:tc>
          <w:tcPr>
            <w:tcW w:type="dxa" w:w="442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单位、期间、口径、同比环比、估值倍数和引用核验规则</w:t>
            </w:r>
          </w:p>
        </w:tc>
        <w:tc>
          <w:tcPr>
            <w:tcW w:type="dxa" w:w="447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保证结论可计算、可解释，不依赖模型猜测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Agent 编排层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受限工具清单、步数上限、状态机和失败处理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体现智能体的任务组织能力与执行审慎性</w:t>
            </w:r>
          </w:p>
        </w:tc>
      </w:tr>
      <w:tr>
        <w:trPr>
          <w:cantSplit/>
        </w:trPr>
        <w:tc>
          <w:tcPr>
            <w:tcW w:type="dxa" w:w="187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证据与审计层</w:t>
            </w:r>
          </w:p>
        </w:tc>
        <w:tc>
          <w:tcPr>
            <w:tcW w:type="dxa" w:w="442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原句、页码、证据编号、公式输入输出、Prompt 与运行日志</w:t>
            </w:r>
          </w:p>
        </w:tc>
        <w:tc>
          <w:tcPr>
            <w:tcW w:type="dxa" w:w="447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满足竞赛对可追溯、可复现的要求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交互展示层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材料、智能核查、核查结果、证据复算、审计导出五个视图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让评委在短时间内看见完整闭环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技术选型原则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模型可替换：通过统一接口接入国产或兼容模型，提交材料中明确模型名称、版本、调用方式和使用范围。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规则可验证：所有会影响数值、期间、单位、口径和估值结论的处理均由确定性代码执行。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依赖可复现：提供依赖文件、环境说明、示例数据与一键运行命令；不打包密钥、商业软件源代码或受版权限制材料。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八 评测设计与演示数据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准备一套完全离线的固定演示材料，并为每个案例人工维护金标预期结果。合成植入错误集只能说明合成测试表现，不得表述为真实研报准确率。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300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金标案例</w:t>
            </w:r>
          </w:p>
        </w:tc>
        <w:tc>
          <w:tcPr>
            <w:tcW w:type="dxa" w:w="6633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重点验证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正确研报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零误报 不为展示效果而乱报错</w:t>
            </w:r>
          </w:p>
        </w:tc>
      </w:tr>
      <w:tr>
        <w:trPr>
          <w:cantSplit/>
        </w:trPr>
        <w:tc>
          <w:tcPr>
            <w:tcW w:type="dxa" w:w="300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单位错误</w:t>
            </w:r>
          </w:p>
        </w:tc>
        <w:tc>
          <w:tcPr>
            <w:tcW w:type="dxa" w:w="663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元 万元 亿元的换算与正确修改建议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期间错误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年报 半年报 单季 TTM 混用识别</w:t>
            </w:r>
          </w:p>
        </w:tc>
      </w:tr>
      <w:tr>
        <w:trPr>
          <w:cantSplit/>
        </w:trPr>
        <w:tc>
          <w:tcPr>
            <w:tcW w:type="dxa" w:w="300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口径错误</w:t>
            </w:r>
          </w:p>
        </w:tc>
        <w:tc>
          <w:tcPr>
            <w:tcW w:type="dxa" w:w="663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合并 母公司 归母 扣非等统计口径识别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计算错误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同比 环比或 PE PB 等程序化复算</w:t>
            </w:r>
          </w:p>
        </w:tc>
      </w:tr>
      <w:tr>
        <w:trPr>
          <w:cantSplit/>
        </w:trPr>
        <w:tc>
          <w:tcPr>
            <w:tcW w:type="dxa" w:w="300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引用错误或数据过期</w:t>
            </w:r>
          </w:p>
        </w:tc>
        <w:tc>
          <w:tcPr>
            <w:tcW w:type="dxa" w:w="663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来源 页码 重述和无法核验状态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评测原则与指标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评测分为“系统能力评测”和“现场演示验证”两层。系统能力评测使用人工标注的固定案例，评估模型是否完整提取待核查主张，以及确定性校验器是否正确识别错误、控制误报并给出可追溯证据。现场演示验证强调一次真实流程的稳定运行、证据可回跳和失败状态可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19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核验方式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主张提取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可核查主张覆盖率、无效主张率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与人工金标逐项比对，单列无法解析内容</w:t>
            </w:r>
          </w:p>
        </w:tc>
      </w:tr>
      <w:tr>
        <w:trPr>
          <w:cantSplit/>
        </w:trPr>
        <w:tc>
          <w:tcPr>
            <w:tcW w:type="dxa" w:w="170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错误识别</w:t>
            </w:r>
          </w:p>
        </w:tc>
        <w:tc>
          <w:tcPr>
            <w:tcW w:type="dxa" w:w="374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错误召回率、错误精确率、误报数</w:t>
            </w:r>
          </w:p>
        </w:tc>
        <w:tc>
          <w:tcPr>
            <w:tcW w:type="dxa" w:w="419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按错误类型统计，不将警告混入确认错误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数值与计算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数值一致率、单位和期间换算正确率、公式复算正确率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由程序和人工抽检双重确认</w:t>
            </w:r>
          </w:p>
        </w:tc>
      </w:tr>
      <w:tr>
        <w:trPr>
          <w:cantSplit/>
        </w:trPr>
        <w:tc>
          <w:tcPr>
            <w:tcW w:type="dxa" w:w="170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证据可追溯</w:t>
            </w:r>
          </w:p>
        </w:tc>
        <w:tc>
          <w:tcPr>
            <w:tcW w:type="dxa" w:w="374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证据定位成功率、页码或 Evidence ID 完整率</w:t>
            </w:r>
          </w:p>
        </w:tc>
        <w:tc>
          <w:tcPr>
            <w:tcW w:type="dxa" w:w="419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随机抽取结果回跳至原始材料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运行稳定性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离线复跑成功率、失败状态显式率、日志完整率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在同一版本数据和依赖下重复运行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金标构建与边界控制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每个案例由团队成员先对照原始财务材料建立人工金标，再由另一名成员复核错误类别、正确值、期间、单位和证据位置。对于预测、主观判断、产业观点等不可由原始材料直接验证的表述，金标不强行标记为“错误”，而是标记为“观点”“预测”或“需补充依据”。这保证评测只评价系统承诺解决的问题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九 已完成的受控运行案例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已完成一条受控端到端核查：以本地 2024 年年报作为参考材料，以自建含错研究草稿为待核查对象；DeepSeek 模型仅承担逐句 Claim 提取，数值比对、单位与期间换算、引用核验、错误判定和证据定位均由本地确定性模块完成。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43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运行维度</w:t>
            </w:r>
          </w:p>
        </w:tc>
        <w:tc>
          <w:tcPr>
            <w:tcW w:type="dxa" w:w="7200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模型调用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DeepSeek V4.1 Flash，提取阶段按 6 句一批运行</w:t>
            </w:r>
          </w:p>
        </w:tc>
      </w:tr>
      <w:tr>
        <w:trPr>
          <w:cantSplit/>
        </w:trPr>
        <w:tc>
          <w:tcPr>
            <w:tcW w:type="dxa" w:w="243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提取覆盖</w:t>
            </w:r>
          </w:p>
        </w:tc>
        <w:tc>
          <w:tcPr>
            <w:tcW w:type="dxa" w:w="720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条 Claim，未提取 0；7 句为标题或非数值叙述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核查输出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8 项错误、9 项风险提示；保留原句、错误类型、建议与证据索引</w:t>
            </w:r>
          </w:p>
        </w:tc>
      </w:tr>
      <w:tr>
        <w:trPr>
          <w:cantSplit/>
        </w:trPr>
        <w:tc>
          <w:tcPr>
            <w:tcW w:type="dxa" w:w="243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代表性问题</w:t>
            </w:r>
          </w:p>
        </w:tc>
        <w:tc>
          <w:tcPr>
            <w:tcW w:type="dxa" w:w="720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收入数值、利润单位、同比、口径、估值、引用、研发费用期间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可复现性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JSON 记录模型与覆盖状态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该案例用于证明系统的端到端可运行性与结果可追溯性，不将单个受控案例表述为通用模型准确率。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案例的可复现条件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92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7710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输入材料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以文件哈希、材料类型、研究截止日登记；现场使用可授权的样例材料</w:t>
            </w:r>
          </w:p>
        </w:tc>
      </w:tr>
      <w:tr>
        <w:trPr>
          <w:cantSplit/>
        </w:trPr>
        <w:tc>
          <w:tcPr>
            <w:tcW w:type="dxa" w:w="19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模型角色</w:t>
            </w:r>
          </w:p>
        </w:tc>
        <w:tc>
          <w:tcPr>
            <w:tcW w:type="dxa" w:w="771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模型名称、调用范围和批处理参数写入运行记录；模型不直接产出最终错误结论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确定性规则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单位、期间、口径、计算和引用核验由本地代码执行，并保留规则版本</w:t>
            </w:r>
          </w:p>
        </w:tc>
      </w:tr>
      <w:tr>
        <w:trPr>
          <w:cantSplit/>
        </w:trPr>
        <w:tc>
          <w:tcPr>
            <w:tcW w:type="dxa" w:w="19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输出结果</w:t>
            </w:r>
          </w:p>
        </w:tc>
        <w:tc>
          <w:tcPr>
            <w:tcW w:type="dxa" w:w="771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JSON 同时记录结果状态、主张覆盖、错误分类、证据索引和运行时间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现场演示将提供一份“正确草稿”和一份“含错草稿”。前者用于展示误报控制，后者用于展示从主张提取、工具调用到错误回溯的完整闭环；两者均不依赖实时行情或外部网络。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 实施计划与里程碑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340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阶段交付物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范围冻结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明确核查对象、错误类型、数据边界与不纳入范围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范围说明、材料准入清单与人工金标规则</w:t>
            </w:r>
          </w:p>
        </w:tc>
      </w:tr>
      <w:tr>
        <w:trPr>
          <w:cantSplit/>
        </w:trPr>
        <w:tc>
          <w:tcPr>
            <w:tcW w:type="dxa" w:w="170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主流程固化</w:t>
            </w:r>
          </w:p>
        </w:tc>
        <w:tc>
          <w:tcPr>
            <w:tcW w:type="dxa" w:w="453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固定从材料登记、主张提取、工具调用到核查报告的端到端流程</w:t>
            </w:r>
          </w:p>
        </w:tc>
        <w:tc>
          <w:tcPr>
            <w:tcW w:type="dxa" w:w="340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一套可重复运行案例、工具轨迹与结构化核查报告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界面与证据完善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完成原句、页码、计算过程和证据索引的联动展示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五页竞赛工作台与可回跳证据链</w:t>
            </w:r>
          </w:p>
        </w:tc>
      </w:tr>
      <w:tr>
        <w:trPr>
          <w:cantSplit/>
        </w:trPr>
        <w:tc>
          <w:tcPr>
            <w:tcW w:type="dxa" w:w="170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评测与演示</w:t>
            </w:r>
          </w:p>
        </w:tc>
        <w:tc>
          <w:tcPr>
            <w:tcW w:type="dxa" w:w="453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执行离线测试、核验金标结果、准备正确和含错两类草稿</w:t>
            </w:r>
          </w:p>
        </w:tc>
        <w:tc>
          <w:tcPr>
            <w:tcW w:type="dxa" w:w="340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测试记录、演示脚本和现场样例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材料交付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整理源码、依赖、运行说明、第三方清单与项目材料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可复现提交包与答辩备份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预期成果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成果</w:t>
            </w:r>
          </w:p>
        </w:tc>
        <w:tc>
          <w:tcPr>
            <w:tcW w:type="dxa" w:w="340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4309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评审价值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智能核查系统原型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Web 工作台或命令行流程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可现场处理样例并展示 Agent 编排</w:t>
            </w:r>
          </w:p>
        </w:tc>
      </w:tr>
      <w:tr>
        <w:trPr>
          <w:cantSplit/>
        </w:trPr>
        <w:tc>
          <w:tcPr>
            <w:tcW w:type="dxa" w:w="19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结构化核查报告</w:t>
            </w:r>
          </w:p>
        </w:tc>
        <w:tc>
          <w:tcPr>
            <w:tcW w:type="dxa" w:w="340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JSON 与可读报告</w:t>
            </w:r>
          </w:p>
        </w:tc>
        <w:tc>
          <w:tcPr>
            <w:tcW w:type="dxa" w:w="430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可扫描错误、建议与证据，便于人工复核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金标案例集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固定草稿、可授权材料、预期结果和测试脚本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可复跑、可验证，不依赖临场网络</w:t>
            </w:r>
          </w:p>
        </w:tc>
      </w:tr>
      <w:tr>
        <w:trPr>
          <w:cantSplit/>
        </w:trPr>
        <w:tc>
          <w:tcPr>
            <w:tcW w:type="dxa" w:w="192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完整源码与说明</w:t>
            </w:r>
          </w:p>
        </w:tc>
        <w:tc>
          <w:tcPr>
            <w:tcW w:type="dxa" w:w="340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任务编排、工具、Prompt、依赖和运行手册</w:t>
            </w:r>
          </w:p>
        </w:tc>
        <w:tc>
          <w:tcPr>
            <w:tcW w:type="dxa" w:w="4309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满足复现、开源依赖披露与答辩追问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初赛阶段验收目标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以下目标用于团队自检，不将其表述为未经验证的真实市场效果或通用模型准确率。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459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323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留存证据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主线覆盖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稳定处理数值、单位、期间、口径、计算、估值和引用七类核心核查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金标案例、分类结果与测试记录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结论完整性</w:t>
            </w:r>
          </w:p>
        </w:tc>
        <w:tc>
          <w:tcPr>
            <w:tcW w:type="dxa" w:w="459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每条确认错误均具备原句、来源定位、规则或公式、修改建议和状态</w:t>
            </w:r>
          </w:p>
        </w:tc>
        <w:tc>
          <w:tcPr>
            <w:tcW w:type="dxa" w:w="323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结构化 JSON 与可读核查报告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复现能力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在固定材料、依赖与配置下重复运行，核心错误分类和证据定位保持一致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运行日志、输入哈希与输出摘要</w:t>
            </w:r>
          </w:p>
        </w:tc>
      </w:tr>
      <w:tr>
        <w:trPr>
          <w:cantSplit/>
        </w:trPr>
        <w:tc>
          <w:tcPr>
            <w:tcW w:type="dxa" w:w="181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审慎边界</w:t>
            </w:r>
          </w:p>
        </w:tc>
        <w:tc>
          <w:tcPr>
            <w:tcW w:type="dxa" w:w="459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材料缺失、口径冲突或证据不足时不输出确认错误结论</w:t>
            </w:r>
          </w:p>
        </w:tc>
        <w:tc>
          <w:tcPr>
            <w:tcW w:type="dxa" w:w="323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blocked、partial 与人工复核样例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交付完整性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源码、依赖、运行说明、样例、第三方清单和展示脚本齐备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提交包目录与现场演示清单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风险控制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38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38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876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表格或扫描件解析不稳定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事实提取不完整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建立材料准入检查；解析失败转人工复核，不静默给出结论</w:t>
            </w:r>
          </w:p>
        </w:tc>
      </w:tr>
      <w:tr>
        <w:trPr>
          <w:cantSplit/>
        </w:trPr>
        <w:tc>
          <w:tcPr>
            <w:tcW w:type="dxa" w:w="238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模型调用超时或输出不合规</w:t>
            </w:r>
          </w:p>
        </w:tc>
        <w:tc>
          <w:tcPr>
            <w:tcW w:type="dxa" w:w="238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主张提取中断</w:t>
            </w:r>
          </w:p>
        </w:tc>
        <w:tc>
          <w:tcPr>
            <w:tcW w:type="dxa" w:w="4876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限制批量与重试次数；记录 partial；准备离线金标演示路径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跨期跨口径数据误配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产生伪错误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事实对象强制绑定期间、单位、币种和口径；校验前拒绝混用</w:t>
            </w:r>
          </w:p>
        </w:tc>
      </w:tr>
      <w:tr>
        <w:trPr>
          <w:cantSplit/>
        </w:trPr>
        <w:tc>
          <w:tcPr>
            <w:tcW w:type="dxa" w:w="238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第三方与数据合规</w:t>
            </w:r>
          </w:p>
        </w:tc>
        <w:tc>
          <w:tcPr>
            <w:tcW w:type="dxa" w:w="238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无法提交或展示</w:t>
            </w:r>
          </w:p>
        </w:tc>
        <w:tc>
          <w:tcPr>
            <w:tcW w:type="dxa" w:w="4876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提交前生成第三方清单；不打包密钥、受版权限制材料或模型权重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4 应用价值与后续拓展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在研究团队、券商研究所、资管投研和企业董办等场景中，系统可以作为“研究发布前的第二道核查工序”。它不替代研究员的观点判断，而是把反复发生的事实核对、公式复算和引用追踪沉淀为可审计流程，从而缩短复核时间并降低低级错误对研究质量的影响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在初赛主线稳定后，系统可扩展至公告结构化提取、财报异常信号识别、估值敏感性检查和研究报告质量评估。但任何扩展均沿用同一原则：模型负责理解与组织，金融事实、计算与结论必须能够回到来源和规则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十一 团队分工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665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6973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Agent 与后端负责人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任务编排 工具契约 API 运行日志</w:t>
            </w:r>
          </w:p>
        </w:tc>
      </w:tr>
      <w:tr>
        <w:trPr>
          <w:cantSplit/>
        </w:trPr>
        <w:tc>
          <w:tcPr>
            <w:tcW w:type="dxa" w:w="266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金融规则负责人</w:t>
            </w:r>
          </w:p>
        </w:tc>
        <w:tc>
          <w:tcPr>
            <w:tcW w:type="dxa" w:w="697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指标口径 错误规则 修改建议与适用边界</w:t>
            </w:r>
          </w:p>
        </w:tc>
      </w:tr>
      <w:tr>
        <w:trPr>
          <w:cantSplit/>
        </w:trP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文档智能负责人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表格解析 主张提取 原文定位</w:t>
            </w:r>
          </w:p>
        </w:tc>
      </w:tr>
      <w:tr>
        <w:trPr>
          <w:cantSplit/>
        </w:trPr>
        <w:tc>
          <w:tcPr>
            <w:tcW w:type="dxa" w:w="2665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前端与演示负责人</w:t>
            </w:r>
          </w:p>
        </w:tc>
        <w:tc>
          <w:tcPr>
            <w:tcW w:type="dxa" w:w="6973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五页工作台 结果可视化与答辩</w:t>
            </w:r>
          </w:p>
        </w:tc>
      </w:tr>
      <w:tr>
        <w:trPr>
          <w:cantSplit/>
        </w:trP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测试与材料负责人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金标案例 离线测试 计划书 第三方清单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十二 现场展示与答辩要点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展示环节</w:t>
            </w:r>
          </w:p>
        </w:tc>
        <w:tc>
          <w:tcPr>
            <w:tcW w:type="dxa" w:w="7370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评委应看到的证据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材料登记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输入文件类型、哈希、研究截止日与受控数据范围</w:t>
            </w:r>
          </w:p>
        </w:tc>
      </w:tr>
      <w:tr>
        <w:trPr>
          <w:cantSplit/>
        </w:trPr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主张提取</w:t>
            </w:r>
          </w:p>
        </w:tc>
        <w:tc>
          <w:tcPr>
            <w:tcW w:type="dxa" w:w="737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模型输出的逐字原句与结构化字段，而非模型直接给出财务结论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错误核查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数值、单位、期间、口径、计算、估值与引用的分类结果</w:t>
            </w:r>
          </w:p>
        </w:tc>
      </w:tr>
      <w:tr>
        <w:trPr>
          <w:cantSplit/>
        </w:trPr>
        <w:tc>
          <w:tcPr>
            <w:tcW w:type="dxa" w:w="2268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证据回溯</w:t>
            </w:r>
          </w:p>
        </w:tc>
        <w:tc>
          <w:tcPr>
            <w:tcW w:type="dxa" w:w="7370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一条错误对应的原始年报页、事实记录与程序化公式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失败可见性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材料缺失、模型超时或证据不足时显示 blocked 或 partial，而不是显示核验通过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十三 提交前验收清单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从自然语言研报草稿中提取可核查主张，并保留逐字原句与页码。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使用至少一个大语言模型作为 Agent 的任务理解和工具编排引擎。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稳定覆盖数值、单位、期间、口径、计算、估值和引用等核心核查。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每条确认错误均能定位研报原句和原始财务材料。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每条数值类错误均能展示程序化计算过程和输入证据。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证据不足时输出无法核验或待人工复核，而不是编造结论。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在本地封闭或半封闭环境中完整运行；默认测试离线运行，不依赖网络、密钥、缓存或实时行情。</w:t>
      </w:r>
    </w:p>
    <w:p>
      <w:pPr>
        <w:pStyle w:val="ListBullet"/>
        <w:spacing w:after="0" w:line="240" w:lineRule="auto"/>
      </w:pPr>
      <w:r>
        <w:rPr>
          <w:rFonts w:ascii="Aptos" w:hAnsi="Aptos" w:eastAsia="Microsoft YaHei"/>
          <w:b w:val="0"/>
          <w:sz w:val="19"/>
        </w:rPr>
        <w:t>□ 不将合成演示数据或模型叙述表述为真实金融事实或真实模型效果；提交包不含密钥、.env 或受版权限制原始材料。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十四 可复现提交包目录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建议以以下结构整理最终提交包，使评审人员无需依赖团队成员口头说明即可完成环境准备、样例复跑与结果核查。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84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目录或文件</w:t>
            </w:r>
          </w:p>
        </w:tc>
        <w:tc>
          <w:tcPr>
            <w:tcW w:type="dxa" w:w="4932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应包含内容</w:t>
            </w:r>
          </w:p>
        </w:tc>
        <w:tc>
          <w:tcPr>
            <w:tcW w:type="dxa" w:w="2721"/>
            <w:shd w:fill="3F464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评审用途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README 与运行说明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环境要求、安装步骤、启动命令、无密钥配置示例与常见失败处理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独立复现核心流程并降低配置成本</w:t>
            </w:r>
          </w:p>
        </w:tc>
      </w:tr>
      <w:tr>
        <w:trPr>
          <w:cantSplit/>
        </w:trPr>
        <w:tc>
          <w:tcPr>
            <w:tcW w:type="dxa" w:w="198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src 与任务编排</w:t>
            </w:r>
          </w:p>
        </w:tc>
        <w:tc>
          <w:tcPr>
            <w:tcW w:type="dxa" w:w="493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Agent 编排、工具调用、金融规则、数据处理与日志模块</w:t>
            </w:r>
          </w:p>
        </w:tc>
        <w:tc>
          <w:tcPr>
            <w:tcW w:type="dxa" w:w="272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核查自主开发范围与工程实现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examples 与金标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可授权样例材料、正确与含错草稿、预期结果和测试脚本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离线复跑并核验误报控制</w:t>
            </w:r>
          </w:p>
        </w:tc>
      </w:tr>
      <w:tr>
        <w:trPr>
          <w:cantSplit/>
        </w:trPr>
        <w:tc>
          <w:tcPr>
            <w:tcW w:type="dxa" w:w="1984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output 示例</w:t>
            </w:r>
          </w:p>
        </w:tc>
        <w:tc>
          <w:tcPr>
            <w:tcW w:type="dxa" w:w="4932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结构化核查结果、可读报告、审计轨迹与证据索引</w:t>
            </w:r>
          </w:p>
        </w:tc>
        <w:tc>
          <w:tcPr>
            <w:tcW w:type="dxa" w:w="2721"/>
            <w:shd w:fill="F2F0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快速理解最终业务交付物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依赖与第三方清单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依赖版本、模型名称与调用范围、开源项目来源及许可证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核查环境一致性与合规性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7736D"/>
        <w:sz w:val="16"/>
      </w:rPr>
      <w:t>FinTrace-CN 竞赛实施计划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