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1A0B3" w14:textId="3F428C4B" w:rsidR="001A7BA6" w:rsidRDefault="00861ABA" w:rsidP="001A7BA6">
      <w:pPr>
        <w:jc w:val="center"/>
        <w:rPr>
          <w:rFonts w:ascii="Arial" w:hAnsi="Arial" w:cs="Arial"/>
          <w:sz w:val="28"/>
          <w:szCs w:val="28"/>
        </w:rPr>
      </w:pPr>
      <w:r w:rsidRPr="00861ABA">
        <w:rPr>
          <w:rFonts w:ascii="Arial" w:hAnsi="Arial" w:cs="Arial"/>
          <w:sz w:val="28"/>
          <w:szCs w:val="28"/>
        </w:rPr>
        <w:t>Additional file 1</w:t>
      </w:r>
      <w:r>
        <w:rPr>
          <w:rFonts w:ascii="Arial" w:hAnsi="Arial" w:cs="Arial"/>
          <w:sz w:val="28"/>
          <w:szCs w:val="28"/>
        </w:rPr>
        <w:t xml:space="preserve">: </w:t>
      </w:r>
      <w:r w:rsidR="001A7BA6" w:rsidRPr="001A7BA6">
        <w:rPr>
          <w:rFonts w:ascii="Arial" w:hAnsi="Arial" w:cs="Arial"/>
          <w:sz w:val="28"/>
          <w:szCs w:val="28"/>
        </w:rPr>
        <w:t xml:space="preserve">Supplementary </w:t>
      </w:r>
      <w:r w:rsidR="00A65D7C">
        <w:rPr>
          <w:rFonts w:ascii="Arial" w:hAnsi="Arial" w:cs="Arial"/>
          <w:sz w:val="28"/>
          <w:szCs w:val="28"/>
        </w:rPr>
        <w:t>Figures</w:t>
      </w:r>
    </w:p>
    <w:p w14:paraId="0B822E94" w14:textId="1C9B42D4" w:rsidR="009410B1" w:rsidRDefault="009410B1" w:rsidP="009410B1">
      <w:pPr>
        <w:rPr>
          <w:rFonts w:ascii="Arial" w:hAnsi="Arial" w:cs="Arial"/>
          <w:sz w:val="28"/>
          <w:szCs w:val="28"/>
        </w:rPr>
      </w:pPr>
      <w:r w:rsidRPr="009410B1">
        <w:rPr>
          <w:rFonts w:ascii="Arial" w:hAnsi="Arial" w:cs="Arial"/>
          <w:sz w:val="28"/>
          <w:szCs w:val="28"/>
        </w:rPr>
        <w:t>Table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480"/>
        <w:gridCol w:w="1075"/>
      </w:tblGrid>
      <w:tr w:rsidR="009410B1" w:rsidRPr="000052B1" w14:paraId="0323C507" w14:textId="77777777" w:rsidTr="00B046B2">
        <w:tc>
          <w:tcPr>
            <w:tcW w:w="1795" w:type="dxa"/>
            <w:vAlign w:val="center"/>
          </w:tcPr>
          <w:p w14:paraId="014DB936" w14:textId="135A1C50" w:rsidR="009410B1" w:rsidRPr="000052B1" w:rsidRDefault="0087541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Supplement</w:t>
            </w:r>
          </w:p>
        </w:tc>
        <w:tc>
          <w:tcPr>
            <w:tcW w:w="6480" w:type="dxa"/>
            <w:vAlign w:val="center"/>
          </w:tcPr>
          <w:p w14:paraId="1DC6EE6A" w14:textId="588A42DA" w:rsidR="009410B1" w:rsidRPr="000052B1" w:rsidRDefault="0087541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Title</w:t>
            </w:r>
          </w:p>
        </w:tc>
        <w:tc>
          <w:tcPr>
            <w:tcW w:w="1075" w:type="dxa"/>
            <w:vAlign w:val="center"/>
          </w:tcPr>
          <w:p w14:paraId="73B508E9" w14:textId="2F469A14" w:rsidR="009410B1" w:rsidRPr="000052B1" w:rsidRDefault="0087541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page</w:t>
            </w:r>
          </w:p>
        </w:tc>
      </w:tr>
      <w:tr w:rsidR="009410B1" w:rsidRPr="000052B1" w14:paraId="31C7A319" w14:textId="77777777" w:rsidTr="00B046B2">
        <w:tc>
          <w:tcPr>
            <w:tcW w:w="1795" w:type="dxa"/>
            <w:vAlign w:val="center"/>
          </w:tcPr>
          <w:p w14:paraId="214D092C" w14:textId="4F6E9D9F" w:rsidR="009410B1" w:rsidRPr="000052B1" w:rsidRDefault="00FB61C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Figure S1</w:t>
            </w:r>
          </w:p>
        </w:tc>
        <w:tc>
          <w:tcPr>
            <w:tcW w:w="6480" w:type="dxa"/>
            <w:vAlign w:val="center"/>
          </w:tcPr>
          <w:p w14:paraId="2365A3F2" w14:textId="79F836D5" w:rsidR="009410B1" w:rsidRPr="000052B1" w:rsidRDefault="0027683F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ROC Curve and MGUS Time-to-progression Curves based on GEP70</w:t>
            </w:r>
          </w:p>
        </w:tc>
        <w:tc>
          <w:tcPr>
            <w:tcW w:w="1075" w:type="dxa"/>
            <w:vAlign w:val="center"/>
          </w:tcPr>
          <w:p w14:paraId="0D4F2EEB" w14:textId="151714AF" w:rsidR="009410B1" w:rsidRPr="000052B1" w:rsidRDefault="00A65D7C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9410B1" w:rsidRPr="000052B1" w14:paraId="3C7F2C14" w14:textId="77777777" w:rsidTr="00B046B2">
        <w:tc>
          <w:tcPr>
            <w:tcW w:w="1795" w:type="dxa"/>
            <w:vAlign w:val="center"/>
          </w:tcPr>
          <w:p w14:paraId="52C8B2A0" w14:textId="33A2EDEC" w:rsidR="009410B1" w:rsidRPr="000052B1" w:rsidRDefault="00FB61C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Figure S2</w:t>
            </w:r>
          </w:p>
        </w:tc>
        <w:tc>
          <w:tcPr>
            <w:tcW w:w="6480" w:type="dxa"/>
            <w:vAlign w:val="center"/>
          </w:tcPr>
          <w:p w14:paraId="787974F8" w14:textId="28FEF15B" w:rsidR="009410B1" w:rsidRPr="000052B1" w:rsidRDefault="000052B1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The heatmap of the GS36 genes expression profiles</w:t>
            </w:r>
          </w:p>
        </w:tc>
        <w:tc>
          <w:tcPr>
            <w:tcW w:w="1075" w:type="dxa"/>
            <w:vAlign w:val="center"/>
          </w:tcPr>
          <w:p w14:paraId="66894DEB" w14:textId="42E7C10B" w:rsidR="009410B1" w:rsidRPr="000052B1" w:rsidRDefault="00A65D7C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  <w:tr w:rsidR="009410B1" w:rsidRPr="000052B1" w14:paraId="4D18D0E4" w14:textId="77777777" w:rsidTr="00B046B2">
        <w:tc>
          <w:tcPr>
            <w:tcW w:w="1795" w:type="dxa"/>
            <w:vAlign w:val="center"/>
          </w:tcPr>
          <w:p w14:paraId="39A0C50B" w14:textId="47FB6880" w:rsidR="009410B1" w:rsidRPr="000052B1" w:rsidRDefault="00FB61C6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Figure S3</w:t>
            </w:r>
          </w:p>
        </w:tc>
        <w:tc>
          <w:tcPr>
            <w:tcW w:w="6480" w:type="dxa"/>
            <w:vAlign w:val="center"/>
          </w:tcPr>
          <w:p w14:paraId="67B4073E" w14:textId="027190B8" w:rsidR="009410B1" w:rsidRPr="000052B1" w:rsidRDefault="00911563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911563">
              <w:rPr>
                <w:rFonts w:ascii="Arial" w:hAnsi="Arial" w:cs="Arial"/>
                <w:sz w:val="20"/>
                <w:szCs w:val="20"/>
              </w:rPr>
              <w:t>External validation using an independent datasets SWOG-S0120</w:t>
            </w:r>
          </w:p>
        </w:tc>
        <w:tc>
          <w:tcPr>
            <w:tcW w:w="1075" w:type="dxa"/>
            <w:vAlign w:val="center"/>
          </w:tcPr>
          <w:p w14:paraId="0086C3F9" w14:textId="36AA7052" w:rsidR="009410B1" w:rsidRPr="000052B1" w:rsidRDefault="00A65D7C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27683F" w:rsidRPr="000052B1" w14:paraId="157AE673" w14:textId="77777777" w:rsidTr="00B046B2">
        <w:tc>
          <w:tcPr>
            <w:tcW w:w="1795" w:type="dxa"/>
            <w:vAlign w:val="center"/>
          </w:tcPr>
          <w:p w14:paraId="0A38CD82" w14:textId="7BAB1171" w:rsidR="0027683F" w:rsidRPr="000052B1" w:rsidRDefault="0027683F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Figure S4</w:t>
            </w:r>
          </w:p>
        </w:tc>
        <w:tc>
          <w:tcPr>
            <w:tcW w:w="6480" w:type="dxa"/>
            <w:vAlign w:val="center"/>
          </w:tcPr>
          <w:p w14:paraId="4030BB69" w14:textId="5F6FDD25" w:rsidR="0027683F" w:rsidRPr="000052B1" w:rsidRDefault="000052B1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 w:rsidRPr="000052B1">
              <w:rPr>
                <w:rFonts w:ascii="Arial" w:hAnsi="Arial" w:cs="Arial"/>
                <w:sz w:val="20"/>
                <w:szCs w:val="20"/>
              </w:rPr>
              <w:t>MGUS Time-To-Progression Comparison on Mayo Risk Model and Memorial Sloan Kettering Cancer Center (MSK) Risk Model</w:t>
            </w:r>
          </w:p>
        </w:tc>
        <w:tc>
          <w:tcPr>
            <w:tcW w:w="1075" w:type="dxa"/>
            <w:vAlign w:val="center"/>
          </w:tcPr>
          <w:p w14:paraId="2892740D" w14:textId="7D7C4A5B" w:rsidR="0027683F" w:rsidRPr="000052B1" w:rsidRDefault="00A65D7C" w:rsidP="00FB61C6">
            <w:pPr>
              <w:spacing w:line="48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</w:tbl>
    <w:p w14:paraId="0B5F8274" w14:textId="611BE205" w:rsidR="00FB61C6" w:rsidRPr="007C4A5A" w:rsidRDefault="00FB61C6" w:rsidP="009410B1">
      <w:pPr>
        <w:rPr>
          <w:rFonts w:ascii="Arial" w:hAnsi="Arial" w:cs="Arial"/>
          <w:b/>
          <w:bCs/>
          <w:sz w:val="28"/>
          <w:szCs w:val="28"/>
        </w:rPr>
      </w:pPr>
    </w:p>
    <w:p w14:paraId="05BAC1E5" w14:textId="77777777" w:rsidR="00FB61C6" w:rsidRPr="007C4A5A" w:rsidRDefault="00FB61C6">
      <w:pPr>
        <w:rPr>
          <w:rFonts w:ascii="Arial" w:hAnsi="Arial" w:cs="Arial"/>
          <w:b/>
          <w:bCs/>
          <w:sz w:val="28"/>
          <w:szCs w:val="28"/>
        </w:rPr>
      </w:pPr>
      <w:r w:rsidRPr="007C4A5A">
        <w:rPr>
          <w:rFonts w:ascii="Arial" w:hAnsi="Arial" w:cs="Arial"/>
          <w:b/>
          <w:bCs/>
          <w:sz w:val="28"/>
          <w:szCs w:val="28"/>
        </w:rPr>
        <w:br w:type="page"/>
      </w:r>
    </w:p>
    <w:p w14:paraId="1AFF84E9" w14:textId="109DE700" w:rsidR="00E91409" w:rsidRPr="00162CD4" w:rsidRDefault="00E91409" w:rsidP="00E91409">
      <w:pPr>
        <w:rPr>
          <w:rFonts w:ascii="Arial" w:hAnsi="Arial" w:cs="Arial"/>
          <w:b/>
          <w:bCs/>
        </w:rPr>
      </w:pPr>
      <w:r w:rsidRPr="0018080D">
        <w:rPr>
          <w:rFonts w:ascii="Arial" w:hAnsi="Arial" w:cs="Arial"/>
          <w:b/>
          <w:bCs/>
        </w:rPr>
        <w:lastRenderedPageBreak/>
        <w:t>Figure S</w:t>
      </w:r>
      <w:r>
        <w:rPr>
          <w:rFonts w:ascii="Arial" w:hAnsi="Arial" w:cs="Arial"/>
          <w:b/>
          <w:bCs/>
        </w:rPr>
        <w:t xml:space="preserve">1. </w:t>
      </w:r>
      <w:r w:rsidRPr="00162CD4">
        <w:rPr>
          <w:rFonts w:ascii="Arial" w:hAnsi="Arial" w:cs="Arial"/>
          <w:b/>
          <w:bCs/>
        </w:rPr>
        <w:t xml:space="preserve">MGUS Time-to-progression Curves </w:t>
      </w:r>
      <w:r>
        <w:rPr>
          <w:rFonts w:ascii="Arial" w:hAnsi="Arial" w:cs="Arial"/>
          <w:b/>
          <w:bCs/>
        </w:rPr>
        <w:t>based on</w:t>
      </w:r>
      <w:r w:rsidRPr="00162CD4">
        <w:rPr>
          <w:rFonts w:ascii="Arial" w:hAnsi="Arial" w:cs="Arial"/>
          <w:b/>
          <w:bCs/>
        </w:rPr>
        <w:t xml:space="preserve"> G</w:t>
      </w:r>
      <w:r>
        <w:rPr>
          <w:rFonts w:ascii="Arial" w:hAnsi="Arial" w:cs="Arial"/>
          <w:b/>
          <w:bCs/>
        </w:rPr>
        <w:t>EP70</w:t>
      </w:r>
      <w:r w:rsidRPr="00162CD4">
        <w:rPr>
          <w:rFonts w:ascii="Arial" w:hAnsi="Arial" w:cs="Arial"/>
          <w:b/>
          <w:bCs/>
        </w:rPr>
        <w:t xml:space="preserve">. </w:t>
      </w:r>
      <w:r w:rsidR="000376C3" w:rsidRPr="000376C3">
        <w:rPr>
          <w:rFonts w:ascii="Arial" w:hAnsi="Arial" w:cs="Arial"/>
        </w:rPr>
        <w:t>(</w:t>
      </w:r>
      <w:r w:rsidRPr="00162CD4">
        <w:rPr>
          <w:rFonts w:ascii="Arial" w:hAnsi="Arial" w:cs="Arial"/>
        </w:rPr>
        <w:t>A</w:t>
      </w:r>
      <w:r w:rsidR="000376C3">
        <w:rPr>
          <w:rFonts w:ascii="Arial" w:hAnsi="Arial" w:cs="Arial"/>
        </w:rPr>
        <w:t>)</w:t>
      </w:r>
      <w:r w:rsidRPr="00162CD4">
        <w:rPr>
          <w:rFonts w:ascii="Arial" w:hAnsi="Arial" w:cs="Arial"/>
        </w:rPr>
        <w:t xml:space="preserve">. Receiver operating characteristic curve (ROC) based on </w:t>
      </w:r>
      <w:r>
        <w:rPr>
          <w:rFonts w:ascii="Arial" w:hAnsi="Arial" w:cs="Arial"/>
        </w:rPr>
        <w:t>GEP70</w:t>
      </w:r>
      <w:r w:rsidRPr="00162CD4">
        <w:rPr>
          <w:rFonts w:ascii="Arial" w:hAnsi="Arial" w:cs="Arial"/>
        </w:rPr>
        <w:t xml:space="preserve">. The </w:t>
      </w:r>
      <w:r w:rsidR="00725AAC" w:rsidRPr="00725AAC">
        <w:rPr>
          <w:rFonts w:ascii="Arial" w:hAnsi="Arial" w:cs="Arial"/>
        </w:rPr>
        <w:t>C-statistic</w:t>
      </w:r>
      <w:r w:rsidRPr="00162CD4">
        <w:rPr>
          <w:rFonts w:ascii="Arial" w:hAnsi="Arial" w:cs="Arial"/>
        </w:rPr>
        <w:t xml:space="preserve"> of ROC is 0.</w:t>
      </w:r>
      <w:r>
        <w:rPr>
          <w:rFonts w:ascii="Arial" w:hAnsi="Arial" w:cs="Arial"/>
        </w:rPr>
        <w:t>626</w:t>
      </w:r>
      <w:r w:rsidRPr="00162CD4">
        <w:rPr>
          <w:rFonts w:ascii="Arial" w:hAnsi="Arial" w:cs="Arial"/>
        </w:rPr>
        <w:t xml:space="preserve">; </w:t>
      </w:r>
      <w:r w:rsidR="000376C3">
        <w:rPr>
          <w:rFonts w:ascii="Arial" w:hAnsi="Arial" w:cs="Arial"/>
        </w:rPr>
        <w:t>(</w:t>
      </w:r>
      <w:r w:rsidRPr="00162CD4">
        <w:rPr>
          <w:rFonts w:ascii="Arial" w:hAnsi="Arial" w:cs="Arial"/>
        </w:rPr>
        <w:t>B</w:t>
      </w:r>
      <w:r w:rsidR="000376C3">
        <w:rPr>
          <w:rFonts w:ascii="Arial" w:hAnsi="Arial" w:cs="Arial"/>
        </w:rPr>
        <w:t>)</w:t>
      </w:r>
      <w:r w:rsidRPr="00162CD4">
        <w:rPr>
          <w:rFonts w:ascii="Arial" w:hAnsi="Arial" w:cs="Arial"/>
        </w:rPr>
        <w:t xml:space="preserve"> Time-to-progression curve based on </w:t>
      </w:r>
      <w:r>
        <w:rPr>
          <w:rFonts w:ascii="Arial" w:hAnsi="Arial" w:cs="Arial"/>
        </w:rPr>
        <w:t>GEP70.</w:t>
      </w:r>
    </w:p>
    <w:p w14:paraId="07EE7623" w14:textId="58ECEF30" w:rsidR="000052B1" w:rsidRDefault="00FF48D3" w:rsidP="008D20E2">
      <w:pPr>
        <w:spacing w:line="480" w:lineRule="auto"/>
        <w:jc w:val="center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w:drawing>
          <wp:inline distT="0" distB="0" distL="0" distR="0" wp14:anchorId="032B3D42" wp14:editId="4B7F0A62">
            <wp:extent cx="5659313" cy="6433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64" cy="6439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D7227" w14:textId="77777777" w:rsidR="000052B1" w:rsidRDefault="000052B1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br w:type="page"/>
      </w:r>
    </w:p>
    <w:p w14:paraId="5D834BE4" w14:textId="77777777" w:rsidR="000052B1" w:rsidRDefault="000052B1" w:rsidP="000052B1">
      <w:pPr>
        <w:rPr>
          <w:rFonts w:ascii="Arial" w:hAnsi="Arial" w:cs="Arial"/>
        </w:rPr>
      </w:pPr>
      <w:r w:rsidRPr="0018080D">
        <w:rPr>
          <w:rFonts w:ascii="Arial" w:hAnsi="Arial" w:cs="Arial"/>
          <w:b/>
          <w:bCs/>
        </w:rPr>
        <w:lastRenderedPageBreak/>
        <w:t>Figure S</w:t>
      </w:r>
      <w:r>
        <w:rPr>
          <w:rFonts w:ascii="Arial" w:hAnsi="Arial" w:cs="Arial"/>
          <w:b/>
          <w:bCs/>
        </w:rPr>
        <w:t xml:space="preserve">2. </w:t>
      </w:r>
      <w:r w:rsidRPr="004B541B">
        <w:rPr>
          <w:rFonts w:ascii="Arial" w:hAnsi="Arial" w:cs="Arial"/>
          <w:b/>
          <w:bCs/>
        </w:rPr>
        <w:t>The heatmap of the GS36 genes expression profiles</w:t>
      </w:r>
      <w:r w:rsidRPr="009A01FE">
        <w:rPr>
          <w:rFonts w:ascii="Arial" w:hAnsi="Arial" w:cs="Arial"/>
        </w:rPr>
        <w:t xml:space="preserve"> (red, relative high expression; blue, relative low expression) between </w:t>
      </w:r>
      <w:r w:rsidRPr="0003521D">
        <w:rPr>
          <w:rFonts w:ascii="Arial" w:hAnsi="Arial" w:cs="Arial"/>
        </w:rPr>
        <w:t xml:space="preserve">stable </w:t>
      </w:r>
      <w:r w:rsidRPr="009A01FE">
        <w:rPr>
          <w:rFonts w:ascii="Arial" w:hAnsi="Arial" w:cs="Arial"/>
        </w:rPr>
        <w:t xml:space="preserve">and </w:t>
      </w:r>
      <w:r w:rsidRPr="0003521D">
        <w:rPr>
          <w:rFonts w:ascii="Arial" w:hAnsi="Arial" w:cs="Arial"/>
        </w:rPr>
        <w:t xml:space="preserve">progressing </w:t>
      </w:r>
      <w:r w:rsidRPr="009A01FE">
        <w:rPr>
          <w:rFonts w:ascii="Arial" w:hAnsi="Arial" w:cs="Arial"/>
        </w:rPr>
        <w:t>risk groups.</w:t>
      </w:r>
    </w:p>
    <w:p w14:paraId="3D0EED23" w14:textId="53CF1A44" w:rsidR="000052B1" w:rsidRDefault="000052B1" w:rsidP="000052B1">
      <w:pPr>
        <w:spacing w:line="480" w:lineRule="auto"/>
        <w:jc w:val="center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w:drawing>
          <wp:inline distT="0" distB="0" distL="0" distR="0" wp14:anchorId="143F2604" wp14:editId="44D7C177">
            <wp:extent cx="3372386" cy="777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86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08C91" w14:textId="4EF0A913" w:rsidR="00E03B5B" w:rsidRDefault="000376C3">
      <w:pPr>
        <w:rPr>
          <w:rFonts w:ascii="Arial" w:hAnsi="Arial" w:cs="Arial"/>
        </w:rPr>
      </w:pPr>
      <w:r w:rsidRPr="000376C3">
        <w:rPr>
          <w:rFonts w:ascii="Arial" w:hAnsi="Arial" w:cs="Arial"/>
          <w:b/>
          <w:bCs/>
        </w:rPr>
        <w:lastRenderedPageBreak/>
        <w:t xml:space="preserve">Figure S3. External validation using an independent datasets SWOG-S0120. </w:t>
      </w:r>
      <w:r w:rsidRPr="000376C3">
        <w:rPr>
          <w:rFonts w:ascii="Arial" w:hAnsi="Arial" w:cs="Arial"/>
        </w:rPr>
        <w:t>(A) The scatter plot of GS36 score in SWOG-S0120 datasets. Three patients progressed to MM within 10 years, while the other 54 MGUS had not progressed. Among three patients who develo</w:t>
      </w:r>
      <w:r w:rsidRPr="000376C3">
        <w:rPr>
          <w:rFonts w:ascii="Arial" w:hAnsi="Arial" w:cs="Arial" w:hint="eastAsia"/>
        </w:rPr>
        <w:t xml:space="preserve">ped MM, all three had a GS36 </w:t>
      </w:r>
      <w:r w:rsidR="00025CBC" w:rsidRPr="00D275C6">
        <w:rPr>
          <w:rFonts w:ascii="Arial" w:eastAsiaTheme="minorHAnsi" w:hAnsi="Arial" w:cs="Arial"/>
          <w:sz w:val="24"/>
          <w:szCs w:val="24"/>
          <w:lang w:eastAsia="en-US"/>
        </w:rPr>
        <w:t>≥</w:t>
      </w:r>
      <w:r w:rsidRPr="000376C3">
        <w:rPr>
          <w:rFonts w:ascii="Arial" w:hAnsi="Arial" w:cs="Arial" w:hint="eastAsia"/>
        </w:rPr>
        <w:t xml:space="preserve"> 0.7. For the remaining 54 stable patients, only 4 patients had GS36 </w:t>
      </w:r>
      <w:r w:rsidR="00025CBC" w:rsidRPr="00D275C6">
        <w:rPr>
          <w:rFonts w:ascii="Arial" w:eastAsiaTheme="minorHAnsi" w:hAnsi="Arial" w:cs="Arial"/>
          <w:sz w:val="24"/>
          <w:szCs w:val="24"/>
          <w:lang w:eastAsia="en-US"/>
        </w:rPr>
        <w:t>≥</w:t>
      </w:r>
      <w:r w:rsidRPr="000376C3">
        <w:rPr>
          <w:rFonts w:ascii="Arial" w:hAnsi="Arial" w:cs="Arial" w:hint="eastAsia"/>
        </w:rPr>
        <w:t xml:space="preserve"> 0.7. (B) Time-to-progression curve of SWOG-S0120 datasets based on GS36.</w:t>
      </w:r>
    </w:p>
    <w:p w14:paraId="296E413D" w14:textId="606668D9" w:rsidR="00E03B5B" w:rsidRPr="000376C3" w:rsidRDefault="00FF48D3" w:rsidP="00E03B5B">
      <w:pPr>
        <w:jc w:val="center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w:drawing>
          <wp:inline distT="0" distB="0" distL="0" distR="0" wp14:anchorId="2D33D2BC" wp14:editId="416FDED4">
            <wp:extent cx="4564685" cy="567091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66" cy="5680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71AF1" w14:textId="2B80F937" w:rsidR="000052B1" w:rsidRDefault="000052B1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sz w:val="14"/>
          <w:szCs w:val="14"/>
        </w:rPr>
        <w:br w:type="page"/>
      </w:r>
    </w:p>
    <w:p w14:paraId="0083143D" w14:textId="1B7DDADD" w:rsidR="000052B1" w:rsidRDefault="000052B1" w:rsidP="000052B1">
      <w:pPr>
        <w:rPr>
          <w:rFonts w:ascii="Arial" w:hAnsi="Arial" w:cs="Arial"/>
        </w:rPr>
      </w:pPr>
      <w:r w:rsidRPr="0018080D">
        <w:rPr>
          <w:rFonts w:ascii="Arial" w:hAnsi="Arial" w:cs="Arial"/>
          <w:b/>
          <w:bCs/>
        </w:rPr>
        <w:lastRenderedPageBreak/>
        <w:t>Figure S</w:t>
      </w:r>
      <w:r>
        <w:rPr>
          <w:rFonts w:ascii="Arial" w:hAnsi="Arial" w:cs="Arial"/>
          <w:b/>
          <w:bCs/>
        </w:rPr>
        <w:t xml:space="preserve">4. MGUS </w:t>
      </w:r>
      <w:r w:rsidRPr="00D00AA0">
        <w:rPr>
          <w:rFonts w:ascii="Arial" w:hAnsi="Arial" w:cs="Arial"/>
          <w:b/>
          <w:bCs/>
        </w:rPr>
        <w:t>Time-To-Progression</w:t>
      </w:r>
      <w:r>
        <w:rPr>
          <w:rFonts w:ascii="Arial" w:hAnsi="Arial" w:cs="Arial"/>
          <w:b/>
          <w:bCs/>
        </w:rPr>
        <w:t xml:space="preserve"> </w:t>
      </w:r>
      <w:r w:rsidRPr="009344D7">
        <w:rPr>
          <w:rFonts w:ascii="Arial" w:hAnsi="Arial" w:cs="Arial"/>
          <w:b/>
          <w:bCs/>
        </w:rPr>
        <w:t xml:space="preserve">Comparison on </w:t>
      </w:r>
      <w:r w:rsidRPr="007244AD">
        <w:rPr>
          <w:rFonts w:ascii="Arial" w:hAnsi="Arial" w:cs="Arial"/>
          <w:b/>
          <w:bCs/>
        </w:rPr>
        <w:t>Mayo Risk Model and Memorial Sloan Kettering Cancer Center (MSK) Risk Model.</w:t>
      </w:r>
      <w:r>
        <w:rPr>
          <w:rFonts w:ascii="Arial" w:hAnsi="Arial" w:cs="Arial"/>
          <w:b/>
          <w:bCs/>
        </w:rPr>
        <w:t xml:space="preserve"> </w:t>
      </w:r>
      <w:r w:rsidR="000376C3" w:rsidRPr="000376C3">
        <w:rPr>
          <w:rFonts w:ascii="Arial" w:hAnsi="Arial" w:cs="Arial"/>
        </w:rPr>
        <w:t>(</w:t>
      </w:r>
      <w:r w:rsidRPr="000376C3">
        <w:rPr>
          <w:rFonts w:ascii="Arial" w:hAnsi="Arial" w:cs="Arial"/>
        </w:rPr>
        <w:t>A</w:t>
      </w:r>
      <w:r w:rsidR="000376C3" w:rsidRPr="000376C3">
        <w:rPr>
          <w:rFonts w:ascii="Arial" w:hAnsi="Arial" w:cs="Arial"/>
        </w:rPr>
        <w:t>)</w:t>
      </w:r>
      <w:r w:rsidRPr="00DD3CE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10-year</w:t>
      </w:r>
      <w:r w:rsidRPr="00DD3CE8">
        <w:rPr>
          <w:rFonts w:ascii="Arial" w:hAnsi="Arial" w:cs="Arial"/>
        </w:rPr>
        <w:t xml:space="preserve">-progression </w:t>
      </w:r>
      <w:r>
        <w:rPr>
          <w:rFonts w:ascii="Arial" w:hAnsi="Arial" w:cs="Arial"/>
        </w:rPr>
        <w:t>c</w:t>
      </w:r>
      <w:r w:rsidRPr="00DD3CE8">
        <w:rPr>
          <w:rFonts w:ascii="Arial" w:hAnsi="Arial" w:cs="Arial"/>
        </w:rPr>
        <w:t xml:space="preserve">urve based on </w:t>
      </w:r>
      <w:r>
        <w:rPr>
          <w:rFonts w:ascii="Arial" w:hAnsi="Arial" w:cs="Arial"/>
        </w:rPr>
        <w:t>Mayo risk model</w:t>
      </w:r>
      <w:r w:rsidR="00636A8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0376C3">
        <w:rPr>
          <w:rFonts w:ascii="Arial" w:hAnsi="Arial" w:cs="Arial"/>
        </w:rPr>
        <w:t>(</w:t>
      </w:r>
      <w:r w:rsidR="00FF48D3">
        <w:rPr>
          <w:rFonts w:ascii="Arial" w:hAnsi="Arial" w:cs="Arial"/>
        </w:rPr>
        <w:t>B</w:t>
      </w:r>
      <w:r w:rsidR="000376C3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10-year</w:t>
      </w:r>
      <w:r w:rsidRPr="00DD3CE8">
        <w:rPr>
          <w:rFonts w:ascii="Arial" w:hAnsi="Arial" w:cs="Arial"/>
        </w:rPr>
        <w:t xml:space="preserve">-progression </w:t>
      </w:r>
      <w:r>
        <w:rPr>
          <w:rFonts w:ascii="Arial" w:hAnsi="Arial" w:cs="Arial"/>
        </w:rPr>
        <w:t>c</w:t>
      </w:r>
      <w:r w:rsidRPr="00DD3CE8">
        <w:rPr>
          <w:rFonts w:ascii="Arial" w:hAnsi="Arial" w:cs="Arial"/>
        </w:rPr>
        <w:t xml:space="preserve">urve based on </w:t>
      </w:r>
      <w:r>
        <w:rPr>
          <w:rFonts w:ascii="Arial" w:hAnsi="Arial" w:cs="Arial"/>
        </w:rPr>
        <w:t>MSK risk model.</w:t>
      </w:r>
      <w:r w:rsidR="00636A8A">
        <w:rPr>
          <w:rFonts w:ascii="Arial" w:hAnsi="Arial" w:cs="Arial"/>
        </w:rPr>
        <w:t xml:space="preserve"> </w:t>
      </w:r>
      <w:r w:rsidR="00636A8A" w:rsidRPr="00636A8A">
        <w:rPr>
          <w:rFonts w:ascii="Arial" w:hAnsi="Arial" w:cs="Arial"/>
        </w:rPr>
        <w:t>(C) Venn diagram depicting the overlapping quantities of the patients considered high-risk by UAMS, MSK, and Mayo models. The green panel represents MSK model; the blue panel represents Mayo model; the red panel represents UAMS model.</w:t>
      </w:r>
    </w:p>
    <w:p w14:paraId="5B68854F" w14:textId="6C9F4CF0" w:rsidR="00814F53" w:rsidRDefault="00FF48D3" w:rsidP="000052B1">
      <w:pPr>
        <w:spacing w:line="480" w:lineRule="auto"/>
        <w:jc w:val="center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w:drawing>
          <wp:inline distT="0" distB="0" distL="0" distR="0" wp14:anchorId="680443CF" wp14:editId="6968332A">
            <wp:extent cx="5091003" cy="706388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95" cy="7086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14F53" w:rsidSect="00B3438B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758A0" w14:textId="77777777" w:rsidR="001F5FAF" w:rsidRDefault="001F5FAF" w:rsidP="00FB61C6">
      <w:pPr>
        <w:spacing w:after="0" w:line="240" w:lineRule="auto"/>
      </w:pPr>
      <w:r>
        <w:separator/>
      </w:r>
    </w:p>
  </w:endnote>
  <w:endnote w:type="continuationSeparator" w:id="0">
    <w:p w14:paraId="2D2F191E" w14:textId="77777777" w:rsidR="001F5FAF" w:rsidRDefault="001F5FAF" w:rsidP="00FB6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2383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0E5CFD" w14:textId="79C97BF0" w:rsidR="004052DE" w:rsidRDefault="004052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40DFB2" w14:textId="77777777" w:rsidR="004052DE" w:rsidRDefault="004052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87429" w14:textId="77777777" w:rsidR="001F5FAF" w:rsidRDefault="001F5FAF" w:rsidP="00FB61C6">
      <w:pPr>
        <w:spacing w:after="0" w:line="240" w:lineRule="auto"/>
      </w:pPr>
      <w:r>
        <w:separator/>
      </w:r>
    </w:p>
  </w:footnote>
  <w:footnote w:type="continuationSeparator" w:id="0">
    <w:p w14:paraId="50DB8CCA" w14:textId="77777777" w:rsidR="001F5FAF" w:rsidRDefault="001F5FAF" w:rsidP="00FB61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yMjExNLQwNbU0MLVQ0lEKTi0uzszPAykwNK8FAAuYd7ctAAAA"/>
  </w:docVars>
  <w:rsids>
    <w:rsidRoot w:val="00420924"/>
    <w:rsid w:val="000052B1"/>
    <w:rsid w:val="00025CBC"/>
    <w:rsid w:val="000376C3"/>
    <w:rsid w:val="0004606A"/>
    <w:rsid w:val="000963C7"/>
    <w:rsid w:val="001A5814"/>
    <w:rsid w:val="001A7BA6"/>
    <w:rsid w:val="001C34B0"/>
    <w:rsid w:val="001F5FAF"/>
    <w:rsid w:val="0027683F"/>
    <w:rsid w:val="0028781C"/>
    <w:rsid w:val="00325A39"/>
    <w:rsid w:val="003558D9"/>
    <w:rsid w:val="00362EAD"/>
    <w:rsid w:val="00364CFC"/>
    <w:rsid w:val="004052DE"/>
    <w:rsid w:val="00420924"/>
    <w:rsid w:val="00500CC6"/>
    <w:rsid w:val="005D2911"/>
    <w:rsid w:val="005E00C1"/>
    <w:rsid w:val="00636A8A"/>
    <w:rsid w:val="00664788"/>
    <w:rsid w:val="00725AAC"/>
    <w:rsid w:val="007419A8"/>
    <w:rsid w:val="007C4A5A"/>
    <w:rsid w:val="007E7A23"/>
    <w:rsid w:val="00814F53"/>
    <w:rsid w:val="00861ABA"/>
    <w:rsid w:val="00875416"/>
    <w:rsid w:val="008803AF"/>
    <w:rsid w:val="00887F4B"/>
    <w:rsid w:val="008B0A03"/>
    <w:rsid w:val="008D20E2"/>
    <w:rsid w:val="00911563"/>
    <w:rsid w:val="009410B1"/>
    <w:rsid w:val="00952AFE"/>
    <w:rsid w:val="009553FB"/>
    <w:rsid w:val="00A65D7C"/>
    <w:rsid w:val="00AC7549"/>
    <w:rsid w:val="00B046B2"/>
    <w:rsid w:val="00B3438B"/>
    <w:rsid w:val="00D474D0"/>
    <w:rsid w:val="00D501F3"/>
    <w:rsid w:val="00E00279"/>
    <w:rsid w:val="00E03B5B"/>
    <w:rsid w:val="00E9106F"/>
    <w:rsid w:val="00E91409"/>
    <w:rsid w:val="00EB7524"/>
    <w:rsid w:val="00F6338A"/>
    <w:rsid w:val="00F94DB5"/>
    <w:rsid w:val="00FB61C6"/>
    <w:rsid w:val="00FF1711"/>
    <w:rsid w:val="00FF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0A23A"/>
  <w15:chartTrackingRefBased/>
  <w15:docId w15:val="{B557321F-7D9F-41AA-BFBA-FE1B625D7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1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B6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1C6"/>
  </w:style>
  <w:style w:type="paragraph" w:styleId="Footer">
    <w:name w:val="footer"/>
    <w:basedOn w:val="Normal"/>
    <w:link w:val="FooterChar"/>
    <w:uiPriority w:val="99"/>
    <w:unhideWhenUsed/>
    <w:rsid w:val="00FB6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1C6"/>
  </w:style>
  <w:style w:type="paragraph" w:styleId="ListParagraph">
    <w:name w:val="List Paragraph"/>
    <w:basedOn w:val="Normal"/>
    <w:uiPriority w:val="34"/>
    <w:qFormat/>
    <w:rsid w:val="00F633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Fumou</dc:creator>
  <cp:keywords/>
  <dc:description/>
  <cp:lastModifiedBy>Sun, Fumou</cp:lastModifiedBy>
  <cp:revision>53</cp:revision>
  <dcterms:created xsi:type="dcterms:W3CDTF">2022-11-29T19:40:00Z</dcterms:created>
  <dcterms:modified xsi:type="dcterms:W3CDTF">2023-06-21T19:17:00Z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ca390d5-a4f3-448c-8368-24080179bc53_Enabled">
    <vt:lpwstr>true</vt:lpwstr>
  </property>
  <property fmtid="{D5CDD505-2E9C-101B-9397-08002B2CF9AE}" pid="3" name="MSIP_Label_8ca390d5-a4f3-448c-8368-24080179bc53_SetDate">
    <vt:lpwstr>2022-11-29T19:40:22Z</vt:lpwstr>
  </property>
  <property fmtid="{D5CDD505-2E9C-101B-9397-08002B2CF9AE}" pid="4" name="MSIP_Label_8ca390d5-a4f3-448c-8368-24080179bc53_Method">
    <vt:lpwstr>Standard</vt:lpwstr>
  </property>
  <property fmtid="{D5CDD505-2E9C-101B-9397-08002B2CF9AE}" pid="5" name="MSIP_Label_8ca390d5-a4f3-448c-8368-24080179bc53_Name">
    <vt:lpwstr>Low Risk</vt:lpwstr>
  </property>
  <property fmtid="{D5CDD505-2E9C-101B-9397-08002B2CF9AE}" pid="6" name="MSIP_Label_8ca390d5-a4f3-448c-8368-24080179bc53_SiteId">
    <vt:lpwstr>5b703aa0-061f-4ed9-beca-765a39ee1304</vt:lpwstr>
  </property>
  <property fmtid="{D5CDD505-2E9C-101B-9397-08002B2CF9AE}" pid="7" name="MSIP_Label_8ca390d5-a4f3-448c-8368-24080179bc53_ActionId">
    <vt:lpwstr>966c85ba-3fc8-4326-b1db-09c1644bff36</vt:lpwstr>
  </property>
  <property fmtid="{D5CDD505-2E9C-101B-9397-08002B2CF9AE}" pid="8" name="MSIP_Label_8ca390d5-a4f3-448c-8368-24080179bc53_ContentBits">
    <vt:lpwstr>0</vt:lpwstr>
  </property>
</Properties>
</file>