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etodología"/>
    <w:p>
      <w:pPr>
        <w:pStyle w:val="Heading1"/>
      </w:pPr>
      <w:r>
        <w:t xml:space="preserve">Metodología</w:t>
      </w:r>
    </w:p>
    <w:p>
      <w:pPr>
        <w:pStyle w:val="FirstParagraph"/>
      </w:pPr>
      <w:r>
        <w:t xml:space="preserve">Para evaluar el desempeño de las estrategias de despacho se desarrolló un simulador</w:t>
      </w:r>
      <w:r>
        <w:t xml:space="preserve"> </w:t>
      </w:r>
      <w:r>
        <w:t xml:space="preserve">en MATLAB que replica de forma conceptual el proceso de</w:t>
      </w:r>
      <w:r>
        <w:t xml:space="preserve"> </w:t>
      </w:r>
      <w:r>
        <w:t xml:space="preserve">despacho en enlace descendente de una celda celular basada en 4G/5G.</w:t>
      </w:r>
      <w:r>
        <w:t xml:space="preserve"> </w:t>
      </w:r>
      <w:r>
        <w:t xml:space="preserve">El simulador implementa cuatro estrategias de despacho: Round Robin (RR),</w:t>
      </w:r>
      <w:r>
        <w:t xml:space="preserve"> </w:t>
      </w:r>
      <w:r>
        <w:t xml:space="preserve">Best CQI (BCQI), Blind Equal Throughput (BET) y Proportional Fair (PF).</w:t>
      </w:r>
      <w:r>
        <w:t xml:space="preserve"> </w:t>
      </w:r>
      <w:r>
        <w:t xml:space="preserve">Las cuatro comparten el mismo modelo de red, canal y tráfico. La diferencia</w:t>
      </w:r>
      <w:r>
        <w:t xml:space="preserve"> </w:t>
      </w:r>
      <w:r>
        <w:t xml:space="preserve">entre ellas es la forma con la que se decide el orden y prioridad en el que</w:t>
      </w:r>
      <w:r>
        <w:t xml:space="preserve"> </w:t>
      </w:r>
      <w:r>
        <w:t xml:space="preserve">se les asignan bloques de recurso (RB) a los equipo de usuario (UE) conectados</w:t>
      </w:r>
      <w:r>
        <w:t xml:space="preserve"> </w:t>
      </w:r>
      <w:r>
        <w:t xml:space="preserve">a la red. En esta sección se describe el modelo de asignación de recursos</w:t>
      </w:r>
      <w:r>
        <w:t xml:space="preserve"> </w:t>
      </w:r>
      <w:r>
        <w:t xml:space="preserve">y la implementación de cada despachador.</w:t>
      </w:r>
    </w:p>
    <w:p>
      <w:pPr>
        <w:pStyle w:val="BodyText"/>
      </w:pPr>
      <w:r>
        <w:t xml:space="preserve">La estructura de recursos del simulador se basa en LTE-A, la cual</w:t>
      </w:r>
      <w:r>
        <w:t xml:space="preserve"> </w:t>
      </w:r>
      <w:r>
        <w:t xml:space="preserve">comparte con 5G su numerología base (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) el espaciado entre</w:t>
      </w:r>
      <w:r>
        <w:t xml:space="preserve"> </w:t>
      </w:r>
      <w:r>
        <w:t xml:space="preserve">subportadoras de 15 kHz, los RB de 12 subportadoras y la trama de 10 ms</w:t>
      </w:r>
      <w:r>
        <w:t xml:space="preserve"> </w:t>
      </w:r>
      <w:r>
        <w:t xml:space="preserve">[1]</w:t>
      </w:r>
      <w:r>
        <w:t xml:space="preserve">.</w:t>
      </w:r>
    </w:p>
    <w:bookmarkStart w:id="20" w:name="modelo-de-red-y-de-canal"/>
    <w:p>
      <w:pPr>
        <w:pStyle w:val="Heading2"/>
      </w:pPr>
      <w:r>
        <w:t xml:space="preserve">Modelo de red y de canal</w:t>
      </w:r>
    </w:p>
    <w:p>
      <w:pPr>
        <w:pStyle w:val="FirstParagraph"/>
      </w:pPr>
      <w:r>
        <w:t xml:space="preserve">Se considera una celda con una radiobase (gNB) ubicada en el centro 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UE distribuidos dentro de un radio</w:t>
      </w:r>
      <w:r>
        <w:t xml:space="preserve"> </w:t>
      </w:r>
      <m:oMath>
        <m:r>
          <m:t>r</m:t>
        </m:r>
      </m:oMath>
      <w:r>
        <w:t xml:space="preserve">. Al inicio de cada simulación, los</w:t>
      </w:r>
      <w:r>
        <w:t xml:space="preserve"> </w:t>
      </w:r>
      <w:r>
        <w:t xml:space="preserve">UE se distribuyen a lo largo de la gNB y el borde de la celda. Se</w:t>
      </w:r>
      <w:r>
        <w:t xml:space="preserve"> </w:t>
      </w:r>
      <w:r>
        <w:t xml:space="preserve">mantiene la misma distancia entre UEs.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La potencia recibida por el 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se obtiene como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  <m:r>
              <m:t>x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t</m:t>
            </m:r>
            <m:r>
              <m:t>x</m:t>
            </m:r>
          </m:sub>
        </m:sSub>
        <m:r>
          <m:rPr>
            <m:sty m:val="p"/>
          </m:rPr>
          <m:t>−</m:t>
        </m:r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donde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x</m:t>
            </m:r>
          </m:sub>
        </m:sSub>
      </m:oMath>
      <w:r>
        <w:t xml:space="preserve"> </w:t>
      </w:r>
      <w:r>
        <w:t xml:space="preserve">es la potencia de</w:t>
      </w:r>
      <w:r>
        <w:t xml:space="preserve"> </w:t>
      </w:r>
      <w:r>
        <w:t xml:space="preserve">transmisión de la gNB en dBm y</w:t>
      </w:r>
      <w:r>
        <w:t xml:space="preserve"> </w:t>
      </w:r>
      <m:oMath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son las pérdidas por</w:t>
      </w:r>
      <w:r>
        <w:t xml:space="preserve"> </w:t>
      </w:r>
      <w:r>
        <w:t xml:space="preserve">propagación del modelo Urban Macro sin línea de vista (UMa NLOS)</w:t>
      </w:r>
      <w:r>
        <w:t xml:space="preserve"> </w:t>
      </w:r>
      <w:r>
        <w:rPr>
          <w:bCs/>
          <w:b/>
        </w:rPr>
        <w:t xml:space="preserve">[3GPP TR 38.901]</w:t>
      </w:r>
      <w:r>
        <w:t xml:space="preserve">.</w:t>
      </w:r>
    </w:p>
    <w:p>
      <w:pPr>
        <w:pStyle w:val="BodyText"/>
      </w:pPr>
      <w:r>
        <w:t xml:space="preserve">La relación señal a ruido más interferencia del 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en el RB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se</w:t>
      </w:r>
      <w:r>
        <w:t xml:space="preserve"> </w:t>
      </w:r>
      <w:r>
        <w:t xml:space="preserve">calcula en dB como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174</m:t>
              </m:r>
              <m:r>
                <m:rPr>
                  <m:sty m:val="p"/>
                </m:rPr>
                <m:t>+</m:t>
              </m:r>
              <m:r>
                <m:t>10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B</m:t>
              </m:r>
            </m:e>
          </m:d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 el ancho de banda del canal en Hz y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es una variable</w:t>
      </w:r>
      <w:r>
        <w:t xml:space="preserve"> </w:t>
      </w:r>
      <w:r>
        <w:t xml:space="preserve">aleatoria en dB que representa la degradación de la señal por</w:t>
      </w:r>
      <w:r>
        <w:t xml:space="preserve"> </w:t>
      </w:r>
      <w:r>
        <w:t xml:space="preserve">interferencia. Este valor se obtiene como el absoluto de una</w:t>
      </w:r>
      <w:r>
        <w:t xml:space="preserve"> </w:t>
      </w:r>
      <w:r>
        <w:t xml:space="preserve">variable aleatoria normal con media cero y desviación estándar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donde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un factor de interferencia por usuario.</w:t>
      </w:r>
      <w:r>
        <w:t xml:space="preserve"> </w:t>
      </w:r>
      <w:r>
        <w:t xml:space="preserve">De esta forma, la interferencia crece con el número de UE en la celda. El</w:t>
      </w:r>
      <w:r>
        <w:t xml:space="preserve"> </w:t>
      </w:r>
      <w:r>
        <w:t xml:space="preserve">valor de</w:t>
      </w:r>
      <w:r>
        <w:t xml:space="preserve"> </w:t>
      </w:r>
      <m:oMath>
        <m:sSub>
          <m:e>
            <m:r>
              <m:t>γ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se genera de nuevo para cada UE, en cada RB y en</w:t>
      </w:r>
      <w:r>
        <w:t xml:space="preserve"> </w:t>
      </w:r>
      <w:r>
        <w:t xml:space="preserve">cada trama.</w:t>
      </w:r>
    </w:p>
    <w:p>
      <w:pPr>
        <w:pStyle w:val="BodyText"/>
      </w:pPr>
      <w:r>
        <w:t xml:space="preserve">Para la adaptación del enlace,</w:t>
      </w:r>
      <w:r>
        <w:t xml:space="preserve"> </w:t>
      </w:r>
      <m:oMath>
        <m:sSub>
          <m:e>
            <m:r>
              <m:t>γ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se compara con un conjunto</w:t>
      </w:r>
      <w:r>
        <w:t xml:space="preserve"> </w:t>
      </w:r>
      <w:r>
        <w:t xml:space="preserve">de umbrales para obtener el índice de CQI (de 1 a 15) de la tabla de 4</w:t>
      </w:r>
      <w:r>
        <w:t xml:space="preserve"> </w:t>
      </w:r>
      <w:r>
        <w:t xml:space="preserve">bits de 3GPP TS 36.213</w:t>
      </w:r>
      <w:r>
        <w:t xml:space="preserve"> </w:t>
      </w:r>
      <w:r>
        <w:rPr>
          <w:bCs/>
          <w:b/>
        </w:rPr>
        <w:t xml:space="preserve">[CITA REQUERIDA]</w:t>
      </w:r>
      <w:r>
        <w:t xml:space="preserve">. Con</w:t>
      </w:r>
      <w:r>
        <w:t xml:space="preserve"> </w:t>
      </w:r>
      <m:oMath>
        <m:sSub>
          <m:e>
            <m:r>
              <m:t>γ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se obtiene el CQI, que determina los bits que transporta el RB.</w:t>
      </w:r>
    </w:p>
    <w:p>
      <w:pPr>
        <w:pStyle w:val="BodyText"/>
      </w:pPr>
      <w:r>
        <w:t xml:space="preserve">El despacho se realiza por trama (10 ms). El número de RB disponibles en</w:t>
      </w:r>
      <w:r>
        <w:t xml:space="preserve"> </w:t>
      </w:r>
      <w:r>
        <w:t xml:space="preserve">una trama 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20</m:t>
        </m:r>
        <m:r>
          <m:t> </m:t>
        </m:r>
        <m:sSub>
          <m:e>
            <m:r>
              <m:t>N</m:t>
            </m:r>
          </m:e>
          <m:sub>
            <m:r>
              <m:t>R</m:t>
            </m:r>
            <m:r>
              <m:t>B</m:t>
            </m:r>
          </m:sub>
        </m:sSub>
      </m:oMath>
      <w:r>
        <w:t xml:space="preserve">, donde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B</m:t>
            </m:r>
          </m:sub>
        </m:sSub>
        <m:r>
          <m:rPr>
            <m:sty m:val="p"/>
          </m:rPr>
          <m:t>=</m:t>
        </m:r>
        <m:r>
          <m:t>5</m:t>
        </m:r>
        <m:r>
          <m:t>B</m:t>
        </m:r>
      </m:oMath>
      <w:r>
        <w:t xml:space="preserve"> </w:t>
      </w:r>
      <w:r>
        <w:t xml:space="preserve">(con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en MHz) es el</w:t>
      </w:r>
      <w:r>
        <w:t xml:space="preserve"> </w:t>
      </w:r>
      <w:r>
        <w:t xml:space="preserve">número de RB por ranura de 0.5 ms y 20 es el número de ranuras en una</w:t>
      </w:r>
      <w:r>
        <w:t xml:space="preserve"> </w:t>
      </w:r>
      <w:r>
        <w:t xml:space="preserve">trama. Los RB de la trama se asignan uno a la vez, y cada RB se asigna a un</w:t>
      </w:r>
      <w:r>
        <w:t xml:space="preserve"> </w:t>
      </w:r>
      <w:r>
        <w:t xml:space="preserve">solo UE.</w:t>
      </w:r>
    </w:p>
    <w:p>
      <w:pPr>
        <w:pStyle w:val="BodyText"/>
      </w:pPr>
      <w:r>
        <w:t xml:space="preserve">En cuanto al tráfico, se considera un modelo de buffer infinito: todos los</w:t>
      </w:r>
      <w:r>
        <w:t xml:space="preserve"> </w:t>
      </w:r>
      <w:r>
        <w:t xml:space="preserve">UE tienen siempre datos por recibir y permanecen en la celda durante toda</w:t>
      </w:r>
      <w:r>
        <w:t xml:space="preserve"> </w:t>
      </w:r>
      <w:r>
        <w:t xml:space="preserve">la simulación, por lo que el número de UE activos se mantiene igual a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La simulación termina después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tramas.</w:t>
      </w:r>
    </w:p>
    <w:bookmarkEnd w:id="20"/>
    <w:bookmarkStart w:id="28" w:name="implementación"/>
    <w:p>
      <w:pPr>
        <w:pStyle w:val="Heading2"/>
      </w:pPr>
      <w:r>
        <w:t xml:space="preserve">Implementación</w:t>
      </w:r>
    </w:p>
    <w:p>
      <w:pPr>
        <w:pStyle w:val="FirstParagraph"/>
      </w:pPr>
      <w:r>
        <w:t xml:space="preserve">La Fig. 1 muestra el proceso de despacho de los</w:t>
      </w:r>
      <w:r>
        <w:t xml:space="preserve"> </w:t>
      </w:r>
      <w:r>
        <w:t xml:space="preserve">cuatro despachadores presentados. Al inicio de cada trama se calcula</w:t>
      </w:r>
      <w:r>
        <w:t xml:space="preserve"> </w:t>
      </w:r>
      <m:oMath>
        <m:sSub>
          <m:e>
            <m:r>
              <m:t>γ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para todos los UE y todos los RB de la trama. Después, para</w:t>
      </w:r>
      <w:r>
        <w:t xml:space="preserve"> </w:t>
      </w:r>
      <w:r>
        <w:t xml:space="preserve">cada RB</w:t>
      </w:r>
      <w:r>
        <w:t xml:space="preserve"> </w:t>
      </w:r>
      <m:oMath>
        <m:r>
          <m:t>k</m:t>
        </m:r>
      </m:oMath>
      <w:r>
        <w:t xml:space="preserve">, el despachador calcula la métrica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de cada UE activo</w:t>
      </w:r>
      <w:r>
        <w:t xml:space="preserve"> </w:t>
      </w:r>
      <w:r>
        <w:t xml:space="preserve">y asigna el RB al UE con la métrica más alta,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A</m:t>
              </m:r>
            </m:lim>
          </m:limLow>
          <m:r>
            <m:t> </m:t>
          </m:r>
          <m:sSub>
            <m:e>
              <m:r>
                <m:t>m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rPr>
            <m:sty m:val="p"/>
            <m:scr m:val="script"/>
          </m:rPr>
          <m:t>A</m:t>
        </m:r>
      </m:oMath>
      <w:r>
        <w:t xml:space="preserve"> </w:t>
      </w:r>
      <w:r>
        <w:t xml:space="preserve">es el conjunto de UE que aún tienen datos por recibir.</w:t>
      </w:r>
      <w:r>
        <w:t xml:space="preserve"> </w:t>
      </w:r>
      <w:r>
        <w:t xml:space="preserve">Al terminar la trama se registran los datos entregados a cada UE</w:t>
      </w:r>
      <w:r>
        <w:t xml:space="preserve"> </w:t>
      </w:r>
      <w:r>
        <w:t xml:space="preserve">y el proceso se repite hasta completar las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tramas.</w:t>
      </w:r>
      <w:r>
        <w:t xml:space="preserve"> </w:t>
      </w:r>
      <w:r>
        <w:t xml:space="preserve">Después de completar todas las tramas, se calculan las métricas de</w:t>
      </w:r>
      <w:r>
        <w:t xml:space="preserve"> </w:t>
      </w:r>
      <w:r>
        <w:t xml:space="preserve">desempeño de los algoritmos de despacho.</w:t>
      </w:r>
    </w:p>
    <w:p>
      <w:pPr>
        <w:pStyle w:val="CaptionedFigure"/>
      </w:pPr>
      <w:r>
        <w:drawing>
          <wp:inline>
            <wp:extent cx="2519999" cy="463223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luj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4632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flujo del proceso de despacho de los</w:t>
      </w:r>
      <w:r>
        <w:t xml:space="preserve"> </w:t>
      </w:r>
      <w:r>
        <w:t xml:space="preserve">despachadores RR, BCQI, BET y PF.</w:t>
      </w:r>
    </w:p>
    <w:bookmarkStart w:id="24" w:name="round-robin-rr."/>
    <w:p>
      <w:pPr>
        <w:pStyle w:val="Heading3"/>
      </w:pPr>
      <w:r>
        <w:t xml:space="preserve">Round Robin (RR).</w:t>
      </w:r>
    </w:p>
    <w:p>
      <w:pPr>
        <w:pStyle w:val="FirstParagraph"/>
      </w:pPr>
      <w:r>
        <w:t xml:space="preserve">RR asigna los RB a los UE por turnos, en un orden fijo y sin</w:t>
      </w:r>
      <w:r>
        <w:t xml:space="preserve"> </w:t>
      </w:r>
      <w:r>
        <w:t xml:space="preserve">considerar las condiciones del canal ni los requerimientos del</w:t>
      </w:r>
      <w:r>
        <w:t xml:space="preserve"> </w:t>
      </w:r>
      <w:r>
        <w:t xml:space="preserve">usuario</w:t>
      </w:r>
      <w:r>
        <w:t xml:space="preserve"> </w:t>
      </w:r>
      <w:r>
        <w:t xml:space="preserve">[2], [3]</w:t>
      </w:r>
      <w:r>
        <w:t xml:space="preserve">. Su métrica se puede expresar como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R</m:t>
              </m:r>
              <m:r>
                <m:t>R</m:t>
              </m:r>
            </m:sup>
          </m:sSub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 el tiempo actual y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la última vez que el 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fue</w:t>
      </w:r>
      <w:r>
        <w:t xml:space="preserve"> </w:t>
      </w:r>
      <w:r>
        <w:t xml:space="preserve">atendido</w:t>
      </w:r>
      <w:r>
        <w:t xml:space="preserve"> </w:t>
      </w:r>
      <w:r>
        <w:t xml:space="preserve">[2]</w:t>
      </w:r>
      <w:r>
        <w:t xml:space="preserve">, de manera que se prioriza al UE que lleva</w:t>
      </w:r>
      <w:r>
        <w:t xml:space="preserve"> </w:t>
      </w:r>
      <w:r>
        <w:t xml:space="preserve">más tiempo sin que se le asignen recursos. Con esta estrategia todos los UE</w:t>
      </w:r>
      <w:r>
        <w:t xml:space="preserve"> </w:t>
      </w:r>
      <w:r>
        <w:t xml:space="preserve">reciben la misma cantidad de RB.</w:t>
      </w:r>
    </w:p>
    <w:bookmarkEnd w:id="24"/>
    <w:bookmarkStart w:id="25" w:name="best-cqi-bcqi."/>
    <w:p>
      <w:pPr>
        <w:pStyle w:val="Heading3"/>
      </w:pPr>
      <w:r>
        <w:t xml:space="preserve">Best CQI (BCQI).</w:t>
      </w:r>
    </w:p>
    <w:p>
      <w:pPr>
        <w:pStyle w:val="FirstParagraph"/>
      </w:pPr>
      <w:r>
        <w:t xml:space="preserve">BCQI asigna cada RB al UE que puede alcanzar la mayor tasa de datos en ese RB,</w:t>
      </w:r>
      <w:r>
        <w:t xml:space="preserve"> </w:t>
      </w:r>
      <w:r>
        <w:t xml:space="preserve">con el objetivo de maximizar el throughput del sistema sin importar la equidad</w:t>
      </w:r>
      <w:r>
        <w:t xml:space="preserve"> </w:t>
      </w:r>
      <w:r>
        <w:t xml:space="preserve">[2], [4]</w:t>
      </w:r>
      <w:r>
        <w:t xml:space="preserve">. En la implementación, la métrica es el</w:t>
      </w:r>
      <w:r>
        <w:t xml:space="preserve"> </w:t>
      </w:r>
      <w:r>
        <w:t xml:space="preserve">SINR del UE en el RB,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B</m:t>
              </m:r>
              <m:r>
                <m:t>C</m:t>
              </m:r>
              <m:r>
                <m:t>Q</m:t>
              </m:r>
              <m:r>
                <m:t>I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Debido a que el CQI y, por lo tanto, la cantidad de bits que puede transportar</w:t>
      </w:r>
      <w:r>
        <w:t xml:space="preserve"> </w:t>
      </w:r>
      <w:r>
        <w:t xml:space="preserve">el RB no disminuyen al aumentar</w:t>
      </w:r>
      <w:r>
        <w:t xml:space="preserve"> </w:t>
      </w:r>
      <m:oMath>
        <m:sSub>
          <m:e>
            <m:r>
              <m:t>γ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, elegir el UE con mayor SINR</w:t>
      </w:r>
      <w:r>
        <w:t xml:space="preserve"> </w:t>
      </w:r>
      <w:r>
        <w:t xml:space="preserve">equivale a elegir el UE que transporta más bits en el RB. Los UE cercanos</w:t>
      </w:r>
      <w:r>
        <w:t xml:space="preserve"> </w:t>
      </w:r>
      <w:r>
        <w:t xml:space="preserve">a la gNB son atendidos con mayor frecuencia, mientras que los UE</w:t>
      </w:r>
      <w:r>
        <w:t xml:space="preserve"> </w:t>
      </w:r>
      <w:r>
        <w:t xml:space="preserve">en el borde de la celda pueden no ser atendidos hasta que mejoren sus</w:t>
      </w:r>
      <w:r>
        <w:t xml:space="preserve"> </w:t>
      </w:r>
      <w:r>
        <w:t xml:space="preserve">condiciones de canal.</w:t>
      </w:r>
    </w:p>
    <w:bookmarkEnd w:id="25"/>
    <w:bookmarkStart w:id="26" w:name="blind-equal-throughput-bet."/>
    <w:p>
      <w:pPr>
        <w:pStyle w:val="Heading3"/>
      </w:pPr>
      <w:r>
        <w:t xml:space="preserve">Blind Equal Throughput (BET).</w:t>
      </w:r>
    </w:p>
    <w:p>
      <w:pPr>
        <w:pStyle w:val="FirstParagraph"/>
      </w:pPr>
      <w:r>
        <w:t xml:space="preserve">BET busca la equidad en términos de throughput, para lo cual prioriza al</w:t>
      </w:r>
      <w:r>
        <w:t xml:space="preserve"> </w:t>
      </w:r>
      <w:r>
        <w:t xml:space="preserve">UE que ha recibido menos datos, sin considerar las condiciones del</w:t>
      </w:r>
      <w:r>
        <w:t xml:space="preserve"> </w:t>
      </w:r>
      <w:r>
        <w:t xml:space="preserve">canal</w:t>
      </w:r>
      <w:r>
        <w:t xml:space="preserve"> </w:t>
      </w:r>
      <w:r>
        <w:t xml:space="preserve">[2]</w:t>
      </w:r>
      <w:r>
        <w:t xml:space="preserve">. La métrica de BET 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B</m:t>
              </m:r>
              <m:r>
                <m:t>E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 el promedio de datos recibidos del 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[2]</w:t>
      </w:r>
      <w:r>
        <w:t xml:space="preserve">. En la implementación,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se actualiza en cada</w:t>
      </w:r>
      <w:r>
        <w:t xml:space="preserve"> </w:t>
      </w:r>
      <w:r>
        <w:t xml:space="preserve">RB. Los UE que todavía no han sido atendidos tienen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y,</w:t>
      </w:r>
      <w:r>
        <w:t xml:space="preserve"> </w:t>
      </w:r>
      <w:r>
        <w:t xml:space="preserve">por lo tanto, la métrica más alta, por lo que se atienden primero.</w:t>
      </w:r>
    </w:p>
    <w:bookmarkEnd w:id="26"/>
    <w:bookmarkStart w:id="27" w:name="proportional-fair-pf."/>
    <w:p>
      <w:pPr>
        <w:pStyle w:val="Heading3"/>
      </w:pPr>
      <w:r>
        <w:t xml:space="preserve">Proportional Fair (PF).</w:t>
      </w:r>
    </w:p>
    <w:p>
      <w:pPr>
        <w:pStyle w:val="FirstParagraph"/>
      </w:pPr>
      <w:r>
        <w:t xml:space="preserve">PF busca un punto medio entre BCQI y BET: favorece a los UE con buenas</w:t>
      </w:r>
      <w:r>
        <w:t xml:space="preserve"> </w:t>
      </w:r>
      <w:r>
        <w:t xml:space="preserve">condiciones de canal, pero tomando en cuenta el throughput que cada UE ha</w:t>
      </w:r>
      <w:r>
        <w:t xml:space="preserve"> </w:t>
      </w:r>
      <w:r>
        <w:t xml:space="preserve">recibido</w:t>
      </w:r>
      <w:r>
        <w:t xml:space="preserve"> </w:t>
      </w:r>
      <w:r>
        <w:t xml:space="preserve">[2], [3]</w:t>
      </w:r>
      <w:r>
        <w:t xml:space="preserve">. Su métrica 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P</m:t>
              </m:r>
              <m:r>
                <m:t>F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es la tasa que alcanzaría el 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en el RB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 su throughput promedio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Un UE con buenas condiciones de canal tiene un numerador</w:t>
      </w:r>
      <w:r>
        <w:t xml:space="preserve"> </w:t>
      </w:r>
      <w:r>
        <w:t xml:space="preserve">alto, pero su métrica disminuye conforme aumenta su throughput, lo que</w:t>
      </w:r>
      <w:r>
        <w:t xml:space="preserve"> </w:t>
      </w:r>
      <w:r>
        <w:t xml:space="preserve">permite que los UE con peores condiciones sean atendidos cuando su</w:t>
      </w:r>
      <w:r>
        <w:t xml:space="preserve"> </w:t>
      </w:r>
      <w:r>
        <w:t xml:space="preserve">throughput promedio es bajo.</w:t>
      </w:r>
    </w:p>
    <w:bookmarkEnd w:id="27"/>
    <w:bookmarkEnd w:id="28"/>
    <w:bookmarkStart w:id="29" w:name="métricas-de-desempeño"/>
    <w:p>
      <w:pPr>
        <w:pStyle w:val="Heading2"/>
      </w:pPr>
      <w:r>
        <w:t xml:space="preserve">Métricas de desempeño</w:t>
      </w:r>
    </w:p>
    <w:p>
      <w:pPr>
        <w:pStyle w:val="FirstParagraph"/>
      </w:pPr>
      <w:r>
        <w:t xml:space="preserve">Al final de cada simulación se calculan las siguientes métricas:</w:t>
      </w:r>
    </w:p>
    <w:p>
      <w:pPr>
        <w:numPr>
          <w:ilvl w:val="0"/>
          <w:numId w:val="1001"/>
        </w:numPr>
      </w:pPr>
      <w:r>
        <w:t xml:space="preserve">Throughput de la celda: total de bits entregados a todos los UE</w:t>
      </w:r>
      <w:r>
        <w:t xml:space="preserve"> </w:t>
      </w:r>
      <w:r>
        <w:t xml:space="preserve">entre el tiempo simulado.</w:t>
      </w:r>
    </w:p>
    <w:p>
      <w:pPr>
        <w:numPr>
          <w:ilvl w:val="0"/>
          <w:numId w:val="1001"/>
        </w:numPr>
      </w:pPr>
      <w:r>
        <w:t xml:space="preserve">Eficiencia espectral: throughput de la celda dividido entre el</w:t>
      </w:r>
      <w:r>
        <w:t xml:space="preserve"> </w:t>
      </w:r>
      <w:r>
        <w:t xml:space="preserve">ancho de banda del canal, en bits/s/Hz. Indica qué tan bien se</w:t>
      </w:r>
      <w:r>
        <w:t xml:space="preserve"> </w:t>
      </w:r>
      <w:r>
        <w:t xml:space="preserve">aprovecha el espectro disponible</w:t>
      </w:r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Equidad: índice de Jain sobre el throughput de cada UE,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numPr>
          <w:ilvl w:val="0"/>
          <w:numId w:val="1000"/>
        </w:numPr>
      </w:pPr>
      <w:r>
        <w:t xml:space="preserve">donde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el throughput del UE</w:t>
      </w:r>
      <w:r>
        <w:t xml:space="preserve"> </w:t>
      </w:r>
      <m:oMath>
        <m:r>
          <m:t>i</m:t>
        </m:r>
      </m:oMath>
      <w:r>
        <w:t xml:space="preserve">, es decir, la cantidad de</w:t>
      </w:r>
      <w:r>
        <w:t xml:space="preserve"> </w:t>
      </w:r>
      <w:r>
        <w:t xml:space="preserve">datos que recibió dividida entre el tiempo simulado, 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es el</w:t>
      </w:r>
      <w:r>
        <w:t xml:space="preserve"> </w:t>
      </w:r>
      <w:r>
        <w:t xml:space="preserve">número de UE</w:t>
      </w:r>
      <w:r>
        <w:t xml:space="preserve"> </w:t>
      </w:r>
      <w:r>
        <w:t xml:space="preserve">[6]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Retardo promedio: tiempo promedio entre la llegada de un UE y la</w:t>
      </w:r>
      <w:r>
        <w:t xml:space="preserve"> </w:t>
      </w:r>
      <w:r>
        <w:t xml:space="preserve">entrega completa de su paquete, calculado sobre los UE que</w:t>
      </w:r>
      <w:r>
        <w:t xml:space="preserve"> </w:t>
      </w:r>
      <w:r>
        <w:t xml:space="preserve">completaron su paquete, con una resolución de una trama.</w:t>
      </w:r>
    </w:p>
    <w:p>
      <w:pPr>
        <w:numPr>
          <w:ilvl w:val="0"/>
          <w:numId w:val="1001"/>
        </w:numPr>
      </w:pPr>
      <w:r>
        <w:t xml:space="preserve">Probabilidad de interrupción (</w:t>
      </w:r>
      <w:r>
        <w:rPr>
          <w:iCs/>
          <w:i/>
        </w:rPr>
        <w:t xml:space="preserve">outage</w:t>
      </w:r>
      <w:r>
        <w:t xml:space="preserve">): porcentaje de UE con</w:t>
      </w:r>
      <w:r>
        <w:t xml:space="preserve"> </w:t>
      </w:r>
      <w:r>
        <w:t xml:space="preserve">datos pendientes que no recibieron ningún bit en una trama, promediado</w:t>
      </w:r>
      <w:r>
        <w:t xml:space="preserve"> </w:t>
      </w:r>
      <w:r>
        <w:t xml:space="preserve">sobre todas las tramas.</w:t>
      </w:r>
    </w:p>
    <w:bookmarkEnd w:id="29"/>
    <w:bookmarkStart w:id="34" w:name="resultados"/>
    <w:p>
      <w:pPr>
        <w:pStyle w:val="Heading2"/>
      </w:pPr>
      <w:r>
        <w:t xml:space="preserve">Resultados</w:t>
      </w:r>
    </w:p>
    <w:p>
      <w:pPr>
        <w:pStyle w:val="FirstParagraph"/>
      </w:pPr>
      <w:r>
        <w:t xml:space="preserve">Los cuatro despachadores se evaluaron en la misma celda y bajo las mismas</w:t>
      </w:r>
      <w:r>
        <w:t xml:space="preserve"> </w:t>
      </w:r>
      <w:r>
        <w:t xml:space="preserve">condiciones, según la tabla 1.</w:t>
      </w:r>
    </w:p>
    <w:p>
      <w:pPr>
        <w:pStyle w:val="BodyText"/>
      </w:pPr>
      <w:r>
        <w:t xml:space="preserve">Con buffer infinito, todos los UE permanecen en la celda durante toda la</w:t>
      </w:r>
      <w:r>
        <w:t xml:space="preserve"> </w:t>
      </w:r>
      <w:r>
        <w:t xml:space="preserve">simulación. Lo anterior permite observar cómo asigna cada despachador los</w:t>
      </w:r>
      <w:r>
        <w:t xml:space="preserve"> </w:t>
      </w:r>
      <w:r>
        <w:t xml:space="preserve">recursos sin modificar sus condiciones de paquete de datos. Cada</w:t>
      </w:r>
      <w:r>
        <w:t xml:space="preserve"> </w:t>
      </w:r>
      <w:r>
        <w:t xml:space="preserve">despachador se simula durante 1 s y cada simulación inicia con la misma</w:t>
      </w:r>
      <w:r>
        <w:t xml:space="preserve"> </w:t>
      </w:r>
      <w:r>
        <w:t xml:space="preserve">generación de números aleatorios.</w:t>
      </w:r>
    </w:p>
    <w:p>
      <w:pPr>
        <w:pStyle w:val="TableCaption"/>
      </w:pPr>
      <w:r>
        <w:t xml:space="preserve">Tabla 1. Parámetros de simulación.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a 1. Parámetros de simulación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UE activos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de la celda (</w:t>
            </w:r>
            <m:oMath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 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Frecuencia portadora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 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de transmisión (</w:t>
            </w: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 dBm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 del canal (</w:t>
            </w:r>
            <m:oMath>
              <m:r>
                <m:t>B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 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 pérdidas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NLOS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de interferencia (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(</w:t>
            </w:r>
            <m:oMath>
              <m:r>
                <m:t>F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tramas (1 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infinito</w:t>
            </w:r>
          </w:p>
        </w:tc>
      </w:tr>
    </w:tbl>
    <w:bookmarkStart w:id="33" w:name="throughput-por-ue."/>
    <w:p>
      <w:pPr>
        <w:pStyle w:val="Heading3"/>
      </w:pPr>
      <w:r>
        <w:t xml:space="preserve">Throughput por UE.</w:t>
      </w:r>
    </w:p>
    <w:p>
      <w:pPr>
        <w:pStyle w:val="FirstParagraph"/>
      </w:pPr>
      <w:r>
        <w:t xml:space="preserve">La fig. 2 muestra el throughput promedio de cada UE en función</w:t>
      </w:r>
      <w:r>
        <w:t xml:space="preserve"> </w:t>
      </w:r>
      <w:r>
        <w:t xml:space="preserve">de su distancia a la gNB. Con RR, cada UE recibe</w:t>
      </w:r>
      <w:r>
        <w:t xml:space="preserve"> </w:t>
      </w:r>
      <w:r>
        <w:t xml:space="preserve">el 2.5% de los RB disponibles, por lo que su throughput depende solo de</w:t>
      </w:r>
      <w:r>
        <w:t xml:space="preserve"> </w:t>
      </w:r>
      <w:r>
        <w:t xml:space="preserve">las condiciones del canal.</w:t>
      </w:r>
    </w:p>
    <w:p>
      <w:pPr>
        <w:pStyle w:val="BodyText"/>
      </w:pPr>
      <w:r>
        <w:t xml:space="preserve">BCQI asigna cada RB al UE con mayor SINR, de modo que solo atiende a los</w:t>
      </w:r>
      <w:r>
        <w:t xml:space="preserve"> </w:t>
      </w:r>
      <w:r>
        <w:t xml:space="preserve">dos UE más cercanos: el UE ubicado junto a la gNB recibe el 93.8%</w:t>
      </w:r>
      <w:r>
        <w:t xml:space="preserve"> </w:t>
      </w:r>
      <w:r>
        <w:t xml:space="preserve">de los RB (21.9 Mbps) y el UE a 25.6 m el resto (1.4 Mbps). Los 38 UE</w:t>
      </w:r>
      <w:r>
        <w:t xml:space="preserve"> </w:t>
      </w:r>
      <w:r>
        <w:t xml:space="preserve">restantes no reciben datos y no aparecen en la figura.</w:t>
      </w:r>
    </w:p>
    <w:p>
      <w:pPr>
        <w:pStyle w:val="BodyText"/>
      </w:pPr>
      <w:r>
        <w:t xml:space="preserve">BET iguala el throughput de todos los UE. Para lograrlo, asigna más RB</w:t>
      </w:r>
      <w:r>
        <w:t xml:space="preserve"> </w:t>
      </w:r>
      <w:r>
        <w:t xml:space="preserve">a los UE con peores condiciones de canal (del 1.6% para el UE más</w:t>
      </w:r>
      <w:r>
        <w:t xml:space="preserve"> </w:t>
      </w:r>
      <w:r>
        <w:t xml:space="preserve">cercano al 5.3% para el UE del borde), lo que reduce el throughput de los</w:t>
      </w:r>
      <w:r>
        <w:t xml:space="preserve"> </w:t>
      </w:r>
      <w:r>
        <w:t xml:space="preserve">UE que se encuentran más cerca del gNB con respecto a RR y PF.</w:t>
      </w:r>
    </w:p>
    <w:p>
      <w:pPr>
        <w:pStyle w:val="BodyText"/>
      </w:pPr>
      <w:r>
        <w:t xml:space="preserve">PF reparte los RB casi en la misma proporción que RR (entre 2.42% y</w:t>
      </w:r>
      <w:r>
        <w:t xml:space="preserve"> </w:t>
      </w:r>
      <w:r>
        <w:t xml:space="preserve">2.50% por UE), pero a cada UE se le asignan los RB en los que tiene menor</w:t>
      </w:r>
      <w:r>
        <w:t xml:space="preserve"> </w:t>
      </w:r>
      <w:r>
        <w:t xml:space="preserve">interferencia.</w:t>
      </w:r>
    </w:p>
    <w:p>
      <w:pPr>
        <w:pStyle w:val="CaptionedFigure"/>
      </w:pPr>
      <w:r>
        <w:drawing>
          <wp:inline>
            <wp:extent cx="2879999" cy="19157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_tp_distancia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91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Throughput por UE en función de la distancia a la</w:t>
      </w:r>
      <w:r>
        <w:t xml:space="preserve"> </w:t>
      </w:r>
      <w:r>
        <w:t xml:space="preserve">gNB. Los 38 UE sin servicio con BCQI tienen throughput 0 y no</w:t>
      </w:r>
      <w:r>
        <w:t xml:space="preserve"> </w:t>
      </w:r>
      <w:r>
        <w:t xml:space="preserve">se muestran en la gráfica.</w:t>
      </w:r>
    </w:p>
    <w:p>
      <w:pPr>
        <w:pStyle w:val="BodyText"/>
      </w:pPr>
      <w:r>
        <w:t xml:space="preserve">La Tabla 2 resume las métricas calculadas en la simulación.</w:t>
      </w:r>
      <w:r>
        <w:t xml:space="preserve"> </w:t>
      </w:r>
      <w:r>
        <w:t xml:space="preserve">BCQI obtiene el mayor throughput de la celda (23.3 Mbps, que</w:t>
      </w:r>
      <w:r>
        <w:t xml:space="preserve"> </w:t>
      </w:r>
      <w:r>
        <w:t xml:space="preserve">equivale a una eficiencia espectral de 4.67 bits/s/Hz), pero con un valor de</w:t>
      </w:r>
      <w:r>
        <w:t xml:space="preserve"> </w:t>
      </w:r>
      <w:r>
        <w:t xml:space="preserve">equidad según el índice de Jain de 0.03. BET alcanza una equidad</w:t>
      </w:r>
      <w:r>
        <w:t xml:space="preserve"> </w:t>
      </w:r>
      <w:r>
        <w:t xml:space="preserve">prácticamente perfecta (</w:t>
      </w:r>
      <m:oMath>
        <m:r>
          <m:t>J</m:t>
        </m:r>
        <m:r>
          <m:rPr>
            <m:sty m:val="p"/>
          </m:rPr>
          <m:t>=</m:t>
        </m:r>
        <m:r>
          <m:t>1.00</m:t>
        </m:r>
      </m:oMath>
      <w:r>
        <w:t xml:space="preserve">) con el menor throughput (14.6 Mbps).</w:t>
      </w:r>
      <w:r>
        <w:t xml:space="preserve"> </w:t>
      </w:r>
      <w:r>
        <w:t xml:space="preserve">PF obtiene el segundo mayor throughput (19.1 Mbps, 11% más que RR) y una</w:t>
      </w:r>
      <w:r>
        <w:t xml:space="preserve"> </w:t>
      </w:r>
      <w:r>
        <w:t xml:space="preserve">equidad de 0.94, mayor que la de RR (0.89).</w:t>
      </w:r>
    </w:p>
    <w:p>
      <w:pPr>
        <w:pStyle w:val="TableCaption"/>
      </w:pPr>
      <w:r>
        <w:t xml:space="preserve">Tabla 2. Métricas globales por despachador.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Tabla 2. Métricas globales por despachador.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Despachador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Eficiencia espectral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(Mbps)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(bits/s/Hz)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BCQI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</w:t>
            </w:r>
          </w:p>
        </w:tc>
      </w:tr>
    </w:tbl>
    <w:p>
      <w:pPr>
        <w:pStyle w:val="BodyText"/>
      </w:pPr>
      <w:r>
        <w:t xml:space="preserve">Los resultados muestran el compromiso entre throughput y equidad de cada</w:t>
      </w:r>
      <w:r>
        <w:t xml:space="preserve"> </w:t>
      </w:r>
      <w:r>
        <w:t xml:space="preserve">estrategia de despacho. BCQI maximiza el throughput de la celda a cambio de dejar sin</w:t>
      </w:r>
      <w:r>
        <w:t xml:space="preserve"> </w:t>
      </w:r>
      <w:r>
        <w:t xml:space="preserve">servicio a una gran cantidad de UE, mientras BET logra la mayor equidad a cambio</w:t>
      </w:r>
      <w:r>
        <w:t xml:space="preserve"> </w:t>
      </w:r>
      <w:r>
        <w:t xml:space="preserve">de menor throughput y otorgar menos recursos a los UE cercanos al gNB.</w:t>
      </w:r>
      <w:r>
        <w:t xml:space="preserve"> </w:t>
      </w:r>
      <w:r>
        <w:t xml:space="preserve">RR reparte los recursos por igual, pero no aprovecha las condiciones del</w:t>
      </w:r>
      <w:r>
        <w:t xml:space="preserve"> </w:t>
      </w:r>
      <w:r>
        <w:t xml:space="preserve">canal para asignar recursos. PF ofrece el mejor balance: el segundo mayor throughput de la</w:t>
      </w:r>
      <w:r>
        <w:t xml:space="preserve"> </w:t>
      </w:r>
      <w:r>
        <w:t xml:space="preserve">celda, una equidad de 0.94 y 45% más throughput que RR para el UE que se encuentra</w:t>
      </w:r>
      <w:r>
        <w:t xml:space="preserve"> </w:t>
      </w:r>
      <w:r>
        <w:t xml:space="preserve">en el borde de la celda.</w:t>
      </w:r>
    </w:p>
    <w:bookmarkEnd w:id="33"/>
    <w:bookmarkEnd w:id="34"/>
    <w:bookmarkEnd w:id="35"/>
    <w:bookmarkStart w:id="45" w:name="referencias"/>
    <w:p>
      <w:pPr>
        <w:pStyle w:val="Heading1"/>
      </w:pPr>
      <w:r>
        <w:t xml:space="preserve">Referencias</w:t>
      </w:r>
    </w:p>
    <w:bookmarkStart w:id="44" w:name="refs"/>
    <w:bookmarkStart w:id="37" w:name="ref-lin2019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X. Lin</w:t>
      </w:r>
      <w:r>
        <w:t xml:space="preserve"> </w:t>
      </w:r>
      <w:r>
        <w:rPr>
          <w:iCs/>
          <w:i/>
        </w:rPr>
        <w:t xml:space="preserve">et al.</w:t>
      </w:r>
      <w:r>
        <w:t xml:space="preserve">,</w:t>
      </w:r>
      <w:r>
        <w:t xml:space="preserve"> </w:t>
      </w:r>
      <w:r>
        <w:t xml:space="preserve">“</w:t>
      </w:r>
      <w:r>
        <w:t xml:space="preserve">5G</w:t>
      </w:r>
      <w:r>
        <w:t xml:space="preserve"> </w:t>
      </w:r>
      <w:r>
        <w:t xml:space="preserve">New</w:t>
      </w:r>
      <w:r>
        <w:t xml:space="preserve"> </w:t>
      </w:r>
      <w:r>
        <w:t xml:space="preserve">Radio</w:t>
      </w:r>
      <w:r>
        <w:t xml:space="preserve">: Unveiling the Essentials of the Next Generation Wireless Access Technology”</w:t>
      </w:r>
      <w:r>
        <w:t xml:space="preserve">,</w:t>
      </w:r>
      <w:r>
        <w:t xml:space="preserve"> </w:t>
      </w:r>
      <w:r>
        <w:rPr>
          <w:iCs/>
          <w:i/>
        </w:rPr>
        <w:t xml:space="preserve">IEEE Communications Standards Magazine</w:t>
      </w:r>
      <w:r>
        <w:t xml:space="preserve">, vol. 3, núm. 3, pp. 30–37, sep. 2019, doi:</w:t>
      </w:r>
      <w:r>
        <w:t xml:space="preserve"> </w:t>
      </w:r>
      <w:hyperlink r:id="rId36">
        <w:r>
          <w:rPr>
            <w:rStyle w:val="Hyperlink"/>
          </w:rPr>
          <w:t xml:space="preserve">10.1109/MCOMSTD.001.1800036</w:t>
        </w:r>
      </w:hyperlink>
      <w:r>
        <w:t xml:space="preserve">.</w:t>
      </w:r>
    </w:p>
    <w:bookmarkEnd w:id="37"/>
    <w:bookmarkStart w:id="38" w:name="ref-capozzi201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F. Capozzi, G. Piro, L. A. Grieco, G. Boggia, y P. Camarda,</w:t>
      </w:r>
      <w:r>
        <w:t xml:space="preserve"> </w:t>
      </w:r>
      <w:r>
        <w:t xml:space="preserve">“Downlink Packet Scheduling in</w:t>
      </w:r>
      <w:r>
        <w:t xml:space="preserve"> </w:t>
      </w:r>
      <w:r>
        <w:t xml:space="preserve">LTE</w:t>
      </w:r>
      <w:r>
        <w:t xml:space="preserve"> </w:t>
      </w:r>
      <w:r>
        <w:t xml:space="preserve">Cellular Networks: Key Design Issues and a Survey”</w:t>
      </w:r>
      <w:r>
        <w:t xml:space="preserve">,</w:t>
      </w:r>
      <w:r>
        <w:t xml:space="preserve"> </w:t>
      </w:r>
      <w:r>
        <w:rPr>
          <w:iCs/>
          <w:i/>
        </w:rPr>
        <w:t xml:space="preserve">IEEE Communications Surveys &amp; Tutorials</w:t>
      </w:r>
      <w:r>
        <w:t xml:space="preserve">, vol. 15, núm. 2, pp. 678–700, 2013.</w:t>
      </w:r>
    </w:p>
    <w:bookmarkEnd w:id="38"/>
    <w:bookmarkStart w:id="39" w:name="ref-fitriasari202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I. Fitriasari, A. I. Lestari, D. L. Luhurkinanti, y R. F. Sari,</w:t>
      </w:r>
      <w:r>
        <w:t xml:space="preserve"> </w:t>
      </w:r>
      <w:r>
        <w:t xml:space="preserve">“Performance Evaluation of Downlink Multi-user</w:t>
      </w:r>
      <w:r>
        <w:t xml:space="preserve"> </w:t>
      </w:r>
      <w:r>
        <w:t xml:space="preserve">OFDMA</w:t>
      </w:r>
      <w:r>
        <w:t xml:space="preserve"> </w:t>
      </w:r>
      <w:r>
        <w:t xml:space="preserve">Scheduling in</w:t>
      </w:r>
      <w:r>
        <w:t xml:space="preserve"> </w:t>
      </w:r>
      <w:r>
        <w:t xml:space="preserve">5G</w:t>
      </w:r>
      <w:r>
        <w:t xml:space="preserve"> </w:t>
      </w:r>
      <w:r>
        <w:t xml:space="preserve">New</w:t>
      </w:r>
      <w:r>
        <w:t xml:space="preserve"> </w:t>
      </w:r>
      <w:r>
        <w:t xml:space="preserve">Radio</w:t>
      </w:r>
      <w:r>
        <w:t xml:space="preserve"> </w:t>
      </w:r>
      <w:r>
        <w:t xml:space="preserve">(</w:t>
      </w:r>
      <w:r>
        <w:t xml:space="preserve">NR</w:t>
      </w:r>
      <w:r>
        <w:t xml:space="preserve">)”</w:t>
      </w:r>
      <w:r>
        <w:t xml:space="preserve">, en</w:t>
      </w:r>
      <w:r>
        <w:t xml:space="preserve"> </w:t>
      </w:r>
      <w:r>
        <w:rPr>
          <w:iCs/>
          <w:i/>
        </w:rPr>
        <w:t xml:space="preserve">Proc. 18th International Conference on Electrical Engineering/Electronics, Computer, Telecommunications and Information Technology (ECTI-CON)</w:t>
      </w:r>
      <w:r>
        <w:t xml:space="preserve">, Chiang Mai, Thailand, 2021, pp. 219–223.</w:t>
      </w:r>
    </w:p>
    <w:bookmarkEnd w:id="39"/>
    <w:bookmarkStart w:id="40" w:name="ref-haque202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E. Haque, F. Tariq, M. Khandaker, K. Wong, y Y. Zhang,</w:t>
      </w:r>
      <w:r>
        <w:t xml:space="preserve"> </w:t>
      </w:r>
      <w:r>
        <w:t xml:space="preserve">“A Survey of Scheduling in</w:t>
      </w:r>
      <w:r>
        <w:t xml:space="preserve"> </w:t>
      </w:r>
      <w:r>
        <w:t xml:space="preserve">5G</w:t>
      </w:r>
      <w:r>
        <w:t xml:space="preserve"> </w:t>
      </w:r>
      <w:r>
        <w:t xml:space="preserve">URLLC</w:t>
      </w:r>
      <w:r>
        <w:t xml:space="preserve"> </w:t>
      </w:r>
      <w:r>
        <w:t xml:space="preserve">and Outlook for Emerging</w:t>
      </w:r>
      <w:r>
        <w:t xml:space="preserve"> </w:t>
      </w:r>
      <w:r>
        <w:t xml:space="preserve">6G</w:t>
      </w:r>
      <w:r>
        <w:t xml:space="preserve"> </w:t>
      </w:r>
      <w:r>
        <w:t xml:space="preserve">Systems”</w:t>
      </w:r>
      <w:r>
        <w:t xml:space="preserve">,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vol. 11, pp. 34372–34396, 2023.</w:t>
      </w:r>
    </w:p>
    <w:bookmarkEnd w:id="40"/>
    <w:bookmarkStart w:id="41" w:name="ref-mamane202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Mamane, M. Fattah, M. El Ghazi, M. El Bekkali, Y. Balboul, y S. Mazer,</w:t>
      </w:r>
      <w:r>
        <w:t xml:space="preserve"> </w:t>
      </w:r>
      <w:r>
        <w:t xml:space="preserve">“Scheduling Algorithms for</w:t>
      </w:r>
      <w:r>
        <w:t xml:space="preserve"> </w:t>
      </w:r>
      <w:r>
        <w:t xml:space="preserve">5G</w:t>
      </w:r>
      <w:r>
        <w:t xml:space="preserve"> </w:t>
      </w:r>
      <w:r>
        <w:t xml:space="preserve">Networks and Beyond: Classification and Survey”</w:t>
      </w:r>
      <w:r>
        <w:t xml:space="preserve">,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vol. 10, pp. 51643–51661, 2022.</w:t>
      </w:r>
    </w:p>
    <w:bookmarkEnd w:id="41"/>
    <w:bookmarkStart w:id="43" w:name="ref-shi201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Shi, R. V. Prasad, E. Onur, y I. G. M. M. Niemegeers,</w:t>
      </w:r>
      <w:r>
        <w:t xml:space="preserve"> </w:t>
      </w:r>
      <w:r>
        <w:t xml:space="preserve">“Fairness in Wireless Networks: Issues, Measures and Challenges”</w:t>
      </w:r>
      <w:r>
        <w:t xml:space="preserve">,</w:t>
      </w:r>
      <w:r>
        <w:t xml:space="preserve"> </w:t>
      </w:r>
      <w:r>
        <w:rPr>
          <w:iCs/>
          <w:i/>
        </w:rPr>
        <w:t xml:space="preserve">IEEE Communications Surveys &amp; Tutorials</w:t>
      </w:r>
      <w:r>
        <w:t xml:space="preserve">, vol. 16, núm. 1, pp. 5–24, 2014, doi:</w:t>
      </w:r>
      <w:r>
        <w:t xml:space="preserve"> </w:t>
      </w:r>
      <w:hyperlink r:id="rId42">
        <w:r>
          <w:rPr>
            <w:rStyle w:val="Hyperlink"/>
          </w:rPr>
          <w:t xml:space="preserve">10.1109/SURV.2013.050113.00015</w:t>
        </w:r>
      </w:hyperlink>
      <w:r>
        <w:t xml:space="preserve">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hyperlink" Id="rId36" Target="https://doi.org/10.1109/MCOMSTD.001.1800036" TargetMode="External" /><Relationship Type="http://schemas.openxmlformats.org/officeDocument/2006/relationships/hyperlink" Id="rId42" Target="https://doi.org/10.1109/SURV.2013.050113.0001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109/MCOMSTD.001.1800036" TargetMode="External" /><Relationship Type="http://schemas.openxmlformats.org/officeDocument/2006/relationships/hyperlink" Id="rId42" Target="https://doi.org/10.1109/SURV.2013.050113.0001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2026-10-28T02:57:30Z</dcterms:created>
  <dcterms:modified xsi:type="dcterms:W3CDTF">2026-10-28T02:57:30Z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/mnt/project-files/CITCA/references.bib</vt:lpwstr>
  </property>
  <property fmtid="{D5CDD505-2E9C-101B-9397-08002B2CF9AE}" pid="3" name="csl">
    <vt:lpwstr>../csl/ieee.csl</vt:lpwstr>
  </property>
  <property fmtid="{D5CDD505-2E9C-101B-9397-08002B2CF9AE}" pid="4" name="link-citations">
    <vt:lpwstr>False</vt:lpwstr>
  </property>
</Properties>
</file>