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pStyle w:val="Title"/>
        <w:rPr>
          <w:lang w:val="es-ES_tradnl"/>
          <w14:textFill>
            <w14:solidFill>
              <w14:srgbClr w14:val="000000"/>
            </w14:solidFill>
          </w14:textFill>
        </w:rPr>
      </w:pPr>
      <w:r>
        <w:rPr>
          <w:lang w:val="es-ES_tradnl"/>
          <w14:textFill>
            <w14:solidFill>
              <w14:srgbClr w14:val="000000"/>
            </w14:solidFill>
          </w14:textFill>
        </w:rPr>
        <w:t xml:space="preserve">Análisis comparativo del desempeño de algoritmos de planificación de recursos radio en redes móviles de nueva generación</w:t>
      </w:r>
    </w:p>
    <w:p>
      <w:pPr>
        <w:pStyle w:val="Auhtor"/>
        <w:rPr>
          <w:lang w:val="es-ES_tradnl"/>
          <w14:textFill>
            <w14:solidFill>
              <w14:srgbClr w14:val="000000"/>
            </w14:solidFill>
          </w14:textFill>
        </w:rPr>
      </w:pPr>
      <w:r>
        <w:rPr>
          <w:lang w:val="es-ES_tradnl"/>
          <w14:textFill>
            <w14:solidFill>
              <w14:srgbClr w14:val="000000"/>
            </w14:solidFill>
          </w14:textFill>
        </w:rPr>
        <w:t xml:space="preserve">José Manuel Luque* Guillermo Galaviz** Enrique R. Bastidas*** Ángel G. Andrade****</w:t>
      </w:r>
    </w:p>
    <w:p>
      <w:pPr>
        <w:pStyle w:val="Affiliation"/>
        <w:rPr>
          <w:lang w:val="es-ES_tradnl"/>
          <w14:textFill>
            <w14:solidFill>
              <w14:srgbClr w14:val="000000"/>
            </w14:solidFill>
          </w14:textFill>
        </w:rPr>
      </w:pPr>
      <w:r>
        <w:rPr>
          <w:lang w:val="es-ES_tradnl"/>
          <w14:textFill>
            <w14:solidFill>
              <w14:srgbClr w14:val="000000"/>
            </w14:solidFill>
          </w14:textFill>
        </w:rPr>
        <w:t xml:space="preserve">*Facultad de Ingeniería, Universidad Autónoma de Baja California; Blvd. Benito Juarez, sin número, Mexicali, Baja California, 21280, ( e-mail: luquej@uabc.edu.mx)</w:t>
      </w:r>
    </w:p>
    <w:p>
      <w:pPr>
        <w:pStyle w:val="Affiliation"/>
        <w:rPr>
          <w:lang w:val="es-ES_tradnl"/>
          <w14:textFill>
            <w14:solidFill>
              <w14:srgbClr w14:val="000000"/>
            </w14:solidFill>
          </w14:textFill>
        </w:rPr>
      </w:pPr>
      <w:r>
        <w:rPr>
          <w:lang w:val="es-ES_tradnl"/>
          <w14:textFill>
            <w14:solidFill>
              <w14:srgbClr w14:val="000000"/>
            </w14:solidFill>
          </w14:textFill>
        </w:rPr>
        <w:t xml:space="preserve">** Facultad de Ingeniería, Universidad Autónoma de Baja California; Blvd. Benito Juarez, sin número, Mexicali, Baja California, 21280, ( e-mail: ggalaviz@uabc.edu.mx).</w:t>
      </w:r>
    </w:p>
    <w:p>
      <w:pPr>
        <w:pStyle w:val="Affiliation"/>
        <w:rPr>
          <w:lang w:val="es-ES_tradnl"/>
          <w14:textFill>
            <w14:solidFill>
              <w14:srgbClr w14:val="000000"/>
            </w14:solidFill>
          </w14:textFill>
        </w:rPr>
      </w:pPr>
      <w:r>
        <w:rPr>
          <w:lang w:val="es-ES_tradnl"/>
          <w14:textFill>
            <w14:solidFill>
              <w14:srgbClr w14:val="000000"/>
            </w14:solidFill>
          </w14:textFill>
        </w:rPr>
        <w:t xml:space="preserve">*** Facultad de Ingeniería, Universidad Autónoma de Baja California; Blvd. Benito Juarez, sin número, Mexicali, Baja California, 21280, ( e-mail: rbastidas@uabc.edu.mx).</w:t>
      </w:r>
    </w:p>
    <w:p>
      <w:pPr>
        <w:pStyle w:val="Affiliation"/>
        <w:rPr>
          <w:lang w:val="es-ES_tradnl"/>
          <w14:textFill>
            <w14:solidFill>
              <w14:srgbClr w14:val="000000"/>
            </w14:solidFill>
          </w14:textFill>
        </w:rPr>
      </w:pPr>
      <w:r>
        <w:rPr>
          <w:lang w:val="es-ES_tradnl"/>
          <w14:textFill>
            <w14:solidFill>
              <w14:srgbClr w14:val="000000"/>
            </w14:solidFill>
          </w14:textFill>
        </w:rPr>
        <w:t xml:space="preserve">*** Facultad de Ingeniería, Universidad Autónoma de Baja California; Blvd. Benito Juarez, sin número, Mexicali, Baja California, 21280, ( e-mail: aandrade@uabc.edu.mx).</w:t>
      </w:r>
    </w:p>
    <w:p>
      <w:pPr>
        <w:pStyle w:val="Abstract"/>
        <w:spacing w:before="240"/>
        <w:rPr>
          <w:lang w:val="es-ES_tradnl"/>
          <w14:textFill>
            <w14:solidFill>
              <w14:srgbClr w14:val="000000"/>
            </w14:solidFill>
          </w14:textFill>
        </w:rPr>
      </w:pPr>
      <w:r>
        <w:rPr>
          <w:b/>
          <w:bCs/>
          <w:lang w:val="es-ES_tradnl"/>
          <w14:textFill>
            <w14:solidFill>
              <w14:srgbClr w14:val="000000"/>
            </w14:solidFill>
          </w14:textFill>
        </w:rPr>
        <w:t xml:space="preserve">Resumen</w:t>
      </w:r>
      <w:r>
        <w:rPr>
          <w:lang w:val="es-ES_tradnl"/>
          <w14:textFill>
            <w14:solidFill>
              <w14:srgbClr w14:val="000000"/>
            </w14:solidFill>
          </w14:textFill>
        </w:rPr>
        <w:t xml:space="preserve">: La planificación de recursos de radio es un mecanismo fundamental para las redes móviles de nueva generación, ya que determina cómo se distribuyen los recursos disponibles entre los equipos de usuario (UE) y afecta tanto la tasa de transmisión de datos de la celda como la equidad en la asignación. En este trabajo se evalúa el desempeño de cuatro algoritmos de planificación de recursos de radio, Round Robin (RR), Best CQI (BCQI), Blind Equal Throughput (BET) y Proportional Fair (PF). El análisis de rendimiento se realiza mediante simulación del enlace descendente de una celda basada en la tecnología LTE-Advanced. El desempeño se analiza en términos de la tasa de transmisión de datos de la celda, la eficiencia espectral y el índice de equidad de Jain. Los resultados muestran que BCQI alcanza la mayor tasa de transmisión, pero presenta una equidad muy baja, al concentrar los recursos en los usuarios con mejores condiciones de canal. En contraste, BET alcanza la máxima equidad, aunque presenta la menor tasa de transmisión de datos. PF ofrece el compromiso más favorable entre tasa de transmisión de datos y equidad en el escenario evaluado, al superar a RR en ambos indicadores y proporcionar una tasa de transmisión de datos 45% mayor al usuario con condiciones de canal desfavorables.</w:t>
      </w:r>
    </w:p>
    <w:p>
      <w:pPr>
        <w:pStyle w:val="Keywords"/>
        <w:rPr>
          <w:lang w:val="es-ES_tradnl"/>
          <w14:textFill>
            <w14:solidFill>
              <w14:srgbClr w14:val="000000"/>
            </w14:solidFill>
          </w14:textFill>
        </w:rPr>
      </w:pPr>
      <w:r>
        <w:rPr>
          <w:i/>
          <w:iCs/>
          <w:lang w:val="es-ES_tradnl"/>
          <w14:textFill>
            <w14:solidFill>
              <w14:srgbClr w14:val="000000"/>
            </w14:solidFill>
          </w14:textFill>
        </w:rPr>
        <w:t xml:space="preserve">Palabras clave</w:t>
      </w:r>
      <w:r>
        <w:rPr>
          <w:lang w:val="es-ES_tradnl"/>
          <w14:textFill>
            <w14:solidFill>
              <w14:srgbClr w14:val="000000"/>
            </w14:solidFill>
          </w14:textFill>
        </w:rPr>
        <w:t xml:space="preserve">: Planificación de recursos de radio, redes móviles celulares, tasa de transmisión de datos, eficiencia espectral, equidad, índice de Jain.</w:t>
      </w:r>
    </w:p>
    <w:p>
      <w:pPr>
        <w:rPr>
          <w14:textFill>
            <w14:solidFill>
              <w14:srgbClr w14:val="000000"/>
            </w14:solidFill>
          </w14:textFill>
        </w:rPr>
        <w:sectPr>
          <w:type w:val="nextPage"/>
          <w:pgSz w:w="11906" w:h="16838"/>
          <w:pgMar w:top="1985" w:right="1701" w:bottom="1418" w:left="1701" w:header="709" w:footer="709" w:gutter="0"/>
          <w:cols w:space="708" w:num="1"/>
          <w:docGrid w:linePitch="360"/>
        </w:sectPr>
      </w:pPr>
    </w:p>
    <w:p>
      <w:pPr>
        <w:pStyle w:val="Section"/>
        <w:rPr>
          <w:lang w:val="es-ES_tradnl"/>
          <w14:textFill>
            <w14:solidFill>
              <w14:srgbClr w14:val="000000"/>
            </w14:solidFill>
          </w14:textFill>
        </w:rPr>
      </w:pPr>
      <w:r>
        <w:rPr>
          <w:lang w:val="es-ES_tradnl"/>
          <w14:textFill>
            <w14:solidFill>
              <w14:srgbClr w14:val="000000"/>
            </w14:solidFill>
          </w14:textFill>
        </w:rPr>
        <w:t xml:space="preserve">1. INTRODUCCIÓN</w:t>
      </w:r>
    </w:p>
    <w:p>
      <w:pPr>
        <w:pStyle w:val="Text"/>
        <w:rPr>
          <w:lang w:val="es-ES_tradnl"/>
          <w14:textFill>
            <w14:solidFill>
              <w14:srgbClr w14:val="000000"/>
            </w14:solidFill>
          </w14:textFill>
        </w:rPr>
      </w:pPr>
      <w:r>
        <w:rPr>
          <w:lang w:val="es-ES_tradnl"/>
          <w14:textFill>
            <w14:solidFill>
              <w14:srgbClr w14:val="000000"/>
            </w14:solidFill>
          </w14:textFill>
        </w:rPr>
        <w:t xml:space="preserve">La evolución de las redes móviles hacia los sistemas móviles de sexta generación (6G) plantea nuevos desafíos para el aprovechamiento eficiente del espectro radioeléctrico. El incremento en el número de dispositivos conectados, la creciente demanda de tráfico de datos y la diversidad de servicios que deberán soportar estas redes hacen necesario desarrollar estrategias que permitan utilizar los recursos de comunicación de manera más eficiente. En este contexto, la compartición del espectro radioeléctrico constituye una alternativa para mejorar su aprovechamiento, al permitir que diferentes sistemas o usuarios accedan a bandas de frecuencia bajo determinadas condiciones de coexistencia y coordinación [1], [2].</w:t>
      </w:r>
    </w:p>
    <w:p>
      <w:pPr>
        <w:pStyle w:val="Text"/>
        <w:rPr>
          <w:lang w:val="es-ES_tradnl"/>
          <w14:textFill>
            <w14:solidFill>
              <w14:srgbClr w14:val="000000"/>
            </w14:solidFill>
          </w14:textFill>
        </w:rPr>
      </w:pPr>
      <w:r>
        <w:rPr>
          <w:lang w:val="es-ES_tradnl"/>
          <w14:textFill>
            <w14:solidFill>
              <w14:srgbClr w14:val="000000"/>
            </w14:solidFill>
          </w14:textFill>
        </w:rPr>
        <w:t xml:space="preserve">Por otra parte, estas futuras redes móviles deberán proporcionar conectividad a una amplia variedad de aplicaciones, desde servicios de banda ancha móvil (eMBB) hasta aplicaciones asociadas al Internet de Todo (IoE) y a las comunicaciones que requieren baja latencia (ULLC) y alta confiabilidad. Esta diversidad implica que los usuarios no necesariamente tendrán las mismas necesidades de transmisión ni experimentarán las mismas condiciones de propagación. Por consiguiente, la gestión de los recursos de radio deberá considerar tanto los requisitos de los servicios como las condiciones particulares de cada enlace de comunicación [1], [3].</w:t>
      </w:r>
    </w:p>
    <w:p>
      <w:pPr>
        <w:pStyle w:val="Text"/>
        <w:rPr>
          <w:lang w:val="es-ES_tradnl"/>
          <w14:textFill>
            <w14:solidFill>
              <w14:srgbClr w14:val="000000"/>
            </w14:solidFill>
          </w14:textFill>
        </w:rPr>
      </w:pPr>
      <w:r>
        <w:rPr>
          <w:lang w:val="es-ES_tradnl"/>
          <w14:textFill>
            <w14:solidFill>
              <w14:srgbClr w14:val="000000"/>
            </w14:solidFill>
          </w14:textFill>
        </w:rPr>
        <w:t xml:space="preserve">Uno de los elementos fundamentales para realizar esta gestión es el planificador de recursos de radio (</w:t>
      </w:r>
      <w:r>
        <w:rPr>
          <w:i/>
          <w:iCs/>
          <w:lang w:val="es-ES_tradnl"/>
          <w14:textFill>
            <w14:solidFill>
              <w14:srgbClr w14:val="000000"/>
            </w14:solidFill>
          </w14:textFill>
        </w:rPr>
        <w:t xml:space="preserve">radio resource scheduler</w:t>
      </w:r>
      <w:r>
        <w:rPr>
          <w:lang w:val="es-ES_tradnl"/>
          <w14:textFill>
            <w14:solidFill>
              <w14:srgbClr w14:val="000000"/>
            </w14:solidFill>
          </w14:textFill>
        </w:rPr>
        <w:t xml:space="preserve">), cuya función consiste en distribuir los recursos disponibles de una celda entre los equipos de usuario (UE) que solicitan transmitir o recibir información. En las redes móviles celulares, esta asignación se realiza mediante unidades de recursos, conocidos como bloques de recursos (RB). El planificador determina qué usuario recibe los recursos disponibles en cada intervalo de transmisión, según un criterio de asignación establecido. Esta decisión influye directamente en el aprovechamiento de los recursos radioeléctricos, la tasa de transmisión de datos (throughput) de la celda y el desempeño individual de los usuarios [4], [5].</w:t>
      </w:r>
    </w:p>
    <w:p>
      <w:pPr>
        <w:pStyle w:val="Text"/>
        <w:rPr>
          <w:lang w:val="es-ES_tradnl"/>
          <w14:textFill>
            <w14:solidFill>
              <w14:srgbClr w14:val="000000"/>
            </w14:solidFill>
          </w14:textFill>
        </w:rPr>
      </w:pPr>
      <w:r>
        <w:rPr>
          <w:lang w:val="es-ES_tradnl"/>
          <w14:textFill>
            <w14:solidFill>
              <w14:srgbClr w14:val="000000"/>
            </w14:solidFill>
          </w14:textFill>
        </w:rPr>
        <w:t xml:space="preserve">La asignación de recursos implica, sin embargo, un compromiso entre la eficiencia global de la red y la equidad en su distribución. Por ejemplo, favorecer a los usuarios que presentan mejores condiciones de canal permite aprovechar enlaces de mayor calidad y puede incrementar la tasa de transmisión de datos de la celda; sin embargo, esta estrategia puede limitar o incluso impedir el acceso a los recursos de aquellos usuarios que experimentan condiciones de canal desfavorables, como los ubicados cerca del borde de la celda. Por el contrario, una distribución más equitativa de los recursos puede mejorar el desempeño de los usuarios con condiciones menos favorables, aunque esto no necesariamente maximiza la tasa de transmisión de datos de toda la red. En consecuencia, la evaluación de los algoritmos de planificación requiere considerar no solo la cantidad de información transmitida, sino también cómo se distribuye la tasa de transmisión de datos entre los usuarios. Para cuantificar este último aspecto, el índice de equidad de Jain es una métrica ampliamente utilizada que permite evaluar qué tan uniformemente se distribuye esta tasa de transmisión de datos entre los usuarios del sistema móvil [6].</w:t>
      </w:r>
    </w:p>
    <w:p>
      <w:pPr>
        <w:pStyle w:val="Text"/>
        <w:rPr>
          <w:lang w:val="es-ES_tradnl"/>
          <w14:textFill>
            <w14:solidFill>
              <w14:srgbClr w14:val="000000"/>
            </w14:solidFill>
          </w14:textFill>
        </w:rPr>
      </w:pPr>
      <w:r>
        <w:rPr>
          <w:lang w:val="es-ES_tradnl"/>
          <w14:textFill>
            <w14:solidFill>
              <w14:srgbClr w14:val="000000"/>
            </w14:solidFill>
          </w14:textFill>
        </w:rPr>
        <w:t xml:space="preserve">Entre las estrategias convencionales de planificación de recursos de radio se encuentran Round Robin (RR) [5], [7], Best Channel Quality Indicator (BCQI) [8], Blind Equal Throughput (BET) [5] y Proportional Fair (PF) [5], [7], que representan diferentes criterios de asignación de recursos entre los usuarios. Round Robin realiza una asignación cíclica, procurando que los usuarios reciban una proporción similar de los bloques de recursos, sin priorizar las condiciones instantáneas del canal. Best CQI, en cambio, favorece al usuario que presenta la mejor calidad del canal, con el fin de aprovechar las condiciones de transmisión más favorables. Por su parte, Blind Equal Throughput busca equilibrar la tasa de transmisión de datos recibido por los usuarios, priorizando a quienes han acumulado una menor tasa de transmisión. Finalmente, Proportional Fair combina las condiciones instantáneas del canal con la tasa de transmisión de datos promedio histórico de cada usuario, buscando un equilibrio entre el aprovechamiento de los recursos y la equidad. Debido a que estos algoritmos utilizan criterios de asignación diferentes, su comportamiento puede generar distribuciones de recursos y resultados de la tasa de transmisión de datos considerablemente distintos.</w:t>
      </w:r>
    </w:p>
    <w:p>
      <w:pPr>
        <w:pStyle w:val="Text"/>
        <w:rPr>
          <w:lang w:val="es-ES_tradnl"/>
          <w14:textFill>
            <w14:solidFill>
              <w14:srgbClr w14:val="000000"/>
            </w14:solidFill>
          </w14:textFill>
        </w:rPr>
      </w:pPr>
      <w:r>
        <w:rPr>
          <w:lang w:val="es-ES_tradnl"/>
          <w14:textFill>
            <w14:solidFill>
              <w14:srgbClr w14:val="000000"/>
            </w14:solidFill>
          </w14:textFill>
        </w:rPr>
        <w:t xml:space="preserve">Aunque estos algoritmos de planificación han sido ampliamente utilizados como estrategias de referencia en las redes móviles celulares, es importante analizar cómo sus diferentes criterios de asignación afectan tanto el desempeño global de la celda como la distribución de la tasa de transmisión de datos entre sus usuarios. En particular, compararlos bajo las mismas condiciones de red permite identificar las ventajas y limitaciones de cada estrategia. Asimismo, la tasa de transmisión de datos global, por sí solo, no permite determinar si los recursos se distribuyen de manera equitativa, ya que un valor elevado puede coexistir con una distribución muy desigual entre los usuarios. Por esta razón, en este trabajo se complementa la evaluación la tasa de transmisión de datos con el índice de equidad de Jain, a fin de obtener una perspectiva más completa del desempeño de los algoritmos de planificación.</w:t>
      </w:r>
    </w:p>
    <w:p>
      <w:pPr>
        <w:pStyle w:val="Text"/>
        <w:rPr>
          <w:lang w:val="es-ES_tradnl"/>
          <w14:textFill>
            <w14:solidFill>
              <w14:srgbClr w14:val="000000"/>
            </w14:solidFill>
          </w14:textFill>
        </w:rPr>
      </w:pPr>
      <w:r>
        <w:rPr>
          <w:lang w:val="es-ES_tradnl"/>
          <w14:textFill>
            <w14:solidFill>
              <w14:srgbClr w14:val="000000"/>
            </w14:solidFill>
          </w14:textFill>
        </w:rPr>
        <w:t xml:space="preserve">En este trabajo se realiza un análisis comparativo de los algoritmos Round Robin, Best CQI, Blind Equal Throughput y Proportional Fair mediante simulaciones en un escenario de red celular común. Se analiza el compromiso de cada estrategia de planificación en el aprovechamiento de los recursos radioeléctricos y la equidad en la distribución de los recursos mediante el índice de Jain. El objetivo es identificar las diferencias de desempeño que resultan de aplicar distintos criterios de planificación.</w:t>
      </w:r>
    </w:p>
    <w:p>
      <w:pPr>
        <w:pStyle w:val="Heading1"/>
        <w:rPr>
          <w14:textFill>
            <w14:solidFill>
              <w14:srgbClr w14:val="000000"/>
            </w14:solidFill>
          </w14:textFill>
        </w:rPr>
      </w:pPr>
      <w:r>
        <w:rPr>
          <w14:textFill>
            <w14:solidFill>
              <w14:srgbClr w14:val="000000"/>
            </w14:solidFill>
          </w14:textFill>
        </w:rPr>
        <w:t xml:space="preserve">2. ALGORITMOS DE PLANIFICACIÓN DE RECURSOS DE RADIO</w:t>
      </w:r>
    </w:p>
    <w:p>
      <w:pPr>
        <w:pStyle w:val="Text"/>
        <w:rPr>
          <w:lang w:val="es-ES_tradnl"/>
          <w14:textFill>
            <w14:solidFill>
              <w14:srgbClr w14:val="000000"/>
            </w14:solidFill>
          </w14:textFill>
        </w:rPr>
      </w:pPr>
      <w:r>
        <w:rPr>
          <w:lang w:val="es-ES_tradnl"/>
          <w14:textFill>
            <w14:solidFill>
              <w14:srgbClr w14:val="000000"/>
            </w14:solidFill>
          </w14:textFill>
        </w:rPr>
        <w:t xml:space="preserve">En esta sección se describen los principios de funcionamiento de los cuatro algoritmos de planificación de recursos evaluados en este trabajo; Round Robin (RR), Best Channel Quality Indicator (BCQI), Blind Equal Throughput (BET) y Proportional Fair (PF). Las implementaciones utilizadas en las simulaciones se desarrollaron siguiendo los criterios generales de asignación de recursos asociados a cada algoritmo. Aunque sus mecanismos de decisión son diferentes, todos tienen como propósito distribuir los RB disponibles entre los UE de una celda. La principal diferencia radica en el criterio empleado para determinar qué usuario recibe los recursos, lo que da lugar a distintos niveles de aprovechamiento de los recursos radioeléctricos y a diferencias en la equidad de la distribución de la tasa de transmisión de datos.</w:t>
      </w:r>
    </w:p>
    <w:p>
      <w:pPr>
        <w:pStyle w:val="Text"/>
        <w:rPr>
          <w:lang w:val="es-ES_tradnl"/>
          <w14:textFill>
            <w14:solidFill>
              <w14:srgbClr w14:val="000000"/>
            </w14:solidFill>
          </w14:textFill>
        </w:rPr>
      </w:pPr>
      <w:r>
        <w:rPr>
          <w:lang w:val="es-ES_tradnl"/>
          <w14:textFill>
            <w14:solidFill>
              <w14:srgbClr w14:val="000000"/>
            </w14:solidFill>
          </w14:textFill>
        </w:rPr>
        <w:t xml:space="preserve">La Fig. 1 muestra el procedimiento de asignación de recursos utilizado en las implementaciones de los cuatro algoritmos de planificación evaluados. Se considera un escenario de tráfico saturado en el que todos UE tienen datos disponibles permanentemente para transmitir durante toda la simulación. Por consiguiente, todos los usuarios participan en cada decisión de asignación. Al inicio de cada trama, se establece el nivel de relación señal-interferencia (SIR), denotado por </w:t>
      </w:r>
      <m:oMath>
        <m:sSub>
          <m:sSubPr>
            <m:ctrlPr>
              <w:rPr>
                <w:rFonts w:ascii="Cambria Math" w:hAnsi="Cambria Math"/>
                <w:i/>
                <w:lang w:val="es-ES_tradnl"/>
              </w:rPr>
            </m:ctrlPr>
          </m:sSubPr>
          <m:e>
            <m:r>
              <w:rPr>
                <w:rFonts w:ascii="Cambria Math" w:hAnsi="Cambria Math"/>
                <w:lang w:val="es-ES_tradnl"/>
              </w:rPr>
              <m:t>γ</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oMath>
      <w:r>
        <w:rPr>
          <w:lang w:val="es-ES_tradnl"/>
          <w14:textFill>
            <w14:solidFill>
              <w14:srgbClr w14:val="000000"/>
            </w14:solidFill>
          </w14:textFill>
        </w:rPr>
        <w:t xml:space="preserve"> para cada </w:t>
      </w:r>
      <w:r>
        <w:rPr>
          <w:i/>
          <w:iCs/>
          <w:lang w:val="es-ES_tradnl"/>
          <w14:textFill>
            <w14:solidFill>
              <w14:srgbClr w14:val="000000"/>
            </w14:solidFill>
          </w14:textFill>
        </w:rPr>
        <w:t xml:space="preserve">i-</w:t>
      </w:r>
      <w:r>
        <w:rPr>
          <w:lang w:val="es-ES_tradnl"/>
          <w14:textFill>
            <w14:solidFill>
              <w14:srgbClr w14:val="000000"/>
            </w14:solidFill>
          </w14:textFill>
        </w:rPr>
        <w:t xml:space="preserve">ésimo</w:t>
      </w:r>
      <w:r>
        <w:rPr>
          <w:i/>
          <w:iCs/>
          <w:lang w:val="es-ES_tradnl"/>
          <w14:textFill>
            <w14:solidFill>
              <w14:srgbClr w14:val="000000"/>
            </w14:solidFill>
          </w14:textFill>
        </w:rPr>
        <w:t xml:space="preserve"> </w:t>
      </w:r>
      <w:r>
        <w:rPr>
          <w:lang w:val="es-ES_tradnl"/>
          <w14:textFill>
            <w14:solidFill>
              <w14:srgbClr w14:val="000000"/>
            </w14:solidFill>
          </w14:textFill>
        </w:rPr>
        <w:t xml:space="preserve">UE y cada </w:t>
      </w:r>
      <w:r>
        <w:rPr>
          <w:i/>
          <w:iCs/>
          <w:lang w:val="es-ES_tradnl"/>
          <w14:textFill>
            <w14:solidFill>
              <w14:srgbClr w14:val="000000"/>
            </w14:solidFill>
          </w14:textFill>
        </w:rPr>
        <w:t xml:space="preserve">k-</w:t>
      </w:r>
      <w:r>
        <w:rPr>
          <w:lang w:val="es-ES_tradnl"/>
          <w14:textFill>
            <w14:solidFill>
              <w14:srgbClr w14:val="000000"/>
            </w14:solidFill>
          </w14:textFill>
        </w:rPr>
        <w:t xml:space="preserve">ésimo</w:t>
      </w:r>
      <w:r>
        <w:rPr>
          <w:i/>
          <w:iCs/>
          <w:lang w:val="es-ES_tradnl"/>
          <w14:textFill>
            <w14:solidFill>
              <w14:srgbClr w14:val="000000"/>
            </w14:solidFill>
          </w14:textFill>
        </w:rPr>
        <w:t xml:space="preserve"> </w:t>
      </w:r>
      <w:r>
        <w:rPr>
          <w:lang w:val="es-ES_tradnl"/>
          <w14:textFill>
            <w14:solidFill>
              <w14:srgbClr w14:val="000000"/>
            </w14:solidFill>
          </w14:textFill>
        </w:rPr>
        <w:t xml:space="preserve">RB. Posteriormente, para cada RB, el planificador calcula una métrica de prioridad </w:t>
      </w:r>
      <m:oMath>
        <m:sSub>
          <m:sSubPr>
            <m:ctrlPr>
              <w:rPr>
                <w:rFonts w:ascii="Cambria Math" w:hAnsi="Cambria Math"/>
                <w:i/>
                <w:lang w:val="es-ES_tradnl"/>
              </w:rPr>
            </m:ctrlPr>
          </m:sSubPr>
          <m:e>
            <m:r>
              <w:rPr>
                <w:rFonts w:ascii="Cambria Math" w:hAnsi="Cambria Math"/>
                <w:lang w:val="es-ES_tradnl"/>
              </w:rPr>
              <m:t>m</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oMath>
      <w:r>
        <w:rPr>
          <w:lang w:val="es-ES_tradnl"/>
          <w14:textFill>
            <w14:solidFill>
              <w14:srgbClr w14:val="000000"/>
            </w14:solidFill>
          </w14:textFill>
        </w:rPr>
        <w:t xml:space="preserve"> para cada UE, cuyo valor depende del algoritmo de planificación empleado. El RB se asigna al UE que presenta el valor más alto de dicha métrica expresado en (1);</w:t>
      </w:r>
    </w:p>
    <w:p>
      <w:pPr>
        <w:pStyle w:val="Text"/>
        <w:rPr>
          <w:lang w:val="es-ES_tradnl"/>
          <w14:textFill>
            <w14:solidFill>
              <w14:srgbClr w14:val="000000"/>
            </w14:solidFill>
          </w14:textFill>
        </w:rPr>
      </w:pPr>
      <m:oMathPara>
        <m:oMath>
          <m:sSup>
            <m:sSupPr>
              <m:ctrlPr>
                <w:rPr>
                  <w:rFonts w:ascii="Cambria Math" w:hAnsi="Cambria Math"/>
                  <w:i/>
                  <w:lang w:val="es-ES_tradnl"/>
                </w:rPr>
              </m:ctrlPr>
            </m:sSupPr>
            <m:e>
              <m:r>
                <w:rPr>
                  <w:rFonts w:ascii="Cambria Math" w:hAnsi="Cambria Math"/>
                  <w:lang w:val="es-ES_tradnl"/>
                </w:rPr>
                <m:t>i</m:t>
              </m:r>
            </m:e>
            <m:sup>
              <m:r>
                <m:rPr>
                  <m:sty m:val="p"/>
                </m:rPr>
                <w:rPr>
                  <w:rFonts w:ascii="Cambria Math" w:hAnsi="Cambria Math"/>
                  <w:lang w:val="es-ES_tradnl"/>
                </w:rPr>
                <m:t>*</m:t>
              </m:r>
            </m:sup>
          </m:sSup>
          <m:r>
            <m:rPr>
              <m:sty m:val="p"/>
            </m:rPr>
            <w:rPr>
              <w:rFonts w:ascii="Cambria Math" w:hAnsi="Cambria Math"/>
              <w:lang w:val="es-ES_tradnl"/>
            </w:rPr>
            <m:t>=arg</m:t>
          </m:r>
          <m:limLow>
            <m:limLowPr>
              <m:ctrlPr>
                <w:rPr>
                  <w:rFonts w:ascii="Cambria Math" w:hAnsi="Cambria Math"/>
                  <w:i/>
                  <w:lang w:val="es-ES_tradnl"/>
                </w:rPr>
              </m:ctrlPr>
            </m:limLowPr>
            <m:e>
              <m:r>
                <m:rPr>
                  <m:sty m:val="p"/>
                </m:rPr>
                <w:rPr>
                  <w:rFonts w:ascii="Cambria Math" w:hAnsi="Cambria Math"/>
                  <w:lang w:val="es-ES_tradnl"/>
                </w:rPr>
                <m:t>max</m:t>
              </m:r>
            </m:e>
            <m:lim>
              <m:r>
                <w:rPr>
                  <w:rFonts w:ascii="Cambria Math" w:hAnsi="Cambria Math"/>
                  <w:lang w:val="es-ES_tradnl"/>
                </w:rPr>
                <m:t>i</m:t>
              </m:r>
              <m:r>
                <m:rPr>
                  <m:scr m:val="script"/>
                  <m:sty m:val="p"/>
                </m:rPr>
                <w:rPr>
                  <w:rFonts w:ascii="Cambria Math" w:hAnsi="Cambria Math"/>
                  <w:lang w:val="es-ES_tradnl"/>
                </w:rPr>
                <m:t>∈A</m:t>
              </m:r>
            </m:lim>
          </m:limLow>
          <m:r>
            <w:rPr>
              <w:rFonts w:ascii="Cambria Math" w:hAnsi="Cambria Math"/>
              <w:lang w:val="es-ES_tradnl"/>
            </w:rPr>
            <m:t> </m:t>
          </m:r>
          <m:sSub>
            <m:sSubPr>
              <m:ctrlPr>
                <w:rPr>
                  <w:rFonts w:ascii="Cambria Math" w:hAnsi="Cambria Math"/>
                  <w:i/>
                  <w:lang w:val="es-ES_tradnl"/>
                </w:rPr>
              </m:ctrlPr>
            </m:sSubPr>
            <m:e>
              <m:r>
                <w:rPr>
                  <w:rFonts w:ascii="Cambria Math" w:hAnsi="Cambria Math"/>
                  <w:lang w:val="es-ES_tradnl"/>
                </w:rPr>
                <m:t>m</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r>
            <w:rPr>
              <w:rFonts w:ascii="Cambria Math" w:hAnsi="Cambria Math"/>
              <w:lang w:val="es-ES_tradnl"/>
            </w:rPr>
            <m:t>  </m:t>
          </m:r>
          <m:r>
            <m:rPr>
              <m:nor/>
            </m:rPr>
            <w:rPr>
              <w:lang w:val="es-ES_tradnl"/>
            </w:rPr>
            <m:t>(</m:t>
          </m:r>
          <m:r>
            <m:rPr>
              <m:nor/>
            </m:rPr>
            <w:rPr>
              <w:lang w:val="es-ES_tradnl"/>
            </w:rPr>
            <m:t>1</m:t>
          </m:r>
          <m:r>
            <m:rPr>
              <m:nor/>
            </m:rPr>
            <w:rPr>
              <w:lang w:val="es-ES_tradnl"/>
            </w:rPr>
            <m:t>)</m:t>
          </m:r>
        </m:oMath>
      </m:oMathPara>
    </w:p>
    <w:p>
      <w:pPr>
        <w:pStyle w:val="Text"/>
        <w:rPr>
          <w:lang w:val="es-ES_tradnl"/>
          <w14:textFill>
            <w14:solidFill>
              <w14:srgbClr w14:val="000000"/>
            </w14:solidFill>
          </w14:textFill>
        </w:rPr>
      </w:pPr>
      <w:r>
        <w:rPr>
          <w:lang w:val="es-ES_tradnl"/>
          <w14:textFill>
            <w14:solidFill>
              <w14:srgbClr w14:val="000000"/>
            </w14:solidFill>
          </w14:textFill>
        </w:rPr>
        <w:t xml:space="preserve">donde </w:t>
      </w:r>
      <m:oMath>
        <m:r>
          <m:rPr>
            <m:scr m:val="script"/>
            <m:sty m:val="p"/>
          </m:rPr>
          <w:rPr>
            <w:rFonts w:ascii="Cambria Math" w:hAnsi="Cambria Math"/>
            <w:lang w:val="es-ES_tradnl"/>
          </w:rPr>
          <m:t>A=</m:t>
        </m:r>
        <m:d>
          <m:dPr>
            <m:begChr m:val="{"/>
            <m:endChr m:val="}"/>
            <m:ctrlPr>
              <w:rPr>
                <w:rFonts w:ascii="Cambria Math" w:hAnsi="Cambria Math"/>
                <w:lang w:val="es-ES_tradnl"/>
              </w:rPr>
            </m:ctrlPr>
          </m:dPr>
          <m:e>
            <m:r>
              <w:rPr>
                <w:rFonts w:ascii="Cambria Math" w:hAnsi="Cambria Math"/>
                <w:lang w:val="es-ES_tradnl"/>
              </w:rPr>
              <m:t>1,2,…,N</m:t>
            </m:r>
          </m:e>
        </m:d>
      </m:oMath>
      <w:r>
        <w:rPr>
          <w:lang w:val="es-ES_tradnl"/>
          <w14:textFill>
            <w14:solidFill>
              <w14:srgbClr w14:val="000000"/>
            </w14:solidFill>
          </w14:textFill>
        </w:rPr>
        <w:t xml:space="preserve"> representa el conjunto de los </w:t>
      </w:r>
      <w:r>
        <w:rPr>
          <w:i/>
          <w:iCs/>
          <w:lang w:val="es-ES_tradnl"/>
          <w14:textFill>
            <w14:solidFill>
              <w14:srgbClr w14:val="000000"/>
            </w14:solidFill>
          </w14:textFill>
        </w:rPr>
        <w:t xml:space="preserve">N </w:t>
      </w:r>
      <w:r>
        <w:rPr>
          <w:lang w:val="es-ES_tradnl"/>
          <w14:textFill>
            <w14:solidFill>
              <w14:srgbClr w14:val="000000"/>
            </w14:solidFill>
          </w14:textFill>
        </w:rPr>
        <w:t xml:space="preserve">UE que tienen datos disponibles para transmitir durante toda la simulación, y </w:t>
      </w:r>
      <m:oMath>
        <m:sSub>
          <m:sSubPr>
            <m:ctrlPr>
              <w:rPr>
                <w:rFonts w:ascii="Cambria Math" w:hAnsi="Cambria Math"/>
                <w:i/>
                <w:lang w:val="es-ES_tradnl"/>
              </w:rPr>
            </m:ctrlPr>
          </m:sSubPr>
          <m:e>
            <m:r>
              <w:rPr>
                <w:rFonts w:ascii="Cambria Math" w:hAnsi="Cambria Math"/>
                <w:lang w:val="es-ES_tradnl"/>
              </w:rPr>
              <m:t>m</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oMath>
      <w:r>
        <w:rPr>
          <w:lang w:val="es-ES_tradnl"/>
          <w14:textFill>
            <w14:solidFill>
              <w14:srgbClr w14:val="000000"/>
            </w14:solidFill>
          </w14:textFill>
        </w:rPr>
        <w:t xml:space="preserve"> es la métrica de prioridad del </w:t>
      </w:r>
      <w:r>
        <w:rPr>
          <w:i/>
          <w:iCs/>
          <w:lang w:val="es-ES_tradnl"/>
          <w14:textFill>
            <w14:solidFill>
              <w14:srgbClr w14:val="000000"/>
            </w14:solidFill>
          </w14:textFill>
        </w:rPr>
        <w:t xml:space="preserve">i-</w:t>
      </w:r>
      <w:r>
        <w:rPr>
          <w:lang w:val="es-ES_tradnl"/>
          <w14:textFill>
            <w14:solidFill>
              <w14:srgbClr w14:val="000000"/>
            </w14:solidFill>
          </w14:textFill>
        </w:rPr>
        <w:t xml:space="preserve">ésimo UE para el </w:t>
      </w:r>
      <w:r>
        <w:rPr>
          <w:i/>
          <w:iCs/>
          <w:lang w:val="es-ES_tradnl"/>
          <w14:textFill>
            <w14:solidFill>
              <w14:srgbClr w14:val="000000"/>
            </w14:solidFill>
          </w14:textFill>
        </w:rPr>
        <w:t xml:space="preserve">k-</w:t>
      </w:r>
      <w:r>
        <w:rPr>
          <w:lang w:val="es-ES_tradnl"/>
          <w14:textFill>
            <w14:solidFill>
              <w14:srgbClr w14:val="000000"/>
            </w14:solidFill>
          </w14:textFill>
        </w:rPr>
        <w:t xml:space="preserve">ésimo</w:t>
      </w:r>
      <w:r>
        <w:rPr>
          <w:i/>
          <w:iCs/>
          <w:lang w:val="es-ES_tradnl"/>
          <w14:textFill>
            <w14:solidFill>
              <w14:srgbClr w14:val="000000"/>
            </w14:solidFill>
          </w14:textFill>
        </w:rPr>
        <w:t xml:space="preserve"> </w:t>
      </w:r>
      <w:r>
        <w:rPr>
          <w:lang w:val="es-ES_tradnl"/>
          <w14:textFill>
            <w14:solidFill>
              <w14:srgbClr w14:val="000000"/>
            </w14:solidFill>
          </w14:textFill>
        </w:rPr>
        <w:t xml:space="preserve">RB. Una vez asignado el RB, se obtiene el Indicador del Estado del Canal (CQI) correspondiente y se contabilizan los bits transmitidos para el UE seleccionado. A continuación, se actualiza la información de transmisión de los usuarios y se repite el procedimiento para el siguiente RB. Al completar la asignación de todos los RB de una trama, se inicia una nueva trama y se repite el proceso hasta completar las </w:t>
      </w:r>
      <w:r>
        <w:rPr>
          <w:i/>
          <w:iCs/>
          <w:lang w:val="es-ES_tradnl"/>
          <w14:textFill>
            <w14:solidFill>
              <w14:srgbClr w14:val="000000"/>
            </w14:solidFill>
          </w14:textFill>
        </w:rPr>
        <w:t xml:space="preserve">F</w:t>
      </w:r>
      <w:r>
        <w:rPr>
          <w:lang w:val="es-ES_tradnl"/>
          <w14:textFill>
            <w14:solidFill>
              <w14:srgbClr w14:val="000000"/>
            </w14:solidFill>
          </w14:textFill>
        </w:rPr>
        <w:t xml:space="preserve"> tramas de la simulación. Finalmente, se calculan las métricas utilizadas para evaluar el desempeño de cada algoritmo.</w:t>
      </w:r>
    </w:p>
    <w:p>
      <w:pPr>
        <w:pStyle w:val="Text"/>
        <w:jc w:val="center"/>
        <w:rPr>
          <w:lang w:val="es-ES_tradnl"/>
          <w14:textFill>
            <w14:solidFill>
              <w14:srgbClr w14:val="000000"/>
            </w14:solidFill>
          </w14:textFill>
        </w:rPr>
      </w:pPr>
      <w:r>
        <w:rPr>
          <w:lang w:val="es-ES_tradnl"/>
          <w14:textFill>
            <w14:solidFill>
              <w14:srgbClr w14:val="000000"/>
            </w14:solidFill>
          </w14:textFill>
        </w:rPr>
        <w:drawing>
          <wp:anchor distT="0" distB="0" distL="114300" distR="114300" simplePos="0" relativeHeight="251664384" behindDoc="0" locked="0" layoutInCell="1" allowOverlap="1">
            <wp:simplePos x="0" y="0"/>
            <wp:positionH relativeFrom="column">
              <wp:posOffset>196948</wp:posOffset>
            </wp:positionH>
            <wp:positionV relativeFrom="paragraph">
              <wp:posOffset>4422629</wp:posOffset>
            </wp:positionV>
            <wp:extent cx="2699385" cy="635"/>
            <wp:effectExtent l="0" t="0" r="5715" b="3810"/>
            <wp:wrapTopAndBottom/>
            <wp:docPr id="1" name="Shape 1" descr=""/>
            <wp:cNvGraphicFramePr/>
            <a:graphic>
              <a:graphicData uri="http://schemas.microsoft.com/office/word/2010/wordprocessingShape">
                <wps:wsp>
                  <wps:cNvSpPr txBox="1"/>
                  <wps:spPr>
                    <a:xfrm>
                      <a:off x="0" y="0"/>
                      <a:ext cx="2699385" cy="635"/>
                    </a:xfrm>
                    <a:prstGeom prst="rect">
                      <a:avLst/>
                    </a:prstGeom>
                    <a:solidFill>
                      <a:srgbClr val="FFFFFF"/>
                    </a:solidFill>
                    <a:ln>
                      <a:noFill/>
                    </a:ln>
                  </wps:spPr>
                  <wps:txbx>
                    <w:txbxContent>
                      <w:p>
                        <w:pPr>
                          <w:pStyle w:val="Caption"/>
                          <w:rPr>
                            <w:noProof/>
                            <w:sz w:val="20"/>
                          </w:rPr>
                        </w:pPr>
                        <w:r>
                          <w:t xml:space="preserve">Figura 1. </w:t>
                        </w:r>
                        <w:r>
                          <w:rPr>
                            <w:lang w:val="es-ES_tradnl"/>
                          </w:rPr>
                          <w:t xml:space="preserve">Procedimiento de asignación de recursos utilizado por los cuatro algoritmos de planificación de recursos evaluados</w:t>
                        </w:r>
                        <w:r>
                          <w:t xml:space="preserve">.</w:t>
                        </w:r>
                      </w:p>
                    </w:txbxContent>
                  </wps:txbx>
                  <wps:bodyPr lIns="0" tIns="0" rIns="0" bIns="0">
                    <a:prstTxWarp prst="textNoShape">
                      <a:avLst/>
                    </a:prstTxWarp>
                    <a:spAutoFit/>
                  </wps:bodyPr>
                </wps:wsp>
              </a:graphicData>
            </a:graphic>
          </wp:anchor>
        </w:drawing>
      </w:r>
      <w:r>
        <w:rPr>
          <w:lang w:val="es-ES_tradnl"/>
          <w14:textFill>
            <w14:solidFill>
              <w14:srgbClr w14:val="000000"/>
            </w14:solidFill>
          </w14:textFill>
        </w:rPr>
        <w:drawing>
          <wp:inline distT="0" distB="0" distL="0" distR="0">
            <wp:extent cx="2126042" cy="4371085"/>
            <wp:effectExtent l="0" t="0" r="1905" b="0"/>
            <wp:docPr id="2" name="Picture 2" descr=""/>
            <wp:cNvGraphicFramePr/>
            <a:graphic>
              <a:graphicData uri="http://schemas.openxmlformats.org/drawingml/2006/picture">
                <pic:pic>
                  <pic:nvPicPr>
                    <pic:cNvPr id="0" name="image1.png" descr=""/>
                    <pic:cNvPicPr>
                      <a:picLocks noChangeAspect="1" noChangeArrowheads="1"/>
                    </pic:cNvPicPr>
                  </pic:nvPicPr>
                  <pic:blipFill>
                    <a:blip r:embed="rId1"/>
                    <a:stretch>
                      <a:fillRect/>
                    </a:stretch>
                  </pic:blipFill>
                  <pic:spPr bwMode="auto">
                    <a:xfrm>
                      <a:off x="0" y="0"/>
                      <a:ext cx="2126042" cy="4371085"/>
                    </a:xfrm>
                    <a:prstGeom prst="rect">
                      <a:avLst/>
                    </a:prstGeom>
                  </pic:spPr>
                </pic:pic>
              </a:graphicData>
            </a:graphic>
          </wp:inline>
        </w:drawing>
      </w:r>
    </w:p>
    <w:p>
      <w:pPr>
        <w:pStyle w:val="Heading2"/>
        <w:rPr>
          <w14:textFill>
            <w14:solidFill>
              <w14:srgbClr w14:val="000000"/>
            </w14:solidFill>
          </w14:textFill>
        </w:rPr>
      </w:pPr>
      <w:r>
        <w:rPr>
          <w14:textFill>
            <w14:solidFill>
              <w14:srgbClr w14:val="000000"/>
            </w14:solidFill>
          </w14:textFill>
        </w:rPr>
        <w:t xml:space="preserve">2.1 Round Robin (RR)</w:t>
      </w:r>
    </w:p>
    <w:p>
      <w:pPr>
        <w:pStyle w:val="Text"/>
        <w:rPr>
          <w:lang w:val="es-ES_tradnl"/>
          <w14:textFill>
            <w14:solidFill>
              <w14:srgbClr w14:val="000000"/>
            </w14:solidFill>
          </w14:textFill>
        </w:rPr>
      </w:pPr>
      <w:r>
        <w:rPr>
          <w:lang w:val="es-ES_tradnl"/>
          <w14:textFill>
            <w14:solidFill>
              <w14:srgbClr w14:val="000000"/>
            </w14:solidFill>
          </w14:textFill>
        </w:rPr>
        <w:t xml:space="preserve">El planificador RR asigna los RB a los UE de forma cíclica, a partir de la métrica de asignación definida en (2), siguiendo un orden predefinido y sin considerar las condiciones del canal ni los requerimientos individuales de los usuarios [5], [7];</w:t>
      </w:r>
    </w:p>
    <w:p>
      <w:pPr>
        <w:pStyle w:val="Text"/>
        <w:rPr>
          <w:lang w:val="es-ES_tradnl"/>
          <w14:textFill>
            <w14:solidFill>
              <w14:srgbClr w14:val="000000"/>
            </w14:solidFill>
          </w14:textFill>
        </w:rPr>
      </w:pPr>
      <m:oMathPara>
        <m:oMathParaPr>
          <m:jc m:val="center"/>
        </m:oMathParaPr>
        <m:oMath>
          <m:sSubSup>
            <m:sSubSupPr>
              <m:ctrlPr>
                <w:rPr>
                  <w:rFonts w:ascii="Cambria Math" w:hAnsi="Cambria Math"/>
                  <w:i/>
                  <w:lang w:val="es-ES_tradnl"/>
                </w:rPr>
              </m:ctrlPr>
            </m:sSubSupPr>
            <m:e>
              <m:r>
                <w:rPr>
                  <w:rFonts w:ascii="Cambria Math" w:hAnsi="Cambria Math"/>
                  <w:lang w:val="es-ES_tradnl"/>
                </w:rPr>
                <m:t>m</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up>
              <m:r>
                <w:rPr>
                  <w:rFonts w:ascii="Cambria Math" w:hAnsi="Cambria Math"/>
                  <w:lang w:val="es-ES_tradnl"/>
                </w:rPr>
                <m:t>RR</m:t>
              </m:r>
            </m:sup>
          </m:sSubSup>
          <m:r>
            <m:rPr>
              <m:sty m:val="p"/>
            </m:rPr>
            <w:rPr>
              <w:rFonts w:ascii="Cambria Math" w:hAnsi="Cambria Math"/>
              <w:lang w:val="es-ES_tradnl"/>
            </w:rPr>
            <m:t>=</m:t>
          </m:r>
          <m:r>
            <w:rPr>
              <w:rFonts w:ascii="Cambria Math" w:hAnsi="Cambria Math"/>
              <w:lang w:val="es-ES_tradnl"/>
            </w:rPr>
            <m:t>t</m:t>
          </m:r>
          <m:r>
            <m:rPr>
              <m:sty m:val="p"/>
            </m:rPr>
            <w:rPr>
              <w:rFonts w:ascii="Cambria Math" w:hAnsi="Cambria Math"/>
              <w:lang w:val="es-ES_tradnl"/>
            </w:rPr>
            <m:t>-</m:t>
          </m:r>
          <m:sSub>
            <m:sSubPr>
              <m:ctrlPr>
                <w:rPr>
                  <w:rFonts w:ascii="Cambria Math" w:hAnsi="Cambria Math"/>
                  <w:i/>
                  <w:lang w:val="es-ES_tradnl"/>
                </w:rPr>
              </m:ctrlPr>
            </m:sSubPr>
            <m:e>
              <m:r>
                <w:rPr>
                  <w:rFonts w:ascii="Cambria Math" w:hAnsi="Cambria Math"/>
                  <w:lang w:val="es-ES_tradnl"/>
                </w:rPr>
                <m:t>T</m:t>
              </m:r>
            </m:e>
            <m:sub>
              <m:r>
                <w:rPr>
                  <w:rFonts w:ascii="Cambria Math" w:hAnsi="Cambria Math"/>
                  <w:lang w:val="es-ES_tradnl"/>
                </w:rPr>
                <m:t>i</m:t>
              </m:r>
            </m:sub>
          </m:sSub>
          <m:r>
            <m:rPr>
              <m:sty m:val="p"/>
            </m:rPr>
            <w:rPr>
              <w:rFonts w:ascii="Cambria Math" w:hAnsi="Cambria Math"/>
              <w:lang w:val="es-ES_tradnl"/>
            </w:rPr>
            <m:t>,</m:t>
          </m:r>
          <m:r>
            <w:rPr>
              <w:rFonts w:ascii="Cambria Math" w:hAnsi="Cambria Math"/>
              <w:lang w:val="es-ES_tradnl"/>
            </w:rPr>
            <m:t>  </m:t>
          </m:r>
          <m:r>
            <m:rPr>
              <m:nor/>
            </m:rPr>
            <w:rPr>
              <w:lang w:val="es-ES_tradnl"/>
            </w:rPr>
            <m:t>(</m:t>
          </m:r>
          <m:r>
            <m:rPr>
              <m:nor/>
            </m:rPr>
            <w:rPr>
              <w:lang w:val="es-ES_tradnl"/>
            </w:rPr>
            <m:t>2</m:t>
          </m:r>
          <m:r>
            <m:rPr>
              <m:nor/>
            </m:rPr>
            <w:rPr>
              <w:lang w:val="es-ES_tradnl"/>
            </w:rPr>
            <m:t>)</m:t>
          </m:r>
        </m:oMath>
      </m:oMathPara>
    </w:p>
    <w:p>
      <w:pPr>
        <w:pStyle w:val="Text"/>
        <w:rPr>
          <w:lang w:val="es-ES_tradnl"/>
          <w14:textFill>
            <w14:solidFill>
              <w14:srgbClr w14:val="000000"/>
            </w14:solidFill>
          </w14:textFill>
        </w:rPr>
      </w:pPr>
      <w:r>
        <w:rPr>
          <w:lang w:val="es-ES_tradnl"/>
          <w14:textFill>
            <w14:solidFill>
              <w14:srgbClr w14:val="000000"/>
            </w14:solidFill>
          </w14:textFill>
        </w:rPr>
        <w:t xml:space="preserve">donde </w:t>
      </w:r>
      <m:oMath>
        <m:r>
          <w:rPr>
            <w:rFonts w:ascii="Cambria Math" w:hAnsi="Cambria Math"/>
            <w:lang w:val="es-ES_tradnl"/>
          </w:rPr>
          <m:t>t</m:t>
        </m:r>
      </m:oMath>
      <w:r>
        <w:rPr>
          <w:lang w:val="es-ES_tradnl"/>
          <w14:textFill>
            <w14:solidFill>
              <w14:srgbClr w14:val="000000"/>
            </w14:solidFill>
          </w14:textFill>
        </w:rPr>
        <w:t xml:space="preserve"> representa el instante actual y </w:t>
      </w:r>
      <m:oMath>
        <m:sSub>
          <m:sSubPr>
            <m:ctrlPr>
              <w:rPr>
                <w:rFonts w:ascii="Cambria Math" w:hAnsi="Cambria Math"/>
                <w:i/>
                <w:lang w:val="es-ES_tradnl"/>
              </w:rPr>
            </m:ctrlPr>
          </m:sSubPr>
          <m:e>
            <m:r>
              <w:rPr>
                <w:rFonts w:ascii="Cambria Math" w:hAnsi="Cambria Math"/>
                <w:lang w:val="es-ES_tradnl"/>
              </w:rPr>
              <m:t>T</m:t>
            </m:r>
          </m:e>
          <m:sub>
            <m:r>
              <w:rPr>
                <w:rFonts w:ascii="Cambria Math" w:hAnsi="Cambria Math"/>
                <w:lang w:val="es-ES_tradnl"/>
              </w:rPr>
              <m:t>i</m:t>
            </m:r>
          </m:sub>
        </m:sSub>
      </m:oMath>
      <w:r>
        <w:rPr>
          <w:lang w:val="es-ES_tradnl"/>
          <w14:textFill>
            <w14:solidFill>
              <w14:srgbClr w14:val="000000"/>
            </w14:solidFill>
          </w14:textFill>
        </w:rPr>
        <w:t xml:space="preserve"> el instante en que el </w:t>
      </w:r>
      <w:r>
        <w:rPr>
          <w:i/>
          <w:iCs/>
          <w:lang w:val="es-ES_tradnl"/>
          <w14:textFill>
            <w14:solidFill>
              <w14:srgbClr w14:val="000000"/>
            </w14:solidFill>
          </w14:textFill>
        </w:rPr>
        <w:t xml:space="preserve">i-</w:t>
      </w:r>
      <w:r>
        <w:rPr>
          <w:lang w:val="es-ES_tradnl"/>
          <w14:textFill>
            <w14:solidFill>
              <w14:srgbClr w14:val="000000"/>
            </w14:solidFill>
          </w14:textFill>
        </w:rPr>
        <w:t xml:space="preserve">ésimo</w:t>
      </w:r>
      <w:r>
        <w:rPr>
          <w:i/>
          <w:iCs/>
          <w:lang w:val="es-ES_tradnl"/>
          <w14:textFill>
            <w14:solidFill>
              <w14:srgbClr w14:val="000000"/>
            </w14:solidFill>
          </w14:textFill>
        </w:rPr>
        <w:t xml:space="preserve"> </w:t>
      </w:r>
      <w:r>
        <w:rPr>
          <w:lang w:val="es-ES_tradnl"/>
          <w14:textFill>
            <w14:solidFill>
              <w14:srgbClr w14:val="000000"/>
            </w14:solidFill>
          </w14:textFill>
        </w:rPr>
        <w:t xml:space="preserve">UE recibió su última asignación de recursos [5]. De esta manera, se favorece al usuario que lleva más tiempo sin recibir recursos. Esta estrategia busca distribuir los RB de manera equitativa entre los UE, procurando que todos reciban una cantidad similar de recursos.</w:t>
      </w:r>
    </w:p>
    <w:p>
      <w:pPr>
        <w:pStyle w:val="Heading2"/>
        <w:rPr>
          <w14:textFill>
            <w14:solidFill>
              <w14:srgbClr w14:val="000000"/>
            </w14:solidFill>
          </w14:textFill>
        </w:rPr>
      </w:pPr>
      <w:r>
        <w:rPr>
          <w14:textFill>
            <w14:solidFill>
              <w14:srgbClr w14:val="000000"/>
            </w14:solidFill>
          </w14:textFill>
        </w:rPr>
        <w:t xml:space="preserve">2.2 Best CQI (BCQI)</w:t>
      </w:r>
    </w:p>
    <w:p>
      <w:pPr>
        <w:pStyle w:val="Text"/>
        <w:rPr>
          <w:lang w:val="es-ES_tradnl"/>
          <w14:textFill>
            <w14:solidFill>
              <w14:srgbClr w14:val="000000"/>
            </w14:solidFill>
          </w14:textFill>
        </w:rPr>
      </w:pPr>
      <w:r>
        <w:rPr>
          <w:lang w:val="es-ES_tradnl"/>
          <w14:textFill>
            <w14:solidFill>
              <w14:srgbClr w14:val="000000"/>
            </w14:solidFill>
          </w14:textFill>
        </w:rPr>
        <w:t xml:space="preserve">Best CQI asigna cada RB al UE que presenta las mejores condiciones de canal en ese recurso, con el propósito de maximizar la transmisión de datos del sistema, sin considerar explícitamente la equidad entre los usuarios [8]. En la implementación considerada, la métrica de asignación corresponde al SIR del usuario en cada RB, como se muestra en la ecuación (3);</w:t>
      </w:r>
    </w:p>
    <w:p>
      <w:pPr>
        <w:pStyle w:val="Text"/>
        <w:rPr>
          <w:lang w:val="es-ES_tradnl"/>
          <w14:textFill>
            <w14:solidFill>
              <w14:srgbClr w14:val="000000"/>
            </w14:solidFill>
          </w14:textFill>
        </w:rPr>
      </w:pPr>
      <m:oMathPara>
        <m:oMathParaPr>
          <m:jc m:val="center"/>
        </m:oMathParaPr>
        <m:oMath>
          <m:sSubSup>
            <m:sSubSupPr>
              <m:ctrlPr>
                <w:rPr>
                  <w:rFonts w:ascii="Cambria Math" w:hAnsi="Cambria Math"/>
                  <w:i/>
                  <w:lang w:val="es-ES_tradnl"/>
                </w:rPr>
              </m:ctrlPr>
            </m:sSubSupPr>
            <m:e>
              <m:r>
                <w:rPr>
                  <w:rFonts w:ascii="Cambria Math" w:hAnsi="Cambria Math"/>
                  <w:lang w:val="es-ES_tradnl"/>
                </w:rPr>
                <m:t>m</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up>
              <m:r>
                <w:rPr>
                  <w:rFonts w:ascii="Cambria Math" w:hAnsi="Cambria Math"/>
                  <w:lang w:val="es-ES_tradnl"/>
                </w:rPr>
                <m:t>BCQI</m:t>
              </m:r>
            </m:sup>
          </m:sSubSup>
          <m:r>
            <m:rPr>
              <m:sty m:val="p"/>
            </m:rPr>
            <w:rPr>
              <w:rFonts w:ascii="Cambria Math" w:hAnsi="Cambria Math"/>
              <w:lang w:val="es-ES_tradnl"/>
            </w:rPr>
            <m:t>=</m:t>
          </m:r>
          <m:sSub>
            <m:sSubPr>
              <m:ctrlPr>
                <w:rPr>
                  <w:rFonts w:ascii="Cambria Math" w:hAnsi="Cambria Math"/>
                  <w:i/>
                  <w:lang w:val="es-ES_tradnl"/>
                </w:rPr>
              </m:ctrlPr>
            </m:sSubPr>
            <m:e>
              <m:r>
                <w:rPr>
                  <w:rFonts w:ascii="Cambria Math" w:hAnsi="Cambria Math"/>
                  <w:lang w:val="es-ES_tradnl"/>
                </w:rPr>
                <m:t>γ</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r>
            <m:rPr>
              <m:sty m:val="p"/>
            </m:rPr>
            <w:rPr>
              <w:rFonts w:ascii="Cambria Math" w:hAnsi="Cambria Math"/>
              <w:lang w:val="es-ES_tradnl"/>
            </w:rPr>
            <m:t>.</m:t>
          </m:r>
          <m:r>
            <w:rPr>
              <w:rFonts w:ascii="Cambria Math" w:hAnsi="Cambria Math"/>
              <w:lang w:val="es-ES_tradnl"/>
            </w:rPr>
            <m:t>  </m:t>
          </m:r>
          <m:r>
            <m:rPr>
              <m:nor/>
            </m:rPr>
            <w:rPr>
              <w:lang w:val="es-ES_tradnl"/>
            </w:rPr>
            <m:t>(</m:t>
          </m:r>
          <m:r>
            <m:rPr>
              <m:nor/>
            </m:rPr>
            <w:rPr>
              <w:lang w:val="es-ES_tradnl"/>
            </w:rPr>
            <m:t>3</m:t>
          </m:r>
          <m:r>
            <m:rPr>
              <m:nor/>
            </m:rPr>
            <w:rPr>
              <w:lang w:val="es-ES_tradnl"/>
            </w:rPr>
            <m:t>)</m:t>
          </m:r>
        </m:oMath>
      </m:oMathPara>
    </w:p>
    <w:p>
      <w:pPr>
        <w:pStyle w:val="Text"/>
        <w:rPr>
          <w:lang w:val="es-ES_tradnl"/>
          <w14:textFill>
            <w14:solidFill>
              <w14:srgbClr w14:val="000000"/>
            </w14:solidFill>
          </w14:textFill>
        </w:rPr>
      </w:pPr>
      <w:r>
        <w:rPr>
          <w:lang w:val="es-ES_tradnl"/>
          <w14:textFill>
            <w14:solidFill>
              <w14:srgbClr w14:val="000000"/>
            </w14:solidFill>
          </w14:textFill>
        </w:rPr>
        <w:t xml:space="preserve">Dado que la tasa de datos que puede transmitirse en un RB es una función no decreciente del SIR, seleccionar al usuario con mayor </w:t>
      </w:r>
      <m:oMath>
        <m:sSub>
          <m:sSubPr>
            <m:ctrlPr>
              <w:rPr>
                <w:rFonts w:ascii="Cambria Math" w:hAnsi="Cambria Math"/>
                <w:i/>
                <w:lang w:val="es-ES_tradnl"/>
              </w:rPr>
            </m:ctrlPr>
          </m:sSubPr>
          <m:e>
            <m:r>
              <w:rPr>
                <w:rFonts w:ascii="Cambria Math" w:hAnsi="Cambria Math"/>
                <w:lang w:val="es-ES_tradnl"/>
              </w:rPr>
              <m:t>γ</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oMath>
      <w:r>
        <w:rPr>
          <w:lang w:val="es-ES_tradnl"/>
          <w14:textFill>
            <w14:solidFill>
              <w14:srgbClr w14:val="000000"/>
            </w14:solidFill>
          </w14:textFill>
        </w:rPr>
        <w:t xml:space="preserve"> equivale a favorecer al que puede transmitir la mayor cantidad de bits en ese RB. Como consecuencia, los UE que experimentan mejores condiciones de canal, generalmente los más cercanos a la estación base, tienden a recibir una mayor proporción de RB. Por el contrario, los usuarios con condiciones de canal desfavorables pueden recibir pocos recursos o incluso no ser atendidos durante una trama.</w:t>
      </w:r>
    </w:p>
    <w:p>
      <w:pPr>
        <w:pStyle w:val="Heading2"/>
        <w:rPr>
          <w14:textFill>
            <w14:solidFill>
              <w14:srgbClr w14:val="000000"/>
            </w14:solidFill>
          </w14:textFill>
        </w:rPr>
      </w:pPr>
      <w:r>
        <w:rPr>
          <w14:textFill>
            <w14:solidFill>
              <w14:srgbClr w14:val="000000"/>
            </w14:solidFill>
          </w14:textFill>
        </w:rPr>
        <w:t xml:space="preserve">2.3 Blind Equal Throughput (BET)</w:t>
      </w:r>
    </w:p>
    <w:p>
      <w:pPr>
        <w:pStyle w:val="Text"/>
        <w:rPr>
          <w:lang w:val="es-ES_tradnl"/>
          <w14:textFill>
            <w14:solidFill>
              <w14:srgbClr w14:val="000000"/>
            </w14:solidFill>
          </w14:textFill>
        </w:rPr>
      </w:pPr>
      <w:r>
        <w:rPr>
          <w:lang w:val="es-ES_tradnl"/>
          <w14:textFill>
            <w14:solidFill>
              <w14:srgbClr w14:val="000000"/>
            </w14:solidFill>
          </w14:textFill>
        </w:rPr>
        <w:t xml:space="preserve">El planificador de recursos BET busca mejorar la equidad en términos de la transmisión de datos, favoreciendo a los UE que han recibido menos datos [5]. A diferencia del planificador BCQI, su criterio de asignación no toma en cuenta directamente las condiciones instantáneas del canal. La métrica utilizada se define en (4) de la siguiente manera;</w:t>
      </w:r>
    </w:p>
    <w:p>
      <w:pPr>
        <w:pStyle w:val="Text"/>
        <w:rPr>
          <w:lang w:val="es-ES_tradnl"/>
          <w14:textFill>
            <w14:solidFill>
              <w14:srgbClr w14:val="000000"/>
            </w14:solidFill>
          </w14:textFill>
        </w:rPr>
      </w:pPr>
      <m:oMathPara>
        <m:oMathParaPr>
          <m:jc m:val="center"/>
        </m:oMathParaPr>
        <m:oMath>
          <m:sSubSup>
            <m:sSubSupPr>
              <m:ctrlPr>
                <w:rPr>
                  <w:rFonts w:ascii="Cambria Math" w:hAnsi="Cambria Math"/>
                  <w:i/>
                  <w:lang w:val="es-ES_tradnl"/>
                </w:rPr>
              </m:ctrlPr>
            </m:sSubSupPr>
            <m:e>
              <m:r>
                <w:rPr>
                  <w:rFonts w:ascii="Cambria Math" w:hAnsi="Cambria Math"/>
                  <w:lang w:val="es-ES_tradnl"/>
                </w:rPr>
                <m:t>m</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up>
              <m:r>
                <w:rPr>
                  <w:rFonts w:ascii="Cambria Math" w:hAnsi="Cambria Math"/>
                  <w:lang w:val="es-ES_tradnl"/>
                </w:rPr>
                <m:t>BET</m:t>
              </m:r>
            </m:sup>
          </m:sSubSup>
          <m:r>
            <m:rPr>
              <m:sty m:val="p"/>
            </m:rPr>
            <w:rPr>
              <w:rFonts w:ascii="Cambria Math" w:hAnsi="Cambria Math"/>
              <w:lang w:val="es-ES_tradnl"/>
            </w:rPr>
            <m:t>=</m:t>
          </m:r>
          <m:f>
            <m:fPr>
              <m:ctrlPr>
                <w:rPr>
                  <w:rFonts w:ascii="Cambria Math" w:hAnsi="Cambria Math"/>
                  <w:i/>
                  <w:lang w:val="es-ES_tradnl"/>
                </w:rPr>
              </m:ctrlPr>
            </m:fPr>
            <m:num>
              <m:r>
                <w:rPr>
                  <w:rFonts w:ascii="Cambria Math" w:hAnsi="Cambria Math"/>
                  <w:lang w:val="es-ES_tradnl"/>
                </w:rPr>
                <m:t>1</m:t>
              </m:r>
            </m:num>
            <m:den>
              <m:sSub>
                <m:sSubPr>
                  <m:ctrlPr>
                    <w:rPr>
                      <w:rFonts w:ascii="Cambria Math" w:hAnsi="Cambria Math"/>
                      <w:i/>
                      <w:lang w:val="es-ES_tradnl"/>
                    </w:rPr>
                  </m:ctrlPr>
                </m:sSubPr>
                <m:e>
                  <m:acc>
                    <m:accPr>
                      <m:chr m:val="‾"/>
                      <m:ctrlPr>
                        <w:rPr>
                          <w:rFonts w:ascii="Cambria Math" w:hAnsi="Cambria Math"/>
                          <w:i/>
                          <w:lang w:val="es-ES_tradnl"/>
                        </w:rPr>
                      </m:ctrlPr>
                    </m:accPr>
                    <m:e>
                      <m:r>
                        <w:rPr>
                          <w:rFonts w:ascii="Cambria Math" w:hAnsi="Cambria Math"/>
                          <w:lang w:val="es-ES_tradnl"/>
                        </w:rPr>
                        <m:t>R</m:t>
                      </m:r>
                    </m:e>
                  </m:acc>
                </m:e>
                <m:sub>
                  <m:r>
                    <w:rPr>
                      <w:rFonts w:ascii="Cambria Math" w:hAnsi="Cambria Math"/>
                      <w:lang w:val="es-ES_tradnl"/>
                    </w:rPr>
                    <m:t>i</m:t>
                  </m:r>
                </m:sub>
              </m:sSub>
              <m:d>
                <m:dPr>
                  <m:ctrlPr>
                    <w:rPr>
                      <w:rFonts w:ascii="Cambria Math" w:hAnsi="Cambria Math"/>
                      <w:i/>
                      <w:lang w:val="es-ES_tradnl"/>
                    </w:rPr>
                  </m:ctrlPr>
                </m:dPr>
                <m:e>
                  <m:r>
                    <w:rPr>
                      <w:rFonts w:ascii="Cambria Math" w:hAnsi="Cambria Math"/>
                      <w:lang w:val="es-ES_tradnl"/>
                    </w:rPr>
                    <m:t>k</m:t>
                  </m:r>
                  <m:r>
                    <m:rPr>
                      <m:sty m:val="p"/>
                    </m:rPr>
                    <w:rPr>
                      <w:rFonts w:ascii="Cambria Math" w:hAnsi="Cambria Math"/>
                      <w:lang w:val="es-ES_tradnl"/>
                    </w:rPr>
                    <m:t>-</m:t>
                  </m:r>
                  <m:r>
                    <w:rPr>
                      <w:rFonts w:ascii="Cambria Math" w:hAnsi="Cambria Math"/>
                      <w:lang w:val="es-ES_tradnl"/>
                    </w:rPr>
                    <m:t>1</m:t>
                  </m:r>
                </m:e>
              </m:d>
            </m:den>
          </m:f>
          <m:r>
            <m:rPr>
              <m:sty m:val="p"/>
            </m:rPr>
            <w:rPr>
              <w:rFonts w:ascii="Cambria Math" w:hAnsi="Cambria Math"/>
              <w:lang w:val="es-ES_tradnl"/>
            </w:rPr>
            <m:t>,</m:t>
          </m:r>
          <m:r>
            <w:rPr>
              <w:rFonts w:ascii="Cambria Math" w:hAnsi="Cambria Math"/>
              <w:lang w:val="es-ES_tradnl"/>
            </w:rPr>
            <m:t>  </m:t>
          </m:r>
          <m:r>
            <m:rPr>
              <m:nor/>
            </m:rPr>
            <w:rPr>
              <w:lang w:val="es-ES_tradnl"/>
            </w:rPr>
            <m:t>(</m:t>
          </m:r>
          <m:r>
            <m:rPr>
              <m:nor/>
            </m:rPr>
            <w:rPr>
              <w:lang w:val="es-ES_tradnl"/>
            </w:rPr>
            <m:t>4</m:t>
          </m:r>
          <m:r>
            <m:rPr>
              <m:nor/>
            </m:rPr>
            <w:rPr>
              <w:lang w:val="es-ES_tradnl"/>
            </w:rPr>
            <m:t>)</m:t>
          </m:r>
        </m:oMath>
      </m:oMathPara>
    </w:p>
    <w:p>
      <w:pPr>
        <w:pStyle w:val="Text"/>
        <w:rPr>
          <w:lang w:val="es-ES_tradnl"/>
          <w14:textFill>
            <w14:solidFill>
              <w14:srgbClr w14:val="000000"/>
            </w14:solidFill>
          </w14:textFill>
        </w:rPr>
      </w:pPr>
      <w:r>
        <w:rPr>
          <w:lang w:val="es-ES_tradnl"/>
          <w14:textFill>
            <w14:solidFill>
              <w14:srgbClr w14:val="000000"/>
            </w14:solidFill>
          </w14:textFill>
        </w:rPr>
        <w:t xml:space="preserve">donde </w:t>
      </w:r>
      <m:oMath>
        <m:sSub>
          <m:sSubPr>
            <m:ctrlPr>
              <w:rPr>
                <w:rFonts w:ascii="Cambria Math" w:hAnsi="Cambria Math"/>
                <w:i/>
                <w:lang w:val="es-ES_tradnl"/>
              </w:rPr>
            </m:ctrlPr>
          </m:sSubPr>
          <m:e>
            <m:acc>
              <m:accPr>
                <m:chr m:val="‾"/>
                <m:ctrlPr>
                  <w:rPr>
                    <w:rFonts w:ascii="Cambria Math" w:hAnsi="Cambria Math"/>
                    <w:i/>
                    <w:lang w:val="es-ES_tradnl"/>
                  </w:rPr>
                </m:ctrlPr>
              </m:accPr>
              <m:e>
                <m:r>
                  <w:rPr>
                    <w:rFonts w:ascii="Cambria Math" w:hAnsi="Cambria Math"/>
                    <w:lang w:val="es-ES_tradnl"/>
                  </w:rPr>
                  <m:t>R</m:t>
                </m:r>
              </m:e>
            </m:acc>
          </m:e>
          <m:sub>
            <m:r>
              <w:rPr>
                <w:rFonts w:ascii="Cambria Math" w:hAnsi="Cambria Math"/>
                <w:lang w:val="es-ES_tradnl"/>
              </w:rPr>
              <m:t>i</m:t>
            </m:r>
          </m:sub>
        </m:sSub>
        <m:r>
          <w:rPr>
            <w:rFonts w:ascii="Cambria Math" w:eastAsiaTheme="minorEastAsia" w:hAnsi="Cambria Math"/>
            <w:lang w:val="es-ES_tradnl"/>
          </w:rPr>
          <m:t>(k-1)</m:t>
        </m:r>
      </m:oMath>
      <w:r>
        <w:rPr>
          <w:lang w:val="es-ES_tradnl"/>
          <w14:textFill>
            <w14:solidFill>
              <w14:srgbClr w14:val="000000"/>
            </w14:solidFill>
          </w14:textFill>
        </w:rPr>
        <w:t xml:space="preserve"> representa el promedio de los datos recibidos por el </w:t>
      </w:r>
      <w:r>
        <w:rPr>
          <w:i/>
          <w:iCs/>
          <w:lang w:val="es-ES_tradnl"/>
          <w14:textFill>
            <w14:solidFill>
              <w14:srgbClr w14:val="000000"/>
            </w14:solidFill>
          </w14:textFill>
        </w:rPr>
        <w:t xml:space="preserve">i-</w:t>
      </w:r>
      <w:r>
        <w:rPr>
          <w:lang w:val="es-ES_tradnl"/>
          <w14:textFill>
            <w14:solidFill>
              <w14:srgbClr w14:val="000000"/>
            </w14:solidFill>
          </w14:textFill>
        </w:rPr>
        <w:t xml:space="preserve">ésimo</w:t>
      </w:r>
      <w:r>
        <w:rPr>
          <w:i/>
          <w:iCs/>
          <w:lang w:val="es-ES_tradnl"/>
          <w14:textFill>
            <w14:solidFill>
              <w14:srgbClr w14:val="000000"/>
            </w14:solidFill>
          </w14:textFill>
        </w:rPr>
        <w:t xml:space="preserve"> </w:t>
      </w:r>
      <w:r>
        <w:rPr>
          <w:lang w:val="es-ES_tradnl"/>
          <w14:textFill>
            <w14:solidFill>
              <w14:srgbClr w14:val="000000"/>
            </w14:solidFill>
          </w14:textFill>
        </w:rPr>
        <w:t xml:space="preserve">UE hasta el RB anterior. Durante la implementación, este promedio se actualiza tras cada asignación. Por consiguiente, los usuarios que han recibido menos datos o no han sido atendidos (</w:t>
      </w:r>
      <m:oMath>
        <m:sSub>
          <m:sSubPr>
            <m:ctrlPr>
              <w:rPr>
                <w:rFonts w:ascii="Cambria Math" w:hAnsi="Cambria Math"/>
                <w:i/>
                <w:lang w:val="es-ES_tradnl"/>
              </w:rPr>
            </m:ctrlPr>
          </m:sSubPr>
          <m:e>
            <m:acc>
              <m:accPr>
                <m:chr m:val="‾"/>
                <m:ctrlPr>
                  <w:rPr>
                    <w:rFonts w:ascii="Cambria Math" w:hAnsi="Cambria Math"/>
                    <w:i/>
                    <w:lang w:val="es-ES_tradnl"/>
                  </w:rPr>
                </m:ctrlPr>
              </m:accPr>
              <m:e>
                <m:r>
                  <w:rPr>
                    <w:rFonts w:ascii="Cambria Math" w:hAnsi="Cambria Math"/>
                    <w:lang w:val="es-ES_tradnl"/>
                  </w:rPr>
                  <m:t>R</m:t>
                </m:r>
              </m:e>
            </m:acc>
          </m:e>
          <m:sub>
            <m:r>
              <w:rPr>
                <w:rFonts w:ascii="Cambria Math" w:hAnsi="Cambria Math"/>
                <w:lang w:val="es-ES_tradnl"/>
              </w:rPr>
              <m:t>i</m:t>
            </m:r>
          </m:sub>
        </m:sSub>
        <m:r>
          <m:rPr>
            <m:sty m:val="p"/>
          </m:rPr>
          <w:rPr>
            <w:rFonts w:ascii="Cambria Math" w:hAnsi="Cambria Math"/>
            <w:lang w:val="es-ES_tradnl"/>
          </w:rPr>
          <m:t>=</m:t>
        </m:r>
        <m:r>
          <w:rPr>
            <w:rFonts w:ascii="Cambria Math" w:hAnsi="Cambria Math"/>
            <w:lang w:val="es-ES_tradnl"/>
          </w:rPr>
          <m:t>0</m:t>
        </m:r>
      </m:oMath>
      <w:r>
        <w:rPr>
          <w:lang w:val="es-ES_tradnl"/>
          <w14:textFill>
            <w14:solidFill>
              <w14:srgbClr w14:val="000000"/>
            </w14:solidFill>
          </w14:textFill>
        </w:rPr>
        <w:t xml:space="preserve">) presentan una métrica más alta y tienen prioridad para recibir los siguientes RB. En particular, los usuarios que aún no han recibido datos requieren un tratamiento de inicialización para evitar una división por cero.</w:t>
      </w:r>
    </w:p>
    <w:p>
      <w:pPr>
        <w:pStyle w:val="Heading2"/>
        <w:rPr>
          <w14:textFill>
            <w14:solidFill>
              <w14:srgbClr w14:val="000000"/>
            </w14:solidFill>
          </w14:textFill>
        </w:rPr>
      </w:pPr>
      <w:r>
        <w:rPr>
          <w14:textFill>
            <w14:solidFill>
              <w14:srgbClr w14:val="000000"/>
            </w14:solidFill>
          </w14:textFill>
        </w:rPr>
        <w:t xml:space="preserve">2.4 Proportional Fair (PF)</w:t>
      </w:r>
    </w:p>
    <w:p>
      <w:pPr>
        <w:jc w:val="both"/>
        <w:rPr>
          <w14:textFill>
            <w14:solidFill>
              <w14:srgbClr w14:val="000000"/>
            </w14:solidFill>
          </w14:textFill>
        </w:rPr>
      </w:pPr>
      <w:r>
        <w:rPr>
          <w14:textFill>
            <w14:solidFill>
              <w14:srgbClr w14:val="000000"/>
            </w14:solidFill>
          </w14:textFill>
        </w:rPr>
        <w:t xml:space="preserve">El planificador de recursos PF busca establecer un equilibrio entre aprovechar las condiciones favorables del canal y la equidad en la distribución de la tasa de transmisión de datos [5], [7]. Para ello, combina la tasa de datos que puede alcanzar cada usuario en un RB con su tasa de transmisión promedio histórico. La métrica de asignación se define en la ecuación (5) de la siguiente manera;</w:t>
      </w:r>
    </w:p>
    <w:p>
      <w:pPr>
        <w:pStyle w:val="Text"/>
        <w:rPr>
          <w:lang w:val="es-ES_tradnl"/>
          <w14:textFill>
            <w14:solidFill>
              <w14:srgbClr w14:val="000000"/>
            </w14:solidFill>
          </w14:textFill>
        </w:rPr>
      </w:pPr>
      <m:oMathPara>
        <m:oMathParaPr>
          <m:jc m:val="center"/>
        </m:oMathParaPr>
        <m:oMath>
          <m:sSubSup>
            <m:sSubSupPr>
              <m:ctrlPr>
                <w:rPr>
                  <w:rFonts w:ascii="Cambria Math" w:hAnsi="Cambria Math"/>
                  <w:i/>
                  <w:lang w:val="es-ES_tradnl"/>
                </w:rPr>
              </m:ctrlPr>
            </m:sSubSupPr>
            <m:e>
              <m:r>
                <w:rPr>
                  <w:rFonts w:ascii="Cambria Math" w:hAnsi="Cambria Math"/>
                  <w:lang w:val="es-ES_tradnl"/>
                </w:rPr>
                <m:t>m</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up>
              <m:r>
                <w:rPr>
                  <w:rFonts w:ascii="Cambria Math" w:hAnsi="Cambria Math"/>
                  <w:lang w:val="es-ES_tradnl"/>
                </w:rPr>
                <m:t>PF</m:t>
              </m:r>
            </m:sup>
          </m:sSubSup>
          <m:r>
            <m:rPr>
              <m:sty m:val="p"/>
            </m:rPr>
            <w:rPr>
              <w:rFonts w:ascii="Cambria Math" w:hAnsi="Cambria Math"/>
              <w:lang w:val="es-ES_tradnl"/>
            </w:rPr>
            <m:t>=</m:t>
          </m:r>
          <m:f>
            <m:fPr>
              <m:ctrlPr>
                <w:rPr>
                  <w:rFonts w:ascii="Cambria Math" w:hAnsi="Cambria Math"/>
                  <w:i/>
                  <w:lang w:val="es-ES_tradnl"/>
                </w:rPr>
              </m:ctrlPr>
            </m:fPr>
            <m:num>
              <m:sSub>
                <m:sSubPr>
                  <m:ctrlPr>
                    <w:rPr>
                      <w:rFonts w:ascii="Cambria Math" w:hAnsi="Cambria Math"/>
                      <w:i/>
                      <w:lang w:val="es-ES_tradnl"/>
                    </w:rPr>
                  </m:ctrlPr>
                </m:sSubPr>
                <m:e>
                  <m:r>
                    <w:rPr>
                      <w:rFonts w:ascii="Cambria Math" w:hAnsi="Cambria Math"/>
                      <w:lang w:val="es-ES_tradnl"/>
                    </w:rPr>
                    <m:t>r</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num>
            <m:den>
              <m:sSub>
                <m:sSubPr>
                  <m:ctrlPr>
                    <w:rPr>
                      <w:rFonts w:ascii="Cambria Math" w:hAnsi="Cambria Math"/>
                      <w:i/>
                      <w:lang w:val="es-ES_tradnl"/>
                    </w:rPr>
                  </m:ctrlPr>
                </m:sSubPr>
                <m:e>
                  <m:acc>
                    <m:accPr>
                      <m:chr m:val="‾"/>
                      <m:ctrlPr>
                        <w:rPr>
                          <w:rFonts w:ascii="Cambria Math" w:hAnsi="Cambria Math"/>
                          <w:i/>
                          <w:lang w:val="es-ES_tradnl"/>
                        </w:rPr>
                      </m:ctrlPr>
                    </m:accPr>
                    <m:e>
                      <m:r>
                        <w:rPr>
                          <w:rFonts w:ascii="Cambria Math" w:hAnsi="Cambria Math"/>
                          <w:lang w:val="es-ES_tradnl"/>
                        </w:rPr>
                        <m:t>R</m:t>
                      </m:r>
                    </m:e>
                  </m:acc>
                </m:e>
                <m:sub>
                  <m:r>
                    <w:rPr>
                      <w:rFonts w:ascii="Cambria Math" w:hAnsi="Cambria Math"/>
                      <w:lang w:val="es-ES_tradnl"/>
                    </w:rPr>
                    <m:t>i</m:t>
                  </m:r>
                </m:sub>
              </m:sSub>
              <m:d>
                <m:dPr>
                  <m:ctrlPr>
                    <w:rPr>
                      <w:rFonts w:ascii="Cambria Math" w:hAnsi="Cambria Math"/>
                      <w:i/>
                      <w:lang w:val="es-ES_tradnl"/>
                    </w:rPr>
                  </m:ctrlPr>
                </m:dPr>
                <m:e>
                  <m:r>
                    <w:rPr>
                      <w:rFonts w:ascii="Cambria Math" w:hAnsi="Cambria Math"/>
                      <w:lang w:val="es-ES_tradnl"/>
                    </w:rPr>
                    <m:t>k</m:t>
                  </m:r>
                  <m:r>
                    <m:rPr>
                      <m:sty m:val="p"/>
                    </m:rPr>
                    <w:rPr>
                      <w:rFonts w:ascii="Cambria Math" w:hAnsi="Cambria Math"/>
                      <w:lang w:val="es-ES_tradnl"/>
                    </w:rPr>
                    <m:t>-</m:t>
                  </m:r>
                  <m:r>
                    <w:rPr>
                      <w:rFonts w:ascii="Cambria Math" w:hAnsi="Cambria Math"/>
                      <w:lang w:val="es-ES_tradnl"/>
                    </w:rPr>
                    <m:t>1</m:t>
                  </m:r>
                </m:e>
              </m:d>
            </m:den>
          </m:f>
          <m:r>
            <m:rPr>
              <m:sty m:val="p"/>
            </m:rPr>
            <w:rPr>
              <w:rFonts w:ascii="Cambria Math" w:hAnsi="Cambria Math"/>
              <w:lang w:val="es-ES_tradnl"/>
            </w:rPr>
            <m:t>,</m:t>
          </m:r>
          <m:r>
            <w:rPr>
              <w:rFonts w:ascii="Cambria Math" w:hAnsi="Cambria Math"/>
              <w:lang w:val="es-ES_tradnl"/>
            </w:rPr>
            <m:t>  </m:t>
          </m:r>
          <m:r>
            <m:rPr>
              <m:nor/>
            </m:rPr>
            <w:rPr>
              <w:lang w:val="es-ES_tradnl"/>
            </w:rPr>
            <m:t>(</m:t>
          </m:r>
          <m:r>
            <m:rPr>
              <m:nor/>
            </m:rPr>
            <w:rPr>
              <w:lang w:val="es-ES_tradnl"/>
            </w:rPr>
            <m:t>5</m:t>
          </m:r>
          <m:r>
            <m:rPr>
              <m:nor/>
            </m:rPr>
            <w:rPr>
              <w:lang w:val="es-ES_tradnl"/>
            </w:rPr>
            <m:t>)</m:t>
          </m:r>
        </m:oMath>
      </m:oMathPara>
    </w:p>
    <w:p>
      <w:pPr>
        <w:jc w:val="both"/>
        <w:rPr>
          <w14:textFill>
            <w14:solidFill>
              <w14:srgbClr w14:val="000000"/>
            </w14:solidFill>
          </w14:textFill>
        </w:rPr>
      </w:pPr>
      <w:r>
        <w:rPr>
          <w14:textFill>
            <w14:solidFill>
              <w14:srgbClr w14:val="000000"/>
            </w14:solidFill>
          </w14:textFill>
        </w:rPr>
        <w:t xml:space="preserve">donde </w:t>
      </w:r>
      <m:oMath>
        <m:sSub>
          <m:sSubPr>
            <m:ctrlPr>
              <w:rPr>
                <w:rFonts w:ascii="Cambria Math" w:hAnsi="Cambria Math"/>
                <w:i/>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k</m:t>
            </m:r>
          </m:sub>
        </m:sSub>
      </m:oMath>
      <w:r>
        <w:rPr>
          <w14:textFill>
            <w14:solidFill>
              <w14:srgbClr w14:val="000000"/>
            </w14:solidFill>
          </w14:textFill>
        </w:rPr>
        <w:t xml:space="preserve"> representa la tasa de datos que alcanzaría el </w:t>
      </w:r>
      <w:r>
        <w:rPr>
          <w:i/>
          <w:iCs/>
          <w14:textFill>
            <w14:solidFill>
              <w14:srgbClr w14:val="000000"/>
            </w14:solidFill>
          </w14:textFill>
        </w:rPr>
        <w:t xml:space="preserve">i-</w:t>
      </w:r>
      <w:r>
        <w:rPr>
          <w14:textFill>
            <w14:solidFill>
              <w14:srgbClr w14:val="000000"/>
            </w14:solidFill>
          </w14:textFill>
        </w:rPr>
        <w:t xml:space="preserve">ésimo UE en el </w:t>
      </w:r>
      <w:r>
        <w:rPr>
          <w:i/>
          <w:iCs/>
          <w14:textFill>
            <w14:solidFill>
              <w14:srgbClr w14:val="000000"/>
            </w14:solidFill>
          </w14:textFill>
        </w:rPr>
        <w:t xml:space="preserve">k-</w:t>
      </w:r>
      <w:r>
        <w:rPr>
          <w14:textFill>
            <w14:solidFill>
              <w14:srgbClr w14:val="000000"/>
            </w14:solidFill>
          </w14:textFill>
        </w:rPr>
        <w:t xml:space="preserve">ésimo RB, mientras que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i</m:t>
            </m:r>
          </m:sub>
        </m:sSub>
        <m:r>
          <w:rPr>
            <w:rFonts w:ascii="Cambria Math" w:eastAsiaTheme="minorEastAsia" w:hAnsi="Cambria Math"/>
          </w:rPr>
          <m:t>(k-1)</m:t>
        </m:r>
      </m:oMath>
      <w:r>
        <w:rPr>
          <w14:textFill>
            <w14:solidFill>
              <w14:srgbClr w14:val="000000"/>
            </w14:solidFill>
          </w14:textFill>
        </w:rPr>
        <w:t xml:space="preserve"> corresponde a su tasa de transmisión promedio hasta el RB anterior. De esta manera, los usuarios con buenas condiciones instantáneas del canal pueden obtener una métrica elevada; sin embargo, su prioridad disminuye a medida que aumenta la tasa de transmisión de datos que reciben. Esto permite que los usuarios con condiciones de canal menos favorables también tengan oportunidades de recibir recursos cuando su tasa de transmisión promedio es relativamente bajo.</w:t>
      </w:r>
    </w:p>
    <w:p>
      <w:pPr>
        <w:jc w:val="both"/>
        <w:rPr>
          <w14:textFill>
            <w14:solidFill>
              <w14:srgbClr w14:val="000000"/>
            </w14:solidFill>
          </w14:textFill>
        </w:rPr>
      </w:pPr>
    </w:p>
    <w:p>
      <w:pPr>
        <w:jc w:val="center"/>
        <w:rPr>
          <w14:textFill>
            <w14:solidFill>
              <w14:srgbClr w14:val="000000"/>
            </w14:solidFill>
          </w14:textFill>
        </w:rPr>
      </w:pPr>
      <w:r>
        <w:rPr>
          <w14:textFill>
            <w14:solidFill>
              <w14:srgbClr w14:val="000000"/>
            </w14:solidFill>
          </w14:textFill>
        </w:rPr>
        <w:t xml:space="preserve">3. MÉTRICAS DE DESEMPEÑO</w:t>
      </w:r>
    </w:p>
    <w:p>
      <w:pPr>
        <w:jc w:val="center"/>
        <w:rPr>
          <w14:textFill>
            <w14:solidFill>
              <w14:srgbClr w14:val="000000"/>
            </w14:solidFill>
          </w14:textFill>
        </w:rPr>
      </w:pPr>
    </w:p>
    <w:p>
      <w:pPr>
        <w:jc w:val="both"/>
        <w:rPr>
          <w14:textFill>
            <w14:solidFill>
              <w14:srgbClr w14:val="000000"/>
            </w14:solidFill>
          </w14:textFill>
        </w:rPr>
      </w:pPr>
      <w:r>
        <w:rPr>
          <w14:textFill>
            <w14:solidFill>
              <w14:srgbClr w14:val="000000"/>
            </w14:solidFill>
          </w14:textFill>
        </w:rPr>
        <w:t xml:space="preserve">El desempeño de los algoritmos de planificación se evalúa mediante las métricas de tasa de transmisión de datos y el índice de equidad de Jain. La tasa de transmisión de datos permite cuantificar la cantidad de información recibida por los UE durante la simulación, mientras que el índice de Jain permite evaluar qué tan equitativamente se distribuye dicha tasa de transmisión de datos entre ellos. El análisis conjunto de ambas métricas permite comparar la capacidad de los algoritmos en el aprovechamiento de los recursos de radio y, al mismo tiempo, distribuirlos entre los usuarios.</w:t>
      </w:r>
    </w:p>
    <w:p>
      <w:pPr>
        <w:jc w:val="both"/>
        <w:rPr>
          <w:i/>
          <w:iCs/>
          <w14:textFill>
            <w14:solidFill>
              <w14:srgbClr w14:val="000000"/>
            </w14:solidFill>
          </w14:textFill>
        </w:rPr>
      </w:pPr>
      <w:r>
        <w:rPr>
          <w:i/>
          <w:iCs/>
          <w14:textFill>
            <w14:solidFill>
              <w14:srgbClr w14:val="000000"/>
            </w14:solidFill>
          </w14:textFill>
        </w:rPr>
        <w:t xml:space="preserve">3.1 Tasas de transmisión de datos</w:t>
      </w:r>
    </w:p>
    <w:p>
      <w:pPr>
        <w:jc w:val="both"/>
        <w:rPr>
          <w:i/>
          <w:iCs/>
          <w14:textFill>
            <w14:solidFill>
              <w14:srgbClr w14:val="000000"/>
            </w14:solidFill>
          </w14:textFill>
        </w:rPr>
      </w:pPr>
    </w:p>
    <w:p>
      <w:pPr>
        <w:jc w:val="both"/>
        <w:rPr>
          <w:i/>
          <w:iCs/>
          <w14:textFill>
            <w14:solidFill>
              <w14:srgbClr w14:val="000000"/>
            </w14:solidFill>
          </w14:textFill>
        </w:rPr>
      </w:pPr>
      <w:r>
        <w:rPr>
          <w14:textFill>
            <w14:solidFill>
              <w14:srgbClr w14:val="000000"/>
            </w14:solidFill>
          </w14:textFill>
        </w:rPr>
        <w:t xml:space="preserve">La tasa de transmisión de datos</w:t>
      </w:r>
      <w:r>
        <w:rPr>
          <w:szCs w:val="32"/>
          <w14:textFill>
            <w14:solidFill>
              <w14:srgbClr w14:val="000000"/>
            </w14:solidFill>
          </w14:textFill>
        </w:rPr>
        <w:t xml:space="preserve"> </w:t>
      </w:r>
      <w:r>
        <w:rPr>
          <w14:textFill>
            <w14:solidFill>
              <w14:srgbClr w14:val="000000"/>
            </w14:solidFill>
          </w14:textFill>
        </w:rPr>
        <w:t xml:space="preserve">individual </w:t>
      </w:r>
      <w:r>
        <w:rPr>
          <w:szCs w:val="32"/>
          <w14:textFill>
            <w14:solidFill>
              <w14:srgbClr w14:val="000000"/>
            </w14:solidFill>
          </w14:textFill>
        </w:rPr>
        <w:t xml:space="preserve">de cada </w:t>
      </w:r>
      <w:r>
        <w:rPr>
          <w14:textFill>
            <w14:solidFill>
              <w14:srgbClr w14:val="000000"/>
            </w14:solidFill>
          </w14:textFill>
        </w:rPr>
        <w:t xml:space="preserve">UE</w:t>
      </w:r>
      <w:r>
        <w:rPr>
          <w:szCs w:val="32"/>
          <w14:textFill>
            <w14:solidFill>
              <w14:srgbClr w14:val="000000"/>
            </w14:solidFill>
          </w14:textFill>
        </w:rPr>
        <w:t xml:space="preserve">, </w:t>
      </w:r>
      <m:oMath>
        <m:sSub>
          <m:sSubPr>
            <m:ctrlPr>
              <w:rPr>
                <w:rFonts w:ascii="Cambria Math" w:eastAsiaTheme="majorEastAsia" w:hAnsi="Cambria Math" w:cstheme="majorBidi"/>
                <w:i/>
                <w:szCs w:val="32"/>
              </w:rPr>
            </m:ctrlPr>
          </m:sSubPr>
          <m:e>
            <m:r>
              <w:rPr>
                <w:rFonts w:ascii="Cambria Math" w:hAnsi="Cambria Math"/>
              </w:rPr>
              <m:t>R</m:t>
            </m:r>
          </m:e>
          <m:sub>
            <m:r>
              <w:rPr>
                <w:rFonts w:ascii="Cambria Math" w:hAnsi="Cambria Math"/>
              </w:rPr>
              <m:t>i</m:t>
            </m:r>
          </m:sub>
        </m:sSub>
        <m:r>
          <w:rPr>
            <w:rFonts w:ascii="Cambria Math" w:eastAsiaTheme="majorEastAsia" w:hAnsi="Cambria Math" w:cstheme="majorBidi"/>
            <w:szCs w:val="32"/>
          </w:rPr>
          <m:t xml:space="preserve">, </m:t>
        </m:r>
      </m:oMath>
      <w:r>
        <w:rPr>
          <w:szCs w:val="32"/>
          <w14:textFill>
            <w14:solidFill>
              <w14:srgbClr w14:val="000000"/>
            </w14:solidFill>
          </w14:textFill>
        </w:rPr>
        <w:t xml:space="preserve">se calcula como la cantidad total de bits recibidos durante la simulación dividida entre el tiempo total de simulación, como se expresa en (6);</w:t>
      </w:r>
    </w:p>
    <w:p>
      <w:pPr>
        <w:pStyle w:val="Heading1"/>
        <w:jc w:val="both"/>
        <w:rPr>
          <w14:textFill>
            <w14:solidFill>
              <w14:srgbClr w14:val="000000"/>
            </w14:solidFill>
          </w14:textFill>
        </w:rPr>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i</m:t>
                  </m:r>
                </m:sub>
              </m:sSub>
            </m:num>
            <m:den>
              <m:sSub>
                <m:sSubPr>
                  <m:ctrlPr>
                    <w:rPr>
                      <w:rFonts w:ascii="Cambria Math" w:hAnsi="Cambria Math"/>
                      <w:i/>
                    </w:rPr>
                  </m:ctrlPr>
                </m:sSubPr>
                <m:e>
                  <m:r>
                    <w:rPr>
                      <w:rFonts w:ascii="Cambria Math" w:hAnsi="Cambria Math"/>
                    </w:rPr>
                    <m:t>T</m:t>
                  </m:r>
                </m:e>
                <m:sub>
                  <m:r>
                    <w:rPr>
                      <w:rFonts w:ascii="Cambria Math" w:hAnsi="Cambria Math"/>
                    </w:rPr>
                    <m:t>sim</m:t>
                  </m:r>
                </m:sub>
              </m:sSub>
            </m:den>
          </m:f>
          <m:r>
            <w:rPr>
              <w:rFonts w:ascii="Cambria Math" w:hAnsi="Cambria Math"/>
            </w:rPr>
            <m:t>,        i=1,2,…,N            (</m:t>
          </m:r>
          <m:r>
            <w:rPr>
              <w:rFonts w:ascii="Cambria Math" w:hAnsi="Cambria Math"/>
            </w:rPr>
            <m:t>6</m:t>
          </m:r>
          <m:r>
            <w:rPr>
              <w:rFonts w:ascii="Cambria Math" w:hAnsi="Cambria Math"/>
            </w:rPr>
            <m:t>)</m:t>
          </m:r>
        </m:oMath>
      </m:oMathPara>
    </w:p>
    <w:p>
      <w:pPr>
        <w:pStyle w:val="Heading1"/>
        <w:jc w:val="both"/>
        <w:rPr>
          <w14:textFill>
            <w14:solidFill>
              <w14:srgbClr w14:val="000000"/>
            </w14:solidFill>
          </w14:textFill>
        </w:rPr>
      </w:pPr>
      <w:r>
        <w:rPr>
          <w14:textFill>
            <w14:solidFill>
              <w14:srgbClr w14:val="000000"/>
            </w14:solidFill>
          </w14:textFill>
        </w:rPr>
        <w:t xml:space="preserve">donde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Pr>
          <w14:textFill>
            <w14:solidFill>
              <w14:srgbClr w14:val="000000"/>
            </w14:solidFill>
          </w14:textFill>
        </w:rPr>
        <w:t xml:space="preserve"> representa el total de bits recibidos por el UE </w:t>
      </w:r>
      <w:r>
        <w:rPr>
          <w:i/>
          <w:iCs/>
          <w14:textFill>
            <w14:solidFill>
              <w14:srgbClr w14:val="000000"/>
            </w14:solidFill>
          </w14:textFill>
        </w:rPr>
        <w:t xml:space="preserve">I</w:t>
      </w:r>
      <w:r>
        <w:rPr>
          <w14:textFill>
            <w14:solidFill>
              <w14:srgbClr w14:val="000000"/>
            </w14:solidFill>
          </w14:textFill>
        </w:rPr>
        <w:t xml:space="preserve"> y </w:t>
      </w:r>
      <m:oMath>
        <m:sSub>
          <m:sSubPr>
            <m:ctrlPr>
              <w:rPr>
                <w:rFonts w:ascii="Cambria Math" w:hAnsi="Cambria Math"/>
                <w:i/>
              </w:rPr>
            </m:ctrlPr>
          </m:sSubPr>
          <m:e>
            <m:r>
              <w:rPr>
                <w:rFonts w:ascii="Cambria Math" w:hAnsi="Cambria Math"/>
              </w:rPr>
              <m:t>T</m:t>
            </m:r>
          </m:e>
          <m:sub>
            <m:r>
              <w:rPr>
                <w:rFonts w:ascii="Cambria Math" w:hAnsi="Cambria Math"/>
              </w:rPr>
              <m:t>sim</m:t>
            </m:r>
          </m:sub>
        </m:sSub>
      </m:oMath>
      <w:r>
        <w:rPr>
          <w14:textFill>
            <w14:solidFill>
              <w14:srgbClr w14:val="000000"/>
            </w14:solidFill>
          </w14:textFill>
        </w:rPr>
        <w:t xml:space="preserve"> es el tiempo total de simulación y </w:t>
      </w:r>
      <w:r>
        <w:rPr>
          <w:i/>
          <w:iCs/>
          <w14:textFill>
            <w14:solidFill>
              <w14:srgbClr w14:val="000000"/>
            </w14:solidFill>
          </w14:textFill>
        </w:rPr>
        <w:t xml:space="preserve">N</w:t>
      </w:r>
      <w:r>
        <w:rPr>
          <w14:textFill>
            <w14:solidFill>
              <w14:srgbClr w14:val="000000"/>
            </w14:solidFill>
          </w14:textFill>
        </w:rPr>
        <w:t xml:space="preserve"> es el número de usuarios de la celda. El resultado se expresa en bits/s.</w:t>
      </w:r>
    </w:p>
    <w:p>
      <w:pPr>
        <w:pStyle w:val="Heading1"/>
        <w:jc w:val="both"/>
        <w:rPr>
          <w14:textFill>
            <w14:solidFill>
              <w14:srgbClr w14:val="000000"/>
            </w14:solidFill>
          </w14:textFill>
        </w:rPr>
      </w:pPr>
      <w:r>
        <w:rPr>
          <w14:textFill>
            <w14:solidFill>
              <w14:srgbClr w14:val="000000"/>
            </w14:solidFill>
          </w14:textFill>
        </w:rPr>
        <w:t xml:space="preserve">A partir de las tasas de transmisión individuales, se calcula la tasa de transmisión de datos promedio por usuario a partir de (7) de la siguiente manera;</w:t>
      </w:r>
    </w:p>
    <w:p>
      <w:pPr>
        <w:pStyle w:val="Heading1"/>
        <w:jc w:val="both"/>
        <w:rPr>
          <w14:textFill>
            <w14:solidFill>
              <w14:srgbClr w14:val="000000"/>
            </w14:solidFill>
          </w14:textFill>
        </w:rPr>
      </w:pPr>
      <m:oMathPara>
        <m:oMath>
          <m:sSub>
            <m:sSubPr>
              <m:ctrlPr>
                <w:rPr>
                  <w:rFonts w:ascii="Cambria Math" w:hAnsi="Cambria Math"/>
                  <w:i/>
                </w:rPr>
              </m:ctrlPr>
            </m:sSubPr>
            <m:e>
              <m:r>
                <w:rPr>
                  <w:rFonts w:ascii="Cambria Math" w:hAnsi="Cambria Math"/>
                </w:rPr>
                <m:t>R</m:t>
              </m:r>
            </m:e>
            <m:sub>
              <m:r>
                <w:rPr>
                  <w:rFonts w:ascii="Cambria Math" w:hAnsi="Cambria Math"/>
                </w:rPr>
                <m:t>prom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 xml:space="preserve">                            (7)</m:t>
          </m:r>
        </m:oMath>
      </m:oMathPara>
    </w:p>
    <w:p>
      <w:pPr>
        <w:pStyle w:val="Heading1"/>
        <w:jc w:val="both"/>
        <w:rPr>
          <w14:textFill>
            <w14:solidFill>
              <w14:srgbClr w14:val="000000"/>
            </w14:solidFill>
          </w14:textFill>
        </w:rPr>
      </w:pPr>
      <w:r>
        <w:rPr>
          <w14:textFill>
            <w14:solidFill>
              <w14:srgbClr w14:val="000000"/>
            </w14:solidFill>
          </w14:textFill>
        </w:rPr>
        <w:t xml:space="preserve">Asimismo, la tasa de transmisión de datos agregado de la celda (ver ecuación (8)) se obtiene sumando las tasas de transmisión de datos individuales de todos los usuarios;</w:t>
      </w:r>
    </w:p>
    <w:p>
      <w:pPr>
        <w:pStyle w:val="Heading1"/>
        <w:jc w:val="both"/>
        <w:rPr>
          <w14:textFill>
            <w14:solidFill>
              <w14:srgbClr w14:val="000000"/>
            </w14:solidFill>
          </w14:textFill>
        </w:rPr>
      </w:pPr>
      <m:oMathPara>
        <m:oMath>
          <m:sSub>
            <m:sSubPr>
              <m:ctrlPr>
                <w:rPr>
                  <w:rFonts w:ascii="Cambria Math" w:hAnsi="Cambria Math"/>
                  <w:i/>
                </w:rPr>
              </m:ctrlPr>
            </m:sSubPr>
            <m:e>
              <m:r>
                <w:rPr>
                  <w:rFonts w:ascii="Cambria Math" w:hAnsi="Cambria Math"/>
                </w:rPr>
                <m:t>R</m:t>
              </m:r>
            </m:e>
            <m:sub>
              <m:r>
                <w:rPr>
                  <w:rFonts w:ascii="Cambria Math" w:hAnsi="Cambria Math"/>
                </w:rPr>
                <m:t>celda</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(8)</m:t>
              </m:r>
            </m:e>
          </m:nary>
        </m:oMath>
      </m:oMathPara>
    </w:p>
    <w:p>
      <w:pPr>
        <w:pStyle w:val="Heading2"/>
        <w:rPr>
          <w14:textFill>
            <w14:solidFill>
              <w14:srgbClr w14:val="000000"/>
            </w14:solidFill>
          </w14:textFill>
        </w:rPr>
      </w:pPr>
      <w:r>
        <w:rPr>
          <w14:textFill>
            <w14:solidFill>
              <w14:srgbClr w14:val="000000"/>
            </w14:solidFill>
          </w14:textFill>
        </w:rPr>
        <w:t xml:space="preserve">3.2 Índice de Jain (J)</w:t>
      </w:r>
    </w:p>
    <w:p>
      <w:pPr>
        <w:pStyle w:val="Heading1"/>
        <w:jc w:val="both"/>
        <w:rPr>
          <w14:textFill>
            <w14:solidFill>
              <w14:srgbClr w14:val="000000"/>
            </w14:solidFill>
          </w14:textFill>
        </w:rPr>
      </w:pPr>
      <w:r>
        <w:rPr>
          <w14:textFill>
            <w14:solidFill>
              <w14:srgbClr w14:val="000000"/>
            </w14:solidFill>
          </w14:textFill>
        </w:rPr>
        <w:t xml:space="preserve">La equidad en la distribución de la tasa de transmisión entre los usuarios se evalúa mediante el índice de Jain, definido en (9) como;</w:t>
      </w:r>
    </w:p>
    <w:p>
      <w:pPr>
        <w:pStyle w:val="Text"/>
        <w:rPr>
          <w:lang w:val="es-ES_tradnl"/>
          <w14:textFill>
            <w14:solidFill>
              <w14:srgbClr w14:val="000000"/>
            </w14:solidFill>
          </w14:textFill>
        </w:rPr>
      </w:pPr>
      <m:oMathPara>
        <m:oMath>
          <m:r>
            <w:rPr>
              <w:rFonts w:ascii="Cambria Math" w:hAnsi="Cambria Math"/>
              <w:lang w:val="es-ES_tradnl"/>
            </w:rPr>
            <m:t>J</m:t>
          </m:r>
          <m:r>
            <m:rPr>
              <m:sty m:val="p"/>
            </m:rPr>
            <w:rPr>
              <w:rFonts w:ascii="Cambria Math" w:hAnsi="Cambria Math"/>
              <w:lang w:val="es-ES_tradnl"/>
            </w:rPr>
            <m:t>=</m:t>
          </m:r>
          <m:f>
            <m:fPr>
              <m:ctrlPr>
                <w:rPr>
                  <w:rFonts w:ascii="Cambria Math" w:hAnsi="Cambria Math"/>
                  <w:i/>
                  <w:lang w:val="es-ES_tradnl"/>
                </w:rPr>
              </m:ctrlPr>
            </m:fPr>
            <m:num>
              <m:sSup>
                <m:sSupPr>
                  <m:ctrlPr>
                    <w:rPr>
                      <w:rFonts w:ascii="Cambria Math" w:hAnsi="Cambria Math"/>
                      <w:i/>
                      <w:lang w:val="es-ES_tradnl"/>
                    </w:rPr>
                  </m:ctrlPr>
                </m:sSupPr>
                <m:e>
                  <m:d>
                    <m:dPr>
                      <m:ctrlPr>
                        <w:rPr>
                          <w:rFonts w:ascii="Cambria Math" w:hAnsi="Cambria Math"/>
                          <w:i/>
                          <w:lang w:val="es-ES_tradnl"/>
                        </w:rPr>
                      </m:ctrlPr>
                    </m:dPr>
                    <m:e>
                      <m:nary>
                        <m:naryPr>
                          <m:chr m:val="∑"/>
                          <m:limLoc m:val="undOvr"/>
                          <m:ctrlPr>
                            <w:rPr>
                              <w:rFonts w:ascii="Cambria Math" w:hAnsi="Cambria Math"/>
                              <w:i/>
                              <w:lang w:val="es-ES_tradnl"/>
                            </w:rPr>
                          </m:ctrlPr>
                        </m:naryPr>
                        <m:sub>
                          <m:r>
                            <w:rPr>
                              <w:rFonts w:ascii="Cambria Math" w:hAnsi="Cambria Math"/>
                              <w:lang w:val="es-ES_tradnl"/>
                            </w:rPr>
                            <m:t>i=1</m:t>
                          </m:r>
                        </m:sub>
                        <m:sup>
                          <m:r>
                            <w:rPr>
                              <w:rFonts w:ascii="Cambria Math" w:hAnsi="Cambria Math"/>
                              <w:lang w:val="es-ES_tradnl"/>
                            </w:rPr>
                            <m:t>N</m:t>
                          </m:r>
                        </m:sup>
                        <m:e>
                          <m:sSub>
                            <m:sSubPr>
                              <m:ctrlPr>
                                <w:rPr>
                                  <w:rFonts w:ascii="Cambria Math" w:hAnsi="Cambria Math"/>
                                  <w:i/>
                                  <w:lang w:val="es-ES_tradnl"/>
                                </w:rPr>
                              </m:ctrlPr>
                            </m:sSubPr>
                            <m:e>
                              <m:r>
                                <w:rPr>
                                  <w:rFonts w:ascii="Cambria Math" w:hAnsi="Cambria Math"/>
                                  <w:lang w:val="es-ES_tradnl"/>
                                </w:rPr>
                                <m:t>R</m:t>
                              </m:r>
                            </m:e>
                            <m:sub>
                              <m:r>
                                <w:rPr>
                                  <w:rFonts w:ascii="Cambria Math" w:hAnsi="Cambria Math"/>
                                  <w:lang w:val="es-ES_tradnl"/>
                                </w:rPr>
                                <m:t>i</m:t>
                              </m:r>
                            </m:sub>
                          </m:sSub>
                        </m:e>
                      </m:nary>
                    </m:e>
                  </m:d>
                </m:e>
                <m:sup>
                  <m:r>
                    <w:rPr>
                      <w:rFonts w:ascii="Cambria Math" w:hAnsi="Cambria Math"/>
                      <w:lang w:val="es-ES_tradnl"/>
                    </w:rPr>
                    <m:t>2</m:t>
                  </m:r>
                </m:sup>
              </m:sSup>
            </m:num>
            <m:den>
              <m:r>
                <w:rPr>
                  <w:rFonts w:ascii="Cambria Math" w:hAnsi="Cambria Math"/>
                  <w:lang w:val="es-ES_tradnl"/>
                </w:rPr>
                <m:t>N</m:t>
              </m:r>
              <m:nary>
                <m:naryPr>
                  <m:chr m:val="∑"/>
                  <m:limLoc m:val="undOvr"/>
                  <m:ctrlPr>
                    <w:rPr>
                      <w:rFonts w:ascii="Cambria Math" w:hAnsi="Cambria Math"/>
                      <w:i/>
                      <w:lang w:val="es-ES_tradnl"/>
                    </w:rPr>
                  </m:ctrlPr>
                </m:naryPr>
                <m:sub>
                  <m:r>
                    <w:rPr>
                      <w:rFonts w:ascii="Cambria Math" w:hAnsi="Cambria Math"/>
                      <w:lang w:val="es-ES_tradnl"/>
                    </w:rPr>
                    <m:t>i=1</m:t>
                  </m:r>
                </m:sub>
                <m:sup>
                  <m:r>
                    <w:rPr>
                      <w:rFonts w:ascii="Cambria Math" w:hAnsi="Cambria Math"/>
                      <w:lang w:val="es-ES_tradnl"/>
                    </w:rPr>
                    <m:t>N</m:t>
                  </m:r>
                </m:sup>
                <m:e>
                  <m:sSup>
                    <m:sSupPr>
                      <m:ctrlPr>
                        <w:rPr>
                          <w:rFonts w:ascii="Cambria Math" w:hAnsi="Cambria Math"/>
                          <w:i/>
                          <w:lang w:val="es-ES_tradnl"/>
                        </w:rPr>
                      </m:ctrlPr>
                    </m:sSupPr>
                    <m:e>
                      <m:sSub>
                        <m:sSubPr>
                          <m:ctrlPr>
                            <w:rPr>
                              <w:rFonts w:ascii="Cambria Math" w:hAnsi="Cambria Math"/>
                              <w:i/>
                              <w:lang w:val="es-ES_tradnl"/>
                            </w:rPr>
                          </m:ctrlPr>
                        </m:sSubPr>
                        <m:e>
                          <m:r>
                            <w:rPr>
                              <w:rFonts w:ascii="Cambria Math" w:hAnsi="Cambria Math"/>
                              <w:lang w:val="es-ES_tradnl"/>
                            </w:rPr>
                            <m:t>R</m:t>
                          </m:r>
                        </m:e>
                        <m:sub>
                          <m:r>
                            <w:rPr>
                              <w:rFonts w:ascii="Cambria Math" w:hAnsi="Cambria Math"/>
                              <w:lang w:val="es-ES_tradnl"/>
                            </w:rPr>
                            <m:t>i</m:t>
                          </m:r>
                        </m:sub>
                      </m:sSub>
                    </m:e>
                    <m:sup>
                      <m:r>
                        <w:rPr>
                          <w:rFonts w:ascii="Cambria Math" w:hAnsi="Cambria Math"/>
                          <w:lang w:val="es-ES_tradnl"/>
                        </w:rPr>
                        <m:t>2</m:t>
                      </m:r>
                    </m:sup>
                  </m:sSup>
                </m:e>
              </m:nary>
            </m:den>
          </m:f>
          <m:r>
            <w:rPr>
              <w:rFonts w:ascii="Cambria Math" w:hAnsi="Cambria Math"/>
              <w:lang w:val="es-ES_tradnl"/>
            </w:rPr>
            <m:t>  </m:t>
          </m:r>
          <m:r>
            <w:rPr>
              <w:rFonts w:ascii="Cambria Math" w:hAnsi="Cambria Math"/>
              <w:lang w:val="es-ES_tradnl"/>
            </w:rPr>
            <m:t xml:space="preserve">               </m:t>
          </m:r>
          <m:r>
            <w:rPr>
              <w:rFonts w:ascii="Cambria Math" w:hAnsi="Cambria Math"/>
              <w:lang w:val="es-ES_tradnl"/>
            </w:rPr>
            <m:t xml:space="preserve">       </m:t>
          </m:r>
          <m:r>
            <m:rPr>
              <m:nor/>
            </m:rPr>
            <w:rPr>
              <w:lang w:val="es-ES_tradnl"/>
            </w:rPr>
            <m:t>(</m:t>
          </m:r>
          <m:r>
            <m:rPr>
              <m:nor/>
            </m:rPr>
            <w:rPr>
              <w:lang w:val="es-ES_tradnl"/>
            </w:rPr>
            <m:t>9</m:t>
          </m:r>
          <m:r>
            <m:rPr>
              <m:nor/>
            </m:rPr>
            <w:rPr>
              <w:lang w:val="es-ES_tradnl"/>
            </w:rPr>
            <m:t>)</m:t>
          </m:r>
        </m:oMath>
      </m:oMathPara>
    </w:p>
    <w:p>
      <w:pPr>
        <w:pStyle w:val="Heading1"/>
        <w:jc w:val="both"/>
        <w:rPr>
          <w14:textFill>
            <w14:solidFill>
              <w14:srgbClr w14:val="000000"/>
            </w14:solidFill>
          </w14:textFill>
        </w:rPr>
      </w:pPr>
      <w:r>
        <w:rPr>
          <w14:textFill>
            <w14:solidFill>
              <w14:srgbClr w14:val="000000"/>
            </w14:solidFill>
          </w14:textFill>
        </w:rPr>
        <w:t xml:space="preserve">donde </w:t>
      </w:r>
      <m:oMath>
        <m:sSub>
          <m:sSubPr>
            <m:ctrlPr>
              <w:rPr>
                <w:rFonts w:ascii="Cambria Math" w:eastAsiaTheme="minorHAnsi" w:hAnsi="Cambria Math" w:cs="Times New Roman (Cuerpo en alfa"/>
                <w:i/>
                <w:szCs w:val="24"/>
              </w:rPr>
            </m:ctrlPr>
          </m:sSubPr>
          <m:e>
            <m:r>
              <w:rPr>
                <w:rFonts w:ascii="Cambria Math" w:hAnsi="Cambria Math"/>
              </w:rPr>
              <m:t>R</m:t>
            </m:r>
          </m:e>
          <m:sub>
            <m:r>
              <w:rPr>
                <w:rFonts w:ascii="Cambria Math" w:hAnsi="Cambria Math"/>
              </w:rPr>
              <m:t>i</m:t>
            </m:r>
          </m:sub>
        </m:sSub>
      </m:oMath>
      <w:r>
        <w:rPr>
          <w14:textFill>
            <w14:solidFill>
              <w14:srgbClr w14:val="000000"/>
            </w14:solidFill>
          </w14:textFill>
        </w:rPr>
        <w:t xml:space="preserve"> es la tasa de transmisión de datos del </w:t>
      </w:r>
      <w:r>
        <w:rPr>
          <w:i/>
          <w:iCs/>
          <w14:textFill>
            <w14:solidFill>
              <w14:srgbClr w14:val="000000"/>
            </w14:solidFill>
          </w14:textFill>
        </w:rPr>
        <w:t xml:space="preserve">i-</w:t>
      </w:r>
      <w:r>
        <w:rPr>
          <w14:textFill>
            <w14:solidFill>
              <w14:srgbClr w14:val="000000"/>
            </w14:solidFill>
          </w14:textFill>
        </w:rPr>
        <w:t xml:space="preserve">ésimo</w:t>
      </w:r>
      <w:r>
        <w:rPr>
          <w:i/>
          <w:iCs/>
          <w14:textFill>
            <w14:solidFill>
              <w14:srgbClr w14:val="000000"/>
            </w14:solidFill>
          </w14:textFill>
        </w:rPr>
        <w:t xml:space="preserve"> </w:t>
      </w:r>
      <w:r>
        <w:rPr>
          <w14:textFill>
            <w14:solidFill>
              <w14:srgbClr w14:val="000000"/>
            </w14:solidFill>
          </w14:textFill>
        </w:rPr>
        <w:t xml:space="preserve">UE y </w:t>
      </w:r>
      <w:r>
        <w:rPr>
          <w:i/>
          <w:iCs/>
          <w14:textFill>
            <w14:solidFill>
              <w14:srgbClr w14:val="000000"/>
            </w14:solidFill>
          </w14:textFill>
        </w:rPr>
        <w:t xml:space="preserve">N</w:t>
      </w:r>
      <w:r>
        <w:rPr>
          <w14:textFill>
            <w14:solidFill>
              <w14:srgbClr w14:val="000000"/>
            </w14:solidFill>
          </w14:textFill>
        </w:rPr>
        <w:t xml:space="preserve"> es el número total de usuarios de la celda.</w:t>
      </w:r>
    </w:p>
    <w:p>
      <w:pPr>
        <w:pStyle w:val="Heading1"/>
        <w:jc w:val="both"/>
        <w:rPr>
          <w14:textFill>
            <w14:solidFill>
              <w14:srgbClr w14:val="000000"/>
            </w14:solidFill>
          </w14:textFill>
        </w:rPr>
      </w:pPr>
      <w:r>
        <w:rPr>
          <w14:textFill>
            <w14:solidFill>
              <w14:srgbClr w14:val="000000"/>
            </w14:solidFill>
          </w14:textFill>
        </w:rPr>
        <w:t xml:space="preserve">El índice de Jain toma valores entre 1/N y 1. Un valor igual a 1 representa una distribución perfectamente equitativa de la tasa de transmisión de datos entre los usuarios, mientras que valores menores indican una distribución progresivamente menos equitativa. Para su cálculo se consideran todos los usuarios de la celda, incluidos aquellos que no reciben recursos durante la simulación y, por tanto, tienen una tasa de transmisión de datos igual a cero.</w:t>
      </w:r>
    </w:p>
    <w:p>
      <w:pPr>
        <w:rPr>
          <w14:textFill>
            <w14:solidFill>
              <w14:srgbClr w14:val="000000"/>
            </w14:solidFill>
          </w14:textFill>
        </w:rPr>
      </w:pPr>
    </w:p>
    <w:p>
      <w:pPr>
        <w:pStyle w:val="Heading1"/>
        <w:rPr>
          <w14:textFill>
            <w14:solidFill>
              <w14:srgbClr w14:val="000000"/>
            </w14:solidFill>
          </w14:textFill>
        </w:rPr>
      </w:pPr>
      <w:r>
        <w:rPr>
          <w14:textFill>
            <w14:solidFill>
              <w14:srgbClr w14:val="000000"/>
            </w14:solidFill>
          </w14:textFill>
        </w:rPr>
        <w:t xml:space="preserve">4. MODELO DEL SISTEMA Y CONFIGURACIÓN DE LA SIMULACIÓN</w:t>
      </w:r>
    </w:p>
    <w:p>
      <w:pPr>
        <w:pStyle w:val="Text"/>
        <w:rPr>
          <w:lang w:val="es-ES_tradnl"/>
          <w14:textFill>
            <w14:solidFill>
              <w14:srgbClr w14:val="000000"/>
            </w14:solidFill>
          </w14:textFill>
        </w:rPr>
      </w:pPr>
      <w:r>
        <w:rPr>
          <w:lang w:val="es-ES_tradnl"/>
          <w14:textFill>
            <w14:solidFill>
              <w14:srgbClr w14:val="000000"/>
            </w14:solidFill>
          </w14:textFill>
        </w:rPr>
        <w:t xml:space="preserve">Para evaluar el desempeño de las estrategias de planificación, se desarrolló un simulador en MATLAB que modela conceptualmente, el proceso de asignación de recursos en el enlace descendente de una celda celular. El simulador contempla cuatro algoritmos de planificación RR, BCQI, BET y PF. Los cuatro utilizan el mismo modelo de red, canal y tráfico; la diferencia radica en el criterio empleado para determinar la prioridad de los UE en la asignación de los RB. En esta sección se describen el modelo del sistema y las condiciones de simulación utilizadas para comparar los algoritmos.</w:t>
      </w:r>
    </w:p>
    <w:p>
      <w:pPr>
        <w:pStyle w:val="Text"/>
        <w:rPr>
          <w:lang w:val="es-ES_tradnl"/>
          <w14:textFill>
            <w14:solidFill>
              <w14:srgbClr w14:val="000000"/>
            </w14:solidFill>
          </w14:textFill>
        </w:rPr>
      </w:pPr>
      <w:r>
        <w:rPr>
          <w:lang w:val="es-ES_tradnl"/>
          <w14:textFill>
            <w14:solidFill>
              <w14:srgbClr w14:val="000000"/>
            </w14:solidFill>
          </w14:textFill>
        </w:rPr>
        <w:t xml:space="preserve">La estructura de recursos del simulador sigue la configuración temporal y de frecuencia de LTE-A. Cada RB está compuesto por 12 subportadoras, con un espaciado de 15 kHz entre ellas. Se considera una duración de ranura de 0.5 ms y una trama de 10 ms, lo que equivale a 20 ranuras [5], [9].</w:t>
      </w:r>
    </w:p>
    <w:p>
      <w:pPr>
        <w:pStyle w:val="Heading2"/>
        <w:rPr>
          <w14:textFill>
            <w14:solidFill>
              <w14:srgbClr w14:val="000000"/>
            </w14:solidFill>
          </w14:textFill>
        </w:rPr>
      </w:pPr>
      <w:r>
        <w:rPr>
          <w14:textFill>
            <w14:solidFill>
              <w14:srgbClr w14:val="000000"/>
            </w14:solidFill>
          </w14:textFill>
        </w:rPr>
        <w:t xml:space="preserve">4.1 Modelo de canal de propagación</w:t>
      </w:r>
    </w:p>
    <w:p>
      <w:pPr>
        <w:pStyle w:val="Text"/>
        <w:rPr>
          <w:lang w:val="es-ES_tradnl"/>
          <w14:textFill>
            <w14:solidFill>
              <w14:srgbClr w14:val="000000"/>
            </w14:solidFill>
          </w14:textFill>
        </w:rPr>
      </w:pPr>
      <w:r>
        <w:rPr>
          <w:lang w:val="es-ES_tradnl"/>
          <w14:textFill>
            <w14:solidFill>
              <w14:srgbClr w14:val="000000"/>
            </w14:solidFill>
          </w14:textFill>
        </w:rPr>
        <w:t xml:space="preserve">Se considera una celda con una estación base (gNB) ubicada en el centro y </w:t>
      </w:r>
      <w:r>
        <w:rPr>
          <w:i/>
          <w:iCs/>
          <w:lang w:val="es-ES_tradnl"/>
          <w14:textFill>
            <w14:solidFill>
              <w14:srgbClr w14:val="000000"/>
            </w14:solidFill>
          </w14:textFill>
        </w:rPr>
        <w:t xml:space="preserve">N</w:t>
      </w:r>
      <w:r>
        <w:rPr>
          <w:lang w:val="es-ES_tradnl"/>
          <w14:textFill>
            <w14:solidFill>
              <w14:srgbClr w14:val="000000"/>
            </w14:solidFill>
          </w14:textFill>
        </w:rPr>
        <w:t xml:space="preserve"> UE distribuidos uniformemente a lo largo de una línea radial, desde una distancia mínima </w:t>
      </w:r>
      <m:oMath>
        <m:sSub>
          <m:sSubPr>
            <m:ctrlPr>
              <w:rPr>
                <w:rFonts w:ascii="Cambria Math" w:hAnsi="Cambria Math"/>
                <w:i/>
                <w:lang w:val="es-ES_tradnl"/>
              </w:rPr>
            </m:ctrlPr>
          </m:sSubPr>
          <m:e>
            <m:r>
              <w:rPr>
                <w:rFonts w:ascii="Cambria Math" w:hAnsi="Cambria Math"/>
                <w:lang w:val="es-ES_tradnl"/>
              </w:rPr>
              <m:t>d</m:t>
            </m:r>
          </m:e>
          <m:sub>
            <m:r>
              <w:rPr>
                <w:rFonts w:ascii="Cambria Math" w:hAnsi="Cambria Math"/>
                <w:lang w:val="es-ES_tradnl"/>
              </w:rPr>
              <m:t>min</m:t>
            </m:r>
          </m:sub>
        </m:sSub>
      </m:oMath>
      <w:r>
        <w:rPr>
          <w:lang w:val="es-ES_tradnl"/>
          <w14:textFill>
            <w14:solidFill>
              <w14:srgbClr w14:val="000000"/>
            </w14:solidFill>
          </w14:textFill>
        </w:rPr>
        <w:t xml:space="preserve"> hasta el borde de la celda, cuyo radio es </w:t>
      </w:r>
      <w:r>
        <w:rPr>
          <w:i/>
          <w:iCs/>
          <w:lang w:val="es-ES_tradnl"/>
          <w14:textFill>
            <w14:solidFill>
              <w14:srgbClr w14:val="000000"/>
            </w14:solidFill>
          </w14:textFill>
        </w:rPr>
        <w:t xml:space="preserve">r</w:t>
      </w:r>
      <w:r>
        <w:rPr>
          <w:lang w:val="es-ES_tradnl"/>
          <w14:textFill>
            <w14:solidFill>
              <w14:srgbClr w14:val="000000"/>
            </w14:solidFill>
          </w14:textFill>
        </w:rPr>
        <w:t xml:space="preserve">. La distancia de cada usuario a la estación base se determina mediante (10) de la siguiente manera;</w:t>
      </w:r>
    </w:p>
    <w:p>
      <w:pPr>
        <w:pStyle w:val="Text"/>
        <w:rPr>
          <w:lang w:val="es-ES_tradnl"/>
          <w14:textFill>
            <w14:solidFill>
              <w14:srgbClr w14:val="000000"/>
            </w14:solidFill>
          </w14:textFill>
        </w:rPr>
      </w:pPr>
      <m:oMathPara>
        <m:oMath>
          <m:sSub>
            <m:sSubPr>
              <m:ctrlPr>
                <w:rPr>
                  <w:rFonts w:ascii="Cambria Math" w:hAnsi="Cambria Math"/>
                  <w:lang w:val="es-ES_tradnl"/>
                </w:rPr>
              </m:ctrlPr>
            </m:sSubPr>
            <m:e>
              <m:r>
                <w:rPr>
                  <w:rFonts w:ascii="Cambria Math" w:hAnsi="Cambria Math"/>
                  <w:lang w:val="es-ES_tradnl"/>
                </w:rPr>
                <m:t>d</m:t>
              </m:r>
            </m:e>
            <m:sub>
              <m:r>
                <w:rPr>
                  <w:rFonts w:ascii="Cambria Math" w:hAnsi="Cambria Math"/>
                  <w:lang w:val="es-ES_tradnl"/>
                </w:rPr>
                <m:t>i</m:t>
              </m:r>
            </m:sub>
          </m:sSub>
          <m:r>
            <m:rPr>
              <m:sty m:val="p"/>
            </m:rPr>
            <w:rPr>
              <w:rFonts w:ascii="Cambria Math" w:hAnsi="Cambria Math"/>
              <w:lang w:val="es-ES_tradnl"/>
            </w:rPr>
            <m:t>=</m:t>
          </m:r>
          <m:sSub>
            <m:sSubPr>
              <m:ctrlPr>
                <w:rPr>
                  <w:rFonts w:ascii="Cambria Math" w:hAnsi="Cambria Math"/>
                  <w:lang w:val="es-ES_tradnl"/>
                </w:rPr>
              </m:ctrlPr>
            </m:sSubPr>
            <m:e>
              <m:r>
                <w:rPr>
                  <w:rFonts w:ascii="Cambria Math" w:hAnsi="Cambria Math"/>
                  <w:lang w:val="es-ES_tradnl"/>
                </w:rPr>
                <m:t>d</m:t>
              </m:r>
            </m:e>
            <m:sub>
              <m:r>
                <w:rPr>
                  <w:rFonts w:ascii="Cambria Math" w:hAnsi="Cambria Math"/>
                  <w:lang w:val="es-ES_tradnl"/>
                </w:rPr>
                <m:t>min</m:t>
              </m:r>
            </m:sub>
          </m:sSub>
          <m:r>
            <w:rPr>
              <w:rFonts w:ascii="Cambria Math" w:hAnsi="Cambria Math"/>
              <w:lang w:val="es-ES_tradnl"/>
            </w:rPr>
            <m:t>+(</m:t>
          </m:r>
          <m:r>
            <w:rPr>
              <w:rFonts w:ascii="Cambria Math" w:hAnsi="Cambria Math"/>
              <w:lang w:val="es-ES_tradnl"/>
            </w:rPr>
            <m:t>r</m:t>
          </m:r>
          <m:r>
            <w:rPr>
              <w:rFonts w:ascii="Cambria Math" w:hAnsi="Cambria Math"/>
              <w:lang w:val="es-ES_tradnl"/>
            </w:rPr>
            <m:t>-</m:t>
          </m:r>
          <m:sSub>
            <m:sSubPr>
              <m:ctrlPr>
                <w:rPr>
                  <w:rFonts w:ascii="Cambria Math" w:hAnsi="Cambria Math"/>
                  <w:i/>
                  <w:iCs/>
                  <w:lang w:val="es-ES_tradnl"/>
                </w:rPr>
              </m:ctrlPr>
            </m:sSubPr>
            <m:e>
              <m:r>
                <w:rPr>
                  <w:rFonts w:ascii="Cambria Math" w:hAnsi="Cambria Math"/>
                  <w:lang w:val="es-ES_tradnl"/>
                </w:rPr>
                <m:t>d</m:t>
              </m:r>
            </m:e>
            <m:sub>
              <m:r>
                <w:rPr>
                  <w:rFonts w:ascii="Cambria Math" w:hAnsi="Cambria Math"/>
                  <w:lang w:val="es-ES_tradnl"/>
                </w:rPr>
                <m:t>min</m:t>
              </m:r>
            </m:sub>
          </m:sSub>
          <m:r>
            <m:rPr>
              <m:sty m:val="p"/>
            </m:rPr>
            <w:rPr>
              <w:rFonts w:ascii="Cambria Math" w:hAnsi="Cambria Math"/>
              <w:lang w:val="es-ES_tradnl"/>
            </w:rPr>
            <m:t>)</m:t>
          </m:r>
          <m:r>
            <m:rPr>
              <m:sty m:val="p"/>
            </m:rPr>
            <w:rPr>
              <w:rFonts w:ascii="Cambria Math" w:hAnsi="Cambria Math"/>
              <w:lang w:val="es-ES_tradnl"/>
            </w:rPr>
            <m:t> </m:t>
          </m:r>
          <m:f>
            <m:fPr>
              <m:ctrlPr>
                <w:rPr>
                  <w:rFonts w:ascii="Cambria Math" w:hAnsi="Cambria Math"/>
                  <w:lang w:val="es-ES_tradnl"/>
                </w:rPr>
              </m:ctrlPr>
            </m:fPr>
            <m:num>
              <m:r>
                <w:rPr>
                  <w:rFonts w:ascii="Cambria Math" w:hAnsi="Cambria Math"/>
                  <w:lang w:val="es-ES_tradnl"/>
                </w:rPr>
                <m:t>i</m:t>
              </m:r>
              <m:r>
                <m:rPr>
                  <m:sty m:val="p"/>
                </m:rPr>
                <w:rPr>
                  <w:rFonts w:ascii="Cambria Math" w:hAnsi="Cambria Math"/>
                  <w:lang w:val="es-ES_tradnl"/>
                </w:rPr>
                <m:t>-1</m:t>
              </m:r>
            </m:num>
            <m:den>
              <m:r>
                <w:rPr>
                  <w:rFonts w:ascii="Cambria Math" w:hAnsi="Cambria Math"/>
                  <w:lang w:val="es-ES_tradnl"/>
                </w:rPr>
                <m:t>N</m:t>
              </m:r>
              <m:r>
                <m:rPr>
                  <m:sty m:val="p"/>
                </m:rPr>
                <w:rPr>
                  <w:rFonts w:ascii="Cambria Math" w:hAnsi="Cambria Math"/>
                  <w:lang w:val="es-ES_tradnl"/>
                </w:rPr>
                <m:t>-1</m:t>
              </m:r>
            </m:den>
          </m:f>
          <m:r>
            <m:rPr>
              <m:sty m:val="p"/>
            </m:rPr>
            <w:rPr>
              <w:rFonts w:ascii="Cambria Math" w:hAnsi="Cambria Math"/>
              <w:lang w:val="es-ES_tradnl"/>
            </w:rPr>
            <m:t>,  </m:t>
          </m:r>
          <m:r>
            <w:rPr>
              <w:rFonts w:ascii="Cambria Math" w:hAnsi="Cambria Math"/>
              <w:lang w:val="es-ES_tradnl"/>
            </w:rPr>
            <m:t>i</m:t>
          </m:r>
          <m:r>
            <m:rPr>
              <m:sty m:val="p"/>
            </m:rPr>
            <w:rPr>
              <w:rFonts w:ascii="Cambria Math" w:hAnsi="Cambria Math"/>
              <w:lang w:val="es-ES_tradnl"/>
            </w:rPr>
            <m:t>=1,…,</m:t>
          </m:r>
          <m:r>
            <w:rPr>
              <w:rFonts w:ascii="Cambria Math" w:hAnsi="Cambria Math"/>
              <w:lang w:val="es-ES_tradnl"/>
            </w:rPr>
            <m:t>N</m:t>
          </m:r>
          <m:r>
            <m:rPr>
              <m:sty m:val="p"/>
            </m:rPr>
            <w:rPr>
              <w:rFonts w:ascii="Cambria Math" w:hAnsi="Cambria Math"/>
              <w:lang w:val="es-ES_tradnl"/>
            </w:rPr>
            <m:t>,  </m:t>
          </m:r>
          <m:r>
            <m:rPr>
              <m:nor/>
            </m:rPr>
            <w:rPr>
              <w:lang w:val="es-ES_tradnl"/>
            </w:rPr>
            <m:t>(1</m:t>
          </m:r>
          <m:r>
            <m:rPr>
              <m:nor/>
            </m:rPr>
            <w:rPr>
              <w:rFonts w:ascii="Cambria Math"/>
              <w:lang w:val="es-ES_tradnl"/>
            </w:rPr>
            <m:t>0</m:t>
          </m:r>
          <m:r>
            <m:rPr>
              <m:nor/>
            </m:rPr>
            <w:rPr>
              <w:lang w:val="es-ES_tradnl"/>
            </w:rPr>
            <m:t>)</m:t>
          </m:r>
        </m:oMath>
      </m:oMathPara>
    </w:p>
    <w:p>
      <w:pPr>
        <w:pStyle w:val="Text"/>
        <w:rPr>
          <w:lang w:val="es-ES_tradnl"/>
          <w14:textFill>
            <w14:solidFill>
              <w14:srgbClr w14:val="000000"/>
            </w14:solidFill>
          </w14:textFill>
        </w:rPr>
      </w:pPr>
      <w:r>
        <w:rPr>
          <w:lang w:val="es-ES_tradnl"/>
          <w14:textFill>
            <w14:solidFill>
              <w14:srgbClr w14:val="000000"/>
            </w14:solidFill>
          </w14:textFill>
        </w:rPr>
        <w:t xml:space="preserve">La potencia recibida por el </w:t>
      </w:r>
      <w:r>
        <w:rPr>
          <w:i/>
          <w:iCs/>
          <w:lang w:val="es-ES_tradnl"/>
          <w14:textFill>
            <w14:solidFill>
              <w14:srgbClr w14:val="000000"/>
            </w14:solidFill>
          </w14:textFill>
        </w:rPr>
        <w:t xml:space="preserve">i-ésimo </w:t>
      </w:r>
      <w:r>
        <w:rPr>
          <w:lang w:val="es-ES_tradnl"/>
          <w14:textFill>
            <w14:solidFill>
              <w14:srgbClr w14:val="000000"/>
            </w14:solidFill>
          </w14:textFill>
        </w:rPr>
        <w:t xml:space="preserve">UE se calcula como;</w:t>
      </w:r>
    </w:p>
    <w:p>
      <w:pPr>
        <w:pStyle w:val="Text"/>
        <w:rPr>
          <w:lang w:val="es-ES_tradnl"/>
          <w14:textFill>
            <w14:solidFill>
              <w14:srgbClr w14:val="000000"/>
            </w14:solidFill>
          </w14:textFill>
        </w:rPr>
      </w:pPr>
      <m:oMathPara>
        <m:oMath>
          <m:sSub>
            <m:sSubPr>
              <m:ctrlPr>
                <w:rPr>
                  <w:rFonts w:ascii="Cambria Math" w:hAnsi="Cambria Math"/>
                  <w:i/>
                </w:rPr>
              </m:ctrlPr>
            </m:sSubPr>
            <m:e>
              <m:r>
                <w:rPr>
                  <w:rFonts w:ascii="Cambria Math" w:hAnsi="Cambria Math"/>
                </w:rPr>
                <m:t xml:space="preserve">P</m:t>
              </m:r>
            </m:e>
            <m:sub>
              <m:r>
                <w:rPr>
                  <w:rFonts w:ascii="Cambria Math" w:hAnsi="Cambria Math"/>
                </w:rPr>
                <m:t xml:space="preserve">rx,i</m:t>
              </m:r>
            </m:sub>
          </m:sSub>
          <m:r>
            <w:rPr>
              <w:rFonts w:ascii="Cambria Math" w:hAnsi="Cambria Math"/>
            </w:rPr>
            <m:t xml:space="preserve">=</m:t>
          </m:r>
          <m:sSub>
            <m:sSubPr>
              <m:ctrlPr>
                <w:rPr>
                  <w:rFonts w:ascii="Cambria Math" w:hAnsi="Cambria Math"/>
                  <w:i/>
                </w:rPr>
              </m:ctrlPr>
            </m:sSubPr>
            <m:e>
              <m:r>
                <w:rPr>
                  <w:rFonts w:ascii="Cambria Math" w:hAnsi="Cambria Math"/>
                </w:rPr>
                <m:t xml:space="preserve">P</m:t>
              </m:r>
            </m:e>
            <m:sub>
              <m:r>
                <w:rPr>
                  <w:rFonts w:ascii="Cambria Math" w:hAnsi="Cambria Math"/>
                </w:rPr>
                <m:t xml:space="preserve">tx</m:t>
              </m:r>
            </m:sub>
          </m:sSub>
          <m:r>
            <w:rPr>
              <w:rFonts w:ascii="Cambria Math" w:hAnsi="Cambria Math"/>
            </w:rPr>
            <m:t xml:space="preserve">-PL</m:t>
          </m:r>
          <m:d>
            <m:dPr>
              <m:ctrlPr>
                <w:rPr>
                  <w:rFonts w:ascii="Cambria Math" w:hAnsi="Cambria Math"/>
                  <w:i/>
                </w:rPr>
              </m:ctrlPr>
            </m:dPr>
            <m:e>
              <m:sSub>
                <m:sSubPr>
                  <m:ctrlPr>
                    <w:rPr>
                      <w:rFonts w:ascii="Cambria Math" w:hAnsi="Cambria Math"/>
                      <w:i/>
                    </w:rPr>
                  </m:ctrlPr>
                </m:sSubPr>
                <m:e>
                  <m:r>
                    <w:rPr>
                      <w:rFonts w:ascii="Cambria Math" w:hAnsi="Cambria Math"/>
                    </w:rPr>
                    <m:t xml:space="preserve">d</m:t>
                  </m:r>
                </m:e>
                <m:sub>
                  <m:r>
                    <w:rPr>
                      <w:rFonts w:ascii="Cambria Math" w:hAnsi="Cambria Math"/>
                    </w:rPr>
                    <m:t xml:space="preserve">i</m:t>
                  </m:r>
                </m:sub>
              </m:sSub>
              <m:r>
                <w:rPr>
                  <w:rFonts w:ascii="Cambria Math" w:hAnsi="Cambria Math"/>
                </w:rPr>
                <m:t xml:space="preserve">,</m:t>
              </m:r>
              <m:sSub>
                <m:sSubPr>
                  <m:ctrlPr>
                    <w:rPr>
                      <w:rFonts w:ascii="Cambria Math" w:hAnsi="Cambria Math"/>
                      <w:i/>
                    </w:rPr>
                  </m:ctrlPr>
                </m:sSubPr>
                <m:e>
                  <m:r>
                    <w:rPr>
                      <w:rFonts w:ascii="Cambria Math" w:hAnsi="Cambria Math"/>
                    </w:rPr>
                    <m:t xml:space="preserve">f</m:t>
                  </m:r>
                </m:e>
                <m:sub>
                  <m:r>
                    <w:rPr>
                      <w:rFonts w:ascii="Cambria Math" w:hAnsi="Cambria Math"/>
                    </w:rPr>
                    <m:t xml:space="preserve">c</m:t>
                  </m:r>
                </m:sub>
              </m:sSub>
            </m:e>
          </m:d>
          <m:r>
            <w:rPr>
              <w:rFonts w:ascii="Cambria Math" w:hAnsi="Cambria Math"/>
            </w:rPr>
            <m:t xml:space="preserve">                          (11)</m:t>
          </m:r>
        </m:oMath>
      </m:oMathPara>
    </w:p>
    <w:p>
      <w:pPr>
        <w:pStyle w:val="Text"/>
        <w:rPr>
          <w:lang w:val="es-ES_tradnl"/>
          <w14:textFill>
            <w14:solidFill>
              <w14:srgbClr w14:val="000000"/>
            </w14:solidFill>
          </w14:textFill>
        </w:rPr>
      </w:pPr>
      <w:r>
        <w:rPr>
          <w:lang w:val="es-ES_tradnl"/>
          <w14:textFill>
            <w14:solidFill>
              <w14:srgbClr w14:val="000000"/>
            </w14:solidFill>
          </w14:textFill>
        </w:rPr>
        <w:t xml:space="preserve">donde </w:t>
      </w:r>
      <m:oMath>
        <m:sSub>
          <m:sSubPr>
            <m:ctrlPr>
              <w:rPr>
                <w:rFonts w:ascii="Cambria Math" w:hAnsi="Cambria Math"/>
                <w:i/>
                <w:lang w:val="es-ES_tradnl"/>
              </w:rPr>
            </m:ctrlPr>
          </m:sSubPr>
          <m:e>
            <m:r>
              <w:rPr>
                <w:rFonts w:ascii="Cambria Math" w:hAnsi="Cambria Math"/>
                <w:lang w:val="es-ES_tradnl"/>
              </w:rPr>
              <m:t>P</m:t>
            </m:r>
          </m:e>
          <m:sub>
            <m:r>
              <w:rPr>
                <w:rFonts w:ascii="Cambria Math" w:hAnsi="Cambria Math"/>
                <w:lang w:val="es-ES_tradnl"/>
              </w:rPr>
              <m:t>tx,i</m:t>
            </m:r>
          </m:sub>
        </m:sSub>
      </m:oMath>
      <w:r>
        <w:rPr>
          <w:lang w:val="es-ES_tradnl"/>
          <w14:textFill>
            <w14:solidFill>
              <w14:srgbClr w14:val="000000"/>
            </w14:solidFill>
          </w14:textFill>
        </w:rPr>
        <w:t xml:space="preserve"> es la potencia recibida por el </w:t>
      </w:r>
      <w:r>
        <w:rPr>
          <w:i/>
          <w:iCs/>
          <w:lang w:val="es-ES_tradnl"/>
          <w14:textFill>
            <w14:solidFill>
              <w14:srgbClr w14:val="000000"/>
            </w14:solidFill>
          </w14:textFill>
        </w:rPr>
        <w:t xml:space="preserve">i-ésimo </w:t>
      </w:r>
      <w:r>
        <w:rPr>
          <w:lang w:val="es-ES_tradnl"/>
          <w14:textFill>
            <w14:solidFill>
              <w14:srgbClr w14:val="000000"/>
            </w14:solidFill>
          </w14:textFill>
        </w:rPr>
        <w:t xml:space="preserve">UE, expresada en dBm, </w:t>
      </w:r>
      <m:oMath>
        <m:sSub>
          <m:sSubPr>
            <m:ctrlPr>
              <w:rPr>
                <w:rFonts w:ascii="Cambria Math" w:hAnsi="Cambria Math"/>
                <w:i/>
                <w:lang w:val="es-ES_tradnl"/>
              </w:rPr>
            </m:ctrlPr>
          </m:sSubPr>
          <m:e>
            <m:r>
              <w:rPr>
                <w:rFonts w:ascii="Cambria Math" w:hAnsi="Cambria Math"/>
                <w:lang w:val="es-ES_tradnl"/>
              </w:rPr>
              <m:t>P</m:t>
            </m:r>
          </m:e>
          <m:sub>
            <m:r>
              <w:rPr>
                <w:rFonts w:ascii="Cambria Math" w:hAnsi="Cambria Math"/>
                <w:lang w:val="es-ES_tradnl"/>
              </w:rPr>
              <m:t>tx</m:t>
            </m:r>
          </m:sub>
        </m:sSub>
      </m:oMath>
      <w:r>
        <w:rPr>
          <w:lang w:val="es-ES_tradnl"/>
          <w14:textFill>
            <w14:solidFill>
              <w14:srgbClr w14:val="000000"/>
            </w14:solidFill>
          </w14:textFill>
        </w:rPr>
        <w:t xml:space="preserve"> es la potencia de transmisión de la gNB, también en dBm; y </w:t>
      </w:r>
      <m:oMath>
        <m:r>
          <w:rPr>
            <w:rFonts w:ascii="Cambria Math" w:hAnsi="Cambria Math"/>
            <w:lang w:val="es-ES_tradnl"/>
          </w:rPr>
          <m:t>PL(</m:t>
        </m:r>
        <m:sSub>
          <m:sSubPr>
            <m:ctrlPr>
              <w:rPr>
                <w:rFonts w:ascii="Cambria Math" w:hAnsi="Cambria Math"/>
                <w:i/>
                <w:lang w:val="es-ES_tradnl"/>
              </w:rPr>
            </m:ctrlPr>
          </m:sSubPr>
          <m:e>
            <m:r>
              <w:rPr>
                <w:rFonts w:ascii="Cambria Math" w:hAnsi="Cambria Math"/>
                <w:lang w:val="es-ES_tradnl"/>
              </w:rPr>
              <m:t>d</m:t>
            </m:r>
          </m:e>
          <m:sub>
            <m:r>
              <w:rPr>
                <w:rFonts w:ascii="Cambria Math" w:hAnsi="Cambria Math"/>
                <w:lang w:val="es-ES_tradnl"/>
              </w:rPr>
              <m:t>i</m:t>
            </m:r>
          </m:sub>
        </m:sSub>
        <m:r>
          <w:rPr>
            <w:rFonts w:ascii="Cambria Math" w:hAnsi="Cambria Math"/>
            <w:lang w:val="es-ES_tradnl"/>
          </w:rPr>
          <m:t>,</m:t>
        </m:r>
        <m:sSub>
          <m:sSubPr>
            <m:ctrlPr>
              <w:rPr>
                <w:rFonts w:ascii="Cambria Math" w:hAnsi="Cambria Math"/>
                <w:i/>
                <w:lang w:val="es-ES_tradnl"/>
              </w:rPr>
            </m:ctrlPr>
          </m:sSubPr>
          <m:e>
            <m:r>
              <w:rPr>
                <w:rFonts w:ascii="Cambria Math" w:hAnsi="Cambria Math"/>
                <w:lang w:val="es-ES_tradnl"/>
              </w:rPr>
              <m:t>f</m:t>
            </m:r>
          </m:e>
          <m:sub>
            <m:r>
              <w:rPr>
                <w:rFonts w:ascii="Cambria Math" w:hAnsi="Cambria Math"/>
                <w:lang w:val="es-ES_tradnl"/>
              </w:rPr>
              <m:t>c</m:t>
            </m:r>
          </m:sub>
        </m:sSub>
        <m:r>
          <w:rPr>
            <w:rFonts w:ascii="Cambria Math" w:hAnsi="Cambria Math"/>
            <w:lang w:val="es-ES_tradnl"/>
          </w:rPr>
          <m:t>)</m:t>
        </m:r>
      </m:oMath>
      <w:r>
        <w:rPr>
          <w:lang w:val="es-ES_tradnl"/>
          <w14:textFill>
            <w14:solidFill>
              <w14:srgbClr w14:val="000000"/>
            </w14:solidFill>
          </w14:textFill>
        </w:rPr>
        <w:t xml:space="preserve"> representa las pérdidas por propagación, expresadas en dB, calculadas en función de la distancia </w:t>
      </w:r>
      <m:oMath>
        <m:sSub>
          <m:sSubPr>
            <m:ctrlPr>
              <w:rPr>
                <w:rFonts w:ascii="Cambria Math" w:hAnsi="Cambria Math"/>
                <w:lang w:val="es-ES_tradnl"/>
              </w:rPr>
            </m:ctrlPr>
          </m:sSubPr>
          <m:e>
            <m:r>
              <w:rPr>
                <w:rFonts w:ascii="Cambria Math" w:hAnsi="Cambria Math"/>
                <w:lang w:val="es-ES_tradnl"/>
              </w:rPr>
              <m:t>d</m:t>
            </m:r>
          </m:e>
          <m:sub>
            <m:r>
              <w:rPr>
                <w:rFonts w:ascii="Cambria Math" w:hAnsi="Cambria Math"/>
                <w:lang w:val="es-ES_tradnl"/>
              </w:rPr>
              <m:t>i</m:t>
            </m:r>
          </m:sub>
        </m:sSub>
      </m:oMath>
      <w:r>
        <w:rPr>
          <w:lang w:val="es-ES_tradnl"/>
          <w14:textFill>
            <w14:solidFill>
              <w14:srgbClr w14:val="000000"/>
            </w14:solidFill>
          </w14:textFill>
        </w:rPr>
        <w:t xml:space="preserve"> y la frecuencia </w:t>
      </w:r>
      <m:oMath>
        <m:sSub>
          <m:sSubPr>
            <m:ctrlPr>
              <w:rPr>
                <w:rFonts w:ascii="Cambria Math" w:hAnsi="Cambria Math"/>
                <w:lang w:val="es-ES_tradnl"/>
              </w:rPr>
            </m:ctrlPr>
          </m:sSubPr>
          <m:e>
            <m:r>
              <w:rPr>
                <w:rFonts w:ascii="Cambria Math" w:hAnsi="Cambria Math"/>
                <w:lang w:val="es-ES_tradnl"/>
              </w:rPr>
              <m:t>f</m:t>
            </m:r>
          </m:e>
          <m:sub>
            <m:r>
              <w:rPr>
                <w:rFonts w:ascii="Cambria Math" w:hAnsi="Cambria Math"/>
                <w:lang w:val="es-ES_tradnl"/>
              </w:rPr>
              <m:t>c</m:t>
            </m:r>
          </m:sub>
        </m:sSub>
      </m:oMath>
      <w:r>
        <w:rPr>
          <w:lang w:val="es-ES_tradnl"/>
          <w14:textFill>
            <w14:solidFill>
              <w14:srgbClr w14:val="000000"/>
            </w14:solidFill>
          </w14:textFill>
        </w:rPr>
        <w:t xml:space="preserve"> de la portadora entre la estación base y el UE, correspondientes al modelo Urban Macro sin línea de vista (UMa NLOS), basado en la especificación 3GPP TR 38.901 [10].</w:t>
      </w:r>
    </w:p>
    <w:p>
      <w:pPr>
        <w:pStyle w:val="Text"/>
        <w:rPr>
          <w:lang w:val="es-ES_tradnl"/>
          <w14:textFill>
            <w14:solidFill>
              <w14:srgbClr w14:val="000000"/>
            </w14:solidFill>
          </w14:textFill>
        </w:rPr>
      </w:pPr>
      <w:r>
        <w:rPr>
          <w:lang w:val="es-ES_tradnl"/>
          <w14:textFill>
            <w14:solidFill>
              <w14:srgbClr w14:val="000000"/>
            </w14:solidFill>
          </w14:textFill>
        </w:rPr>
        <w:t xml:space="preserve">La relación señal a ruido más interferencia (SIR),</w:t>
      </w:r>
      <w:r>
        <w:rPr>
          <w:rFonts w:ascii="Cambria Math" w:hAnsi="Cambria Math"/>
          <w:i/>
          <w:lang w:val="es-ES_tradnl"/>
          <w14:textFill>
            <w14:solidFill>
              <w14:srgbClr w14:val="000000"/>
            </w14:solidFill>
          </w14:textFill>
        </w:rPr>
        <w:t xml:space="preserve"> </w:t>
      </w:r>
      <m:oMath>
        <m:sSub>
          <m:sSubPr>
            <m:ctrlPr>
              <w:rPr>
                <w:rFonts w:ascii="Cambria Math" w:hAnsi="Cambria Math"/>
                <w:i/>
                <w:lang w:val="es-ES_tradnl"/>
              </w:rPr>
            </m:ctrlPr>
          </m:sSubPr>
          <m:e>
            <m:r>
              <w:rPr>
                <w:rFonts w:ascii="Cambria Math" w:hAnsi="Cambria Math"/>
                <w:lang w:val="es-ES_tradnl"/>
              </w:rPr>
              <m:t>γ</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oMath>
      <w:r>
        <w:rPr>
          <w:rFonts w:ascii="Cambria Math" w:hAnsi="Cambria Math"/>
          <w:i/>
          <w:lang w:val="es-ES_tradnl"/>
          <w14:textFill>
            <w14:solidFill>
              <w14:srgbClr w14:val="000000"/>
            </w14:solidFill>
          </w14:textFill>
        </w:rPr>
        <w:t xml:space="preserve">,</w:t>
      </w:r>
      <w:r>
        <w:rPr>
          <w:lang w:val="es-ES_tradnl"/>
          <w14:textFill>
            <w14:solidFill>
              <w14:srgbClr w14:val="000000"/>
            </w14:solidFill>
          </w14:textFill>
        </w:rPr>
        <w:t xml:space="preserve"> del </w:t>
      </w:r>
      <w:r>
        <w:rPr>
          <w:i/>
          <w:iCs/>
          <w:lang w:val="es-ES_tradnl"/>
          <w14:textFill>
            <w14:solidFill>
              <w14:srgbClr w14:val="000000"/>
            </w14:solidFill>
          </w14:textFill>
        </w:rPr>
        <w:t xml:space="preserve">i-ésimo </w:t>
      </w:r>
      <w:r>
        <w:rPr>
          <w:lang w:val="es-ES_tradnl"/>
          <w14:textFill>
            <w14:solidFill>
              <w14:srgbClr w14:val="000000"/>
            </w14:solidFill>
          </w14:textFill>
        </w:rPr>
        <w:t xml:space="preserve">UE en el </w:t>
      </w:r>
      <w:r>
        <w:rPr>
          <w:i/>
          <w:iCs/>
          <w:lang w:val="es-ES_tradnl"/>
          <w14:textFill>
            <w14:solidFill>
              <w14:srgbClr w14:val="000000"/>
            </w14:solidFill>
          </w14:textFill>
        </w:rPr>
        <w:t xml:space="preserve">k-ésimo </w:t>
      </w:r>
      <w:r>
        <w:rPr>
          <w:lang w:val="es-ES_tradnl"/>
          <w14:textFill>
            <w14:solidFill>
              <w14:srgbClr w14:val="000000"/>
            </w14:solidFill>
          </w14:textFill>
        </w:rPr>
        <w:t xml:space="preserve">RB se calcula, en dB, mediante (12);</w:t>
      </w:r>
    </w:p>
    <w:p>
      <w:pPr>
        <w:pStyle w:val="Text"/>
        <w:rPr>
          <w:lang w:val="es-ES_tradnl"/>
          <w14:textFill>
            <w14:solidFill>
              <w14:srgbClr w14:val="000000"/>
            </w14:solidFill>
          </w14:textFill>
        </w:rPr>
      </w:pPr>
      <m:oMathPara>
        <m:oMath>
          <m:sSub>
            <m:sSubPr>
              <m:ctrlPr>
                <w:rPr>
                  <w:rFonts w:ascii="Cambria Math" w:hAnsi="Cambria Math"/>
                  <w:i/>
                  <w:lang w:val="es-ES_tradnl"/>
                </w:rPr>
              </m:ctrlPr>
            </m:sSubPr>
            <m:e>
              <m:r>
                <w:rPr>
                  <w:rFonts w:ascii="Cambria Math" w:hAnsi="Cambria Math"/>
                  <w:lang w:val="es-ES_tradnl"/>
                </w:rPr>
                <m:t>γ</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r>
            <m:rPr>
              <m:sty m:val="p"/>
            </m:rPr>
            <w:rPr>
              <w:rFonts w:ascii="Cambria Math" w:hAnsi="Cambria Math"/>
              <w:lang w:val="es-ES_tradnl"/>
            </w:rPr>
            <m:t>=</m:t>
          </m:r>
          <m:sSub>
            <m:sSubPr>
              <m:ctrlPr>
                <w:rPr>
                  <w:rFonts w:ascii="Cambria Math" w:hAnsi="Cambria Math"/>
                  <w:i/>
                  <w:lang w:val="es-ES_tradnl"/>
                </w:rPr>
              </m:ctrlPr>
            </m:sSubPr>
            <m:e>
              <m:r>
                <w:rPr>
                  <w:rFonts w:ascii="Cambria Math" w:hAnsi="Cambria Math"/>
                  <w:lang w:val="es-ES_tradnl"/>
                </w:rPr>
                <m:t>P</m:t>
              </m:r>
            </m:e>
            <m:sub>
              <m:r>
                <w:rPr>
                  <w:rFonts w:ascii="Cambria Math" w:hAnsi="Cambria Math"/>
                  <w:lang w:val="es-ES_tradnl"/>
                </w:rPr>
                <m:t>rx</m:t>
              </m:r>
              <m:r>
                <m:rPr>
                  <m:sty m:val="p"/>
                </m:rPr>
                <w:rPr>
                  <w:rFonts w:ascii="Cambria Math" w:hAnsi="Cambria Math"/>
                  <w:lang w:val="es-ES_tradnl"/>
                </w:rPr>
                <m:t>,</m:t>
              </m:r>
              <m:r>
                <w:rPr>
                  <w:rFonts w:ascii="Cambria Math" w:hAnsi="Cambria Math"/>
                  <w:lang w:val="es-ES_tradnl"/>
                </w:rPr>
                <m:t>i</m:t>
              </m:r>
            </m:sub>
          </m:sSub>
          <m:r>
            <m:rPr>
              <m:sty m:val="p"/>
            </m:rPr>
            <w:rPr>
              <w:rFonts w:ascii="Cambria Math" w:hAnsi="Cambria Math"/>
              <w:lang w:val="es-ES_tradnl"/>
            </w:rPr>
            <m:t>-</m:t>
          </m:r>
          <m:d>
            <m:dPr>
              <m:ctrlPr>
                <w:rPr>
                  <w:rFonts w:ascii="Cambria Math" w:hAnsi="Cambria Math"/>
                  <w:i/>
                  <w:lang w:val="es-ES_tradnl"/>
                </w:rPr>
              </m:ctrlPr>
            </m:dPr>
            <m:e>
              <m:r>
                <m:rPr>
                  <m:sty m:val="p"/>
                </m:rPr>
                <w:rPr>
                  <w:rFonts w:ascii="Cambria Math" w:hAnsi="Cambria Math"/>
                  <w:lang w:val="es-ES_tradnl"/>
                </w:rPr>
                <m:t>-</m:t>
              </m:r>
              <m:r>
                <w:rPr>
                  <w:rFonts w:ascii="Cambria Math" w:hAnsi="Cambria Math"/>
                  <w:lang w:val="es-ES_tradnl"/>
                </w:rPr>
                <m:t>174</m:t>
              </m:r>
              <m:r>
                <m:rPr>
                  <m:sty m:val="p"/>
                </m:rPr>
                <w:rPr>
                  <w:rFonts w:ascii="Cambria Math" w:hAnsi="Cambria Math"/>
                  <w:lang w:val="es-ES_tradnl"/>
                </w:rPr>
                <m:t>+</m:t>
              </m:r>
              <m:r>
                <w:rPr>
                  <w:rFonts w:ascii="Cambria Math" w:hAnsi="Cambria Math"/>
                  <w:lang w:val="es-ES_tradnl"/>
                </w:rPr>
                <m:t>10</m:t>
              </m:r>
              <m:sSub>
                <m:sSubPr>
                  <m:ctrlPr>
                    <w:rPr>
                      <w:rFonts w:ascii="Cambria Math" w:hAnsi="Cambria Math"/>
                      <w:i/>
                      <w:lang w:val="es-ES_tradnl"/>
                    </w:rPr>
                  </m:ctrlPr>
                </m:sSubPr>
                <m:e>
                  <m:r>
                    <m:rPr>
                      <m:sty m:val="p"/>
                    </m:rPr>
                    <w:rPr>
                      <w:rFonts w:ascii="Cambria Math" w:hAnsi="Cambria Math"/>
                      <w:lang w:val="es-ES_tradnl"/>
                    </w:rPr>
                    <m:t>log</m:t>
                  </m:r>
                </m:e>
                <m:sub>
                  <m:r>
                    <w:rPr>
                      <w:rFonts w:ascii="Cambria Math" w:hAnsi="Cambria Math"/>
                      <w:lang w:val="es-ES_tradnl"/>
                    </w:rPr>
                    <m:t>10</m:t>
                  </m:r>
                </m:sub>
              </m:sSub>
              <m:r>
                <w:rPr>
                  <w:rFonts w:ascii="Cambria Math" w:hAnsi="Cambria Math"/>
                  <w:lang w:val="es-ES_tradnl"/>
                </w:rPr>
                <m:t>B</m:t>
              </m:r>
            </m:e>
          </m:d>
          <m:r>
            <m:rPr>
              <m:sty m:val="p"/>
            </m:rPr>
            <w:rPr>
              <w:rFonts w:ascii="Cambria Math" w:hAnsi="Cambria Math"/>
              <w:lang w:val="es-ES_tradnl"/>
            </w:rPr>
            <m:t>-</m:t>
          </m:r>
          <m:sSub>
            <m:sSubPr>
              <m:ctrlPr>
                <w:rPr>
                  <w:rFonts w:ascii="Cambria Math" w:hAnsi="Cambria Math"/>
                  <w:i/>
                  <w:lang w:val="es-ES_tradnl"/>
                </w:rPr>
              </m:ctrlPr>
            </m:sSubPr>
            <m:e>
              <m:r>
                <w:rPr>
                  <w:rFonts w:ascii="Cambria Math" w:hAnsi="Cambria Math"/>
                  <w:lang w:val="es-ES_tradnl"/>
                </w:rPr>
                <m:t>I</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r>
            <m:rPr>
              <m:sty m:val="p"/>
            </m:rPr>
            <w:rPr>
              <w:rFonts w:ascii="Cambria Math" w:hAnsi="Cambria Math"/>
              <w:lang w:val="es-ES_tradnl"/>
            </w:rPr>
            <m:t>,</m:t>
          </m:r>
          <m:r>
            <w:rPr>
              <w:rFonts w:ascii="Cambria Math" w:hAnsi="Cambria Math"/>
              <w:lang w:val="es-ES_tradnl"/>
            </w:rPr>
            <m:t>  </m:t>
          </m:r>
          <m:r>
            <m:rPr>
              <m:nor/>
            </m:rPr>
            <w:rPr>
              <w:lang w:val="es-ES_tradnl"/>
            </w:rPr>
            <m:t>(</m:t>
          </m:r>
          <m:r>
            <m:rPr>
              <m:nor/>
            </m:rPr>
            <w:rPr>
              <w:rFonts w:ascii="Cambria Math"/>
              <w:lang w:val="es-ES_tradnl"/>
            </w:rPr>
            <m:t>1</m:t>
          </m:r>
          <m:r>
            <m:rPr>
              <m:nor/>
            </m:rPr>
            <w:rPr>
              <w:lang w:val="es-ES_tradnl"/>
            </w:rPr>
            <m:t>2)</m:t>
          </m:r>
        </m:oMath>
      </m:oMathPara>
    </w:p>
    <w:p>
      <w:pPr>
        <w:pStyle w:val="Text"/>
        <w:rPr>
          <w:lang w:val="es-ES_tradnl"/>
          <w14:textFill>
            <w14:solidFill>
              <w14:srgbClr w14:val="000000"/>
            </w14:solidFill>
          </w14:textFill>
        </w:rPr>
      </w:pPr>
      <w:r>
        <w:rPr>
          <w:lang w:val="es-ES_tradnl"/>
          <w14:textFill>
            <w14:solidFill>
              <w14:srgbClr w14:val="000000"/>
            </w14:solidFill>
          </w14:textFill>
        </w:rPr>
        <w:t xml:space="preserve">donde </w:t>
      </w:r>
      <w:r>
        <w:rPr>
          <w:i/>
          <w:iCs/>
          <w:lang w:val="es-ES_tradnl"/>
          <w14:textFill>
            <w14:solidFill>
              <w14:srgbClr w14:val="000000"/>
            </w14:solidFill>
          </w14:textFill>
        </w:rPr>
        <w:t xml:space="preserve">B </w:t>
      </w:r>
      <w:r>
        <w:rPr>
          <w:lang w:val="es-ES_tradnl"/>
          <w14:textFill>
            <w14:solidFill>
              <w14:srgbClr w14:val="000000"/>
            </w14:solidFill>
          </w14:textFill>
        </w:rPr>
        <w:t xml:space="preserve">es el ancho de banda del canal, expresado en Hz, y </w:t>
      </w:r>
      <m:oMath>
        <m:sSub>
          <m:sSubPr>
            <m:ctrlPr>
              <w:rPr>
                <w:rFonts w:ascii="Cambria Math" w:hAnsi="Cambria Math"/>
                <w:i/>
                <w:lang w:val="es-ES_tradnl"/>
              </w:rPr>
            </m:ctrlPr>
          </m:sSubPr>
          <m:e>
            <m:r>
              <w:rPr>
                <w:rFonts w:ascii="Cambria Math" w:hAnsi="Cambria Math"/>
                <w:lang w:val="es-ES_tradnl"/>
              </w:rPr>
              <m:t>I</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oMath>
      <w:r>
        <w:rPr>
          <w:lang w:val="es-ES_tradnl"/>
          <w14:textFill>
            <w14:solidFill>
              <w14:srgbClr w14:val="000000"/>
            </w14:solidFill>
          </w14:textFill>
        </w:rPr>
        <w:t xml:space="preserve"> es una variable aleatoria en dB que representa una degradación de la señal debida a la interferencia causada por la compartición de recursos. Esta variable se obtiene como el valor absoluto de una variable aleatoria normal con media cero y desviación estándar </w:t>
      </w:r>
      <m:oMath>
        <m:sSub>
          <m:sSubPr>
            <m:ctrlPr>
              <w:rPr>
                <w:rFonts w:ascii="Cambria Math" w:hAnsi="Cambria Math"/>
                <w:i/>
                <w:lang w:val="es-ES_tradnl"/>
              </w:rPr>
            </m:ctrlPr>
          </m:sSubPr>
          <m:e>
            <m:r>
              <w:rPr>
                <w:rFonts w:ascii="Cambria Math" w:hAnsi="Cambria Math"/>
                <w:lang w:val="es-ES_tradnl"/>
              </w:rPr>
              <m:t>σ</m:t>
            </m:r>
          </m:e>
          <m:sub>
            <m:r>
              <w:rPr>
                <w:rFonts w:ascii="Cambria Math" w:hAnsi="Cambria Math"/>
                <w:lang w:val="es-ES_tradnl"/>
              </w:rPr>
              <m:t>I</m:t>
            </m:r>
          </m:sub>
        </m:sSub>
        <m:r>
          <m:rPr>
            <m:sty m:val="p"/>
          </m:rPr>
          <w:rPr>
            <w:rFonts w:ascii="Cambria Math" w:hAnsi="Cambria Math"/>
            <w:lang w:val="es-ES_tradnl"/>
          </w:rPr>
          <m:t>=</m:t>
        </m:r>
        <m:r>
          <w:rPr>
            <w:rFonts w:ascii="Cambria Math" w:hAnsi="Cambria Math"/>
            <w:lang w:val="es-ES_tradnl"/>
          </w:rPr>
          <m:t>N</m:t>
        </m:r>
        <m:sSub>
          <m:sSubPr>
            <m:ctrlPr>
              <w:rPr>
                <w:rFonts w:ascii="Cambria Math" w:hAnsi="Cambria Math"/>
                <w:i/>
                <w:lang w:val="es-ES_tradnl"/>
              </w:rPr>
            </m:ctrlPr>
          </m:sSubPr>
          <m:e>
            <m:r>
              <w:rPr>
                <w:rFonts w:ascii="Cambria Math" w:hAnsi="Cambria Math"/>
                <w:lang w:val="es-ES_tradnl"/>
              </w:rPr>
              <m:t>f</m:t>
            </m:r>
          </m:e>
          <m:sub>
            <m:r>
              <w:rPr>
                <w:rFonts w:ascii="Cambria Math" w:hAnsi="Cambria Math"/>
                <w:lang w:val="es-ES_tradnl"/>
              </w:rPr>
              <m:t>I</m:t>
            </m:r>
          </m:sub>
        </m:sSub>
      </m:oMath>
      <w:r>
        <w:rPr>
          <w:lang w:val="es-ES_tradnl"/>
          <w14:textFill>
            <w14:solidFill>
              <w14:srgbClr w14:val="000000"/>
            </w14:solidFill>
          </w14:textFill>
        </w:rPr>
        <w:t xml:space="preserve">, donde </w:t>
      </w:r>
      <m:oMath>
        <m:sSub>
          <m:sSubPr>
            <m:ctrlPr>
              <w:rPr>
                <w:rFonts w:ascii="Cambria Math" w:hAnsi="Cambria Math"/>
                <w:i/>
                <w:lang w:val="es-ES_tradnl"/>
              </w:rPr>
            </m:ctrlPr>
          </m:sSubPr>
          <m:e>
            <m:r>
              <w:rPr>
                <w:rFonts w:ascii="Cambria Math" w:hAnsi="Cambria Math"/>
                <w:lang w:val="es-ES_tradnl"/>
              </w:rPr>
              <m:t>f</m:t>
            </m:r>
          </m:e>
          <m:sub>
            <m:r>
              <w:rPr>
                <w:rFonts w:ascii="Cambria Math" w:hAnsi="Cambria Math"/>
                <w:lang w:val="es-ES_tradnl"/>
              </w:rPr>
              <m:t>I</m:t>
            </m:r>
          </m:sub>
        </m:sSub>
      </m:oMath>
      <w:r>
        <w:rPr>
          <w:lang w:val="es-ES_tradnl"/>
          <w14:textFill>
            <w14:solidFill>
              <w14:srgbClr w14:val="000000"/>
            </w14:solidFill>
          </w14:textFill>
        </w:rPr>
        <w:t xml:space="preserve"> es un factor de interferencia por usuario. De esta manera, la degradación considerada aumenta con el número de UE en la celda. El valor de </w:t>
      </w:r>
      <m:oMath>
        <m:sSub>
          <m:sSubPr>
            <m:ctrlPr>
              <w:rPr>
                <w:rFonts w:ascii="Cambria Math" w:hAnsi="Cambria Math"/>
                <w:i/>
                <w:lang w:val="es-ES_tradnl"/>
              </w:rPr>
            </m:ctrlPr>
          </m:sSubPr>
          <m:e>
            <m:r>
              <w:rPr>
                <w:rFonts w:ascii="Cambria Math" w:hAnsi="Cambria Math"/>
                <w:lang w:val="es-ES_tradnl"/>
              </w:rPr>
              <m:t>γ</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oMath>
      <w:r>
        <w:rPr>
          <w:lang w:val="es-ES_tradnl"/>
          <w14:textFill>
            <w14:solidFill>
              <w14:srgbClr w14:val="000000"/>
            </w14:solidFill>
          </w14:textFill>
        </w:rPr>
        <w:t xml:space="preserve"> se genera nuevamente para cada UE, en cada RB y en cada trama.</w:t>
      </w:r>
    </w:p>
    <w:p>
      <w:pPr>
        <w:pStyle w:val="Text"/>
        <w:rPr>
          <w:lang w:val="es-ES_tradnl"/>
          <w14:textFill>
            <w14:solidFill>
              <w14:srgbClr w14:val="000000"/>
            </w14:solidFill>
          </w14:textFill>
        </w:rPr>
      </w:pPr>
      <w:r>
        <w:rPr>
          <w:lang w:val="es-ES_tradnl"/>
          <w14:textFill>
            <w14:solidFill>
              <w14:srgbClr w14:val="000000"/>
            </w14:solidFill>
          </w14:textFill>
        </w:rPr>
        <w:t xml:space="preserve">Para la adaptación del enlace, el valor de </w:t>
      </w:r>
      <m:oMath>
        <m:sSub>
          <m:sSubPr>
            <m:ctrlPr>
              <w:rPr>
                <w:rFonts w:ascii="Cambria Math" w:hAnsi="Cambria Math"/>
                <w:i/>
                <w:lang w:val="es-ES_tradnl"/>
              </w:rPr>
            </m:ctrlPr>
          </m:sSubPr>
          <m:e>
            <m:r>
              <w:rPr>
                <w:rFonts w:ascii="Cambria Math" w:hAnsi="Cambria Math"/>
                <w:lang w:val="es-ES_tradnl"/>
              </w:rPr>
              <m:t>γ</m:t>
            </m:r>
          </m:e>
          <m:sub>
            <m:r>
              <w:rPr>
                <w:rFonts w:ascii="Cambria Math" w:hAnsi="Cambria Math"/>
                <w:lang w:val="es-ES_tradnl"/>
              </w:rPr>
              <m:t>i</m:t>
            </m:r>
            <m:r>
              <m:rPr>
                <m:sty m:val="p"/>
              </m:rPr>
              <w:rPr>
                <w:rFonts w:ascii="Cambria Math" w:hAnsi="Cambria Math"/>
                <w:lang w:val="es-ES_tradnl"/>
              </w:rPr>
              <m:t>,</m:t>
            </m:r>
            <m:r>
              <w:rPr>
                <w:rFonts w:ascii="Cambria Math" w:hAnsi="Cambria Math"/>
                <w:lang w:val="es-ES_tradnl"/>
              </w:rPr>
              <m:t>k</m:t>
            </m:r>
          </m:sub>
        </m:sSub>
      </m:oMath>
      <w:r>
        <w:rPr>
          <w:lang w:val="es-ES_tradnl"/>
          <w14:textFill>
            <w14:solidFill>
              <w14:srgbClr w14:val="000000"/>
            </w14:solidFill>
          </w14:textFill>
        </w:rPr>
        <w:t xml:space="preserve"> se compara con un conjunto de umbrales de SIR para determinar el índice de calidad del canal (CQI), que puede variar de 1 a 15. La asignación del índice se basa en la tabla CQI de 4 bits especificada en 3GPP TS 36.213 [11]. El CQI obtenido determina la eficiencia espectral y, por consiguiente, la cantidad de bits que pueden transmitirse en el RB correspondiente.</w:t>
      </w:r>
    </w:p>
    <w:p>
      <w:pPr>
        <w:pStyle w:val="Heading2"/>
        <w:rPr>
          <w14:textFill>
            <w14:solidFill>
              <w14:srgbClr w14:val="000000"/>
            </w14:solidFill>
          </w14:textFill>
        </w:rPr>
      </w:pPr>
      <w:r>
        <w:rPr>
          <w14:textFill>
            <w14:solidFill>
              <w14:srgbClr w14:val="000000"/>
            </w14:solidFill>
          </w14:textFill>
        </w:rPr>
        <w:t xml:space="preserve">4.2 Estructura de recursos y asignación de RB</w:t>
      </w:r>
    </w:p>
    <w:p>
      <w:pPr>
        <w:pStyle w:val="Text"/>
        <w:rPr>
          <w:lang w:val="es-ES_tradnl"/>
          <w14:textFill>
            <w14:solidFill>
              <w14:srgbClr w14:val="000000"/>
            </w14:solidFill>
          </w14:textFill>
        </w:rPr>
      </w:pPr>
      <w:r>
        <w:rPr>
          <w:lang w:val="es-ES_tradnl"/>
          <w14:textFill>
            <w14:solidFill>
              <w14:srgbClr w14:val="000000"/>
            </w14:solidFill>
          </w14:textFill>
        </w:rPr>
        <w:t xml:space="preserve">La asignación de recursos se realiza en cada trama de 10 ms. El número total de RB disponibles por trama se calcula como </w:t>
      </w:r>
      <m:oMath>
        <m:r>
          <w:rPr>
            <w:rFonts w:ascii="Cambria Math" w:hAnsi="Cambria Math"/>
            <w:lang w:val="es-ES_tradnl"/>
          </w:rPr>
          <m:t>K</m:t>
        </m:r>
        <m:r>
          <m:rPr>
            <m:sty m:val="p"/>
          </m:rPr>
          <w:rPr>
            <w:rFonts w:ascii="Cambria Math" w:hAnsi="Cambria Math"/>
            <w:lang w:val="es-ES_tradnl"/>
          </w:rPr>
          <m:t>=</m:t>
        </m:r>
        <m:r>
          <w:rPr>
            <w:rFonts w:ascii="Cambria Math" w:hAnsi="Cambria Math"/>
            <w:lang w:val="es-ES_tradnl"/>
          </w:rPr>
          <m:t>20 </m:t>
        </m:r>
        <m:sSub>
          <m:sSubPr>
            <m:ctrlPr>
              <w:rPr>
                <w:rFonts w:ascii="Cambria Math" w:hAnsi="Cambria Math"/>
                <w:i/>
                <w:lang w:val="es-ES_tradnl"/>
              </w:rPr>
            </m:ctrlPr>
          </m:sSubPr>
          <m:e>
            <m:r>
              <w:rPr>
                <w:rFonts w:ascii="Cambria Math" w:hAnsi="Cambria Math"/>
                <w:lang w:val="es-ES_tradnl"/>
              </w:rPr>
              <m:t>N</m:t>
            </m:r>
          </m:e>
          <m:sub>
            <m:r>
              <w:rPr>
                <w:rFonts w:ascii="Cambria Math" w:hAnsi="Cambria Math"/>
                <w:lang w:val="es-ES_tradnl"/>
              </w:rPr>
              <m:t>RB</m:t>
            </m:r>
          </m:sub>
        </m:sSub>
      </m:oMath>
      <w:r>
        <w:rPr>
          <w:lang w:val="es-ES_tradnl"/>
          <w14:textFill>
            <w14:solidFill>
              <w14:srgbClr w14:val="000000"/>
            </w14:solidFill>
          </w14:textFill>
        </w:rPr>
        <w:t xml:space="preserve">, donde </w:t>
      </w:r>
      <m:oMath>
        <m:sSub>
          <m:sSubPr>
            <m:ctrlPr>
              <w:rPr>
                <w:rFonts w:ascii="Cambria Math" w:hAnsi="Cambria Math"/>
                <w:i/>
                <w:lang w:val="es-ES_tradnl"/>
              </w:rPr>
            </m:ctrlPr>
          </m:sSubPr>
          <m:e>
            <m:r>
              <w:rPr>
                <w:rFonts w:ascii="Cambria Math" w:hAnsi="Cambria Math"/>
                <w:lang w:val="es-ES_tradnl"/>
              </w:rPr>
              <m:t>N</m:t>
            </m:r>
          </m:e>
          <m:sub>
            <m:r>
              <w:rPr>
                <w:rFonts w:ascii="Cambria Math" w:hAnsi="Cambria Math"/>
                <w:lang w:val="es-ES_tradnl"/>
              </w:rPr>
              <m:t>RB</m:t>
            </m:r>
          </m:sub>
        </m:sSub>
        <m:r>
          <w:rPr>
            <w:rFonts w:ascii="Cambria Math" w:hAnsi="Cambria Math"/>
            <w:lang w:val="es-ES_tradnl"/>
          </w:rPr>
          <m:t>=5B</m:t>
        </m:r>
      </m:oMath>
      <w:r>
        <w:rPr>
          <w:lang w:val="es-ES_tradnl"/>
          <w14:textFill>
            <w14:solidFill>
              <w14:srgbClr w14:val="000000"/>
            </w14:solidFill>
          </w14:textFill>
        </w:rPr>
        <w:t xml:space="preserve"> (con </w:t>
      </w:r>
      <m:oMath>
        <m:r>
          <w:rPr>
            <w:rFonts w:ascii="Cambria Math" w:hAnsi="Cambria Math"/>
            <w:lang w:val="es-ES_tradnl"/>
          </w:rPr>
          <m:t>B</m:t>
        </m:r>
      </m:oMath>
      <w:r>
        <w:rPr>
          <w:lang w:val="es-ES_tradnl"/>
          <w14:textFill>
            <w14:solidFill>
              <w14:srgbClr w14:val="000000"/>
            </w14:solidFill>
          </w14:textFill>
        </w:rPr>
        <w:t xml:space="preserve">, como del ancho de banda del canal en MHz) es el número de RB disponibles por ranura de 0.5 ms y 20 es el número de ranuras en una trama. Los RB de cada trama se asignan uno a uno y cada RB se asigna a un único UE, de acuerdo con el algoritmo de planificación correspondiente.</w:t>
      </w:r>
    </w:p>
    <w:p>
      <w:pPr>
        <w:pStyle w:val="Text"/>
        <w:rPr>
          <w:lang w:val="es-ES_tradnl"/>
          <w14:textFill>
            <w14:solidFill>
              <w14:srgbClr w14:val="000000"/>
            </w14:solidFill>
          </w14:textFill>
        </w:rPr>
      </w:pPr>
      <w:r>
        <w:rPr>
          <w:lang w:val="es-ES_tradnl"/>
          <w14:textFill>
            <w14:solidFill>
              <w14:srgbClr w14:val="000000"/>
            </w14:solidFill>
          </w14:textFill>
        </w:rPr>
        <w:t xml:space="preserve">Se considera un modelo de tráfico saturado, equivalente a disponer de un buffer infinito para cada UE. Por tanto, todos los usuarios tienen datos disponibles de forma permanente para su transmisión y permanecen activos durante toda la simulación. En consecuencia, el número de UE participantes en la asignación de recursos se mantiene constante e igual a </w:t>
      </w:r>
      <w:r>
        <w:rPr>
          <w:i/>
          <w:iCs/>
          <w:lang w:val="es-ES_tradnl"/>
          <w14:textFill>
            <w14:solidFill>
              <w14:srgbClr w14:val="000000"/>
            </w14:solidFill>
          </w14:textFill>
        </w:rPr>
        <w:t xml:space="preserve">N</w:t>
      </w:r>
      <w:r>
        <w:rPr>
          <w:lang w:val="es-ES_tradnl"/>
          <w14:textFill>
            <w14:solidFill>
              <w14:srgbClr w14:val="000000"/>
            </w14:solidFill>
          </w14:textFill>
        </w:rPr>
        <w:t xml:space="preserve">. La simulación finaliza una vez que se han procesado las </w:t>
      </w:r>
      <w:r>
        <w:rPr>
          <w:i/>
          <w:iCs/>
          <w:lang w:val="es-ES_tradnl"/>
          <w14:textFill>
            <w14:solidFill>
              <w14:srgbClr w14:val="000000"/>
            </w14:solidFill>
          </w14:textFill>
        </w:rPr>
        <w:t xml:space="preserve">F</w:t>
      </w:r>
      <w:r>
        <w:rPr>
          <w:lang w:val="es-ES_tradnl"/>
          <w14:textFill>
            <w14:solidFill>
              <w14:srgbClr w14:val="000000"/>
            </w14:solidFill>
          </w14:textFill>
        </w:rPr>
        <w:t xml:space="preserve"> tramas establecidas.</w:t>
      </w:r>
    </w:p>
    <w:p>
      <w:pPr>
        <w:pStyle w:val="Heading1"/>
        <w:rPr>
          <w14:textFill>
            <w14:solidFill>
              <w14:srgbClr w14:val="000000"/>
            </w14:solidFill>
          </w14:textFill>
        </w:rPr>
      </w:pPr>
      <w:r>
        <w:rPr>
          <w14:textFill>
            <w14:solidFill>
              <w14:srgbClr w14:val="000000"/>
            </w14:solidFill>
          </w14:textFill>
        </w:rPr>
        <w:t xml:space="preserve">5.  ANÁLISIS DE RESULTADOS</w:t>
      </w:r>
    </w:p>
    <w:p>
      <w:pPr>
        <w:pStyle w:val="Text"/>
        <w:tabs>
          <w:tab w:val="right" w:pos="567"/>
          <w:tab w:val="right" w:pos="1134"/>
        </w:tabs>
        <w:rPr>
          <w:lang w:val="es-ES_tradnl"/>
          <w14:textFill>
            <w14:solidFill>
              <w14:srgbClr w14:val="000000"/>
            </w14:solidFill>
          </w14:textFill>
        </w:rPr>
      </w:pPr>
      <w:r>
        <w:rPr>
          <w:lang w:val="es-ES_tradnl"/>
          <w14:textFill>
            <w14:solidFill>
              <w14:srgbClr w14:val="000000"/>
            </w14:solidFill>
          </w14:textFill>
        </w:rPr>
        <w:t xml:space="preserve">Los cuatro despachadores se evaluaron en la misma celda y bajo las mismas condiciones. Los parámetros utilizados en las simulaciones se resumen en la Tabla 1. Se considera una celda de 1 km de radio, con 40 UE activos distribuidos uniformemente en la dirección radial. La estación base transmite con una potencia de 43 dBm, a una frecuencia portadora de 2.6 GHz y un ancho de banda de 5 MHz. Para modelar las pérdidas de propagación se emplea el modelo UMa NLOS. La degradación aleatoria por interferencia se modela mediante un factor </w:t>
      </w:r>
      <m:oMath>
        <m:sSub>
          <m:sSubPr>
            <m:ctrlPr>
              <w:rPr>
                <w:rFonts w:ascii="Cambria Math" w:hAnsi="Cambria Math"/>
                <w:i/>
                <w:lang w:val="es-ES_tradnl"/>
              </w:rPr>
            </m:ctrlPr>
          </m:sSubPr>
          <m:e>
            <m:r>
              <w:rPr>
                <w:rFonts w:ascii="Cambria Math" w:hAnsi="Cambria Math"/>
                <w:lang w:val="es-ES_tradnl"/>
              </w:rPr>
              <m:t>f</m:t>
            </m:r>
          </m:e>
          <m:sub>
            <m:r>
              <w:rPr>
                <w:rFonts w:ascii="Cambria Math" w:hAnsi="Cambria Math"/>
                <w:lang w:val="es-ES_tradnl"/>
              </w:rPr>
              <m:t>I</m:t>
            </m:r>
          </m:sub>
        </m:sSub>
        <m:r>
          <w:rPr>
            <w:rFonts w:ascii="Cambria Math" w:hAnsi="Cambria Math"/>
            <w:lang w:val="es-ES_tradnl"/>
          </w:rPr>
          <m:t>=0.1</m:t>
        </m:r>
      </m:oMath>
      <w:r>
        <w:rPr>
          <w:lang w:val="es-ES_tradnl"/>
          <w14:textFill>
            <w14:solidFill>
              <w14:srgbClr w14:val="000000"/>
            </w14:solidFill>
          </w14:textFill>
        </w:rPr>
        <w:t xml:space="preserve">. Finalmente, cada simulación comprende 100 tramas, equivalentes a un segundo de tiempo simulado, y se considera tráfico saturado mediante buffers infinitos en todos los UE. Con buffer infinito, todos los UE permanecen en la celda durante toda la simulación. Lo anterior permite observar cómo asigna cada despachador los recursos sin modificar sus condiciones de paquete de datos. Cada despachador se simula durante 1 segundo y cada simulación inicia con la misma generación de números aleatorios.</w:t>
      </w:r>
    </w:p>
    <w:p>
      <w:pPr>
        <w:pStyle w:val="Caption"/>
        <w:keepNext/>
        <w:jc w:val="center"/>
        <w:rPr>
          <w:b/>
          <w:bCs/>
          <w:lang w:val="es-ES_tradnl"/>
          <w14:textFill>
            <w14:solidFill>
              <w14:srgbClr w14:val="000000"/>
            </w14:solidFill>
          </w14:textFill>
        </w:rPr>
      </w:pPr>
      <w:r>
        <w:rPr>
          <w:b/>
          <w:bCs/>
          <w:lang w:val="es-ES_tradnl"/>
          <w14:textFill>
            <w14:solidFill>
              <w14:srgbClr w14:val="000000"/>
            </w14:solidFill>
          </w14:textFill>
        </w:rPr>
        <w:t xml:space="preserve">Tabla </w:t>
      </w:r>
      <w:r>
        <w:rPr>
          <w:b/>
          <w:bCs/>
          <w:lang w:val="es-ES_tradnl"/>
          <w14:textFill>
            <w14:solidFill>
              <w14:srgbClr w14:val="000000"/>
            </w14:solidFill>
          </w14:textFill>
        </w:rPr>
        <w:fldChar w:fldCharType="begin"/>
      </w:r>
      <w:r>
        <w:rPr>
          <w:b/>
          <w:bCs/>
          <w:lang w:val="es-ES_tradnl"/>
          <w14:textFill>
            <w14:solidFill>
              <w14:srgbClr w14:val="000000"/>
            </w14:solidFill>
          </w14:textFill>
        </w:rPr>
        <w:instrText xml:space="preserve"> SEQ Table \* ARABIC </w:instrText>
      </w:r>
      <w:r>
        <w:rPr>
          <w:b/>
          <w:bCs/>
          <w:lang w:val="es-ES_tradnl"/>
          <w14:textFill>
            <w14:solidFill>
              <w14:srgbClr w14:val="000000"/>
            </w14:solidFill>
          </w14:textFill>
        </w:rPr>
        <w:fldChar w:fldCharType="separate"/>
      </w:r>
      <w:r>
        <w:rPr>
          <w:b/>
          <w:bCs/>
          <w:lang w:val="es-ES_tradnl"/>
          <w14:textFill>
            <w14:solidFill>
              <w14:srgbClr w14:val="000000"/>
            </w14:solidFill>
          </w14:textFill>
        </w:rPr>
        <w:t xml:space="preserve">1</w:t>
      </w:r>
      <w:r>
        <w:rPr>
          <w:b/>
          <w:bCs/>
          <w:lang w:val="es-ES_tradnl"/>
          <w14:textFill>
            <w14:solidFill>
              <w14:srgbClr w14:val="000000"/>
            </w14:solidFill>
          </w14:textFill>
        </w:rPr>
        <w:fldChar w:fldCharType="end"/>
      </w:r>
      <w:r>
        <w:rPr>
          <w:b/>
          <w:bCs/>
          <w:lang w:val="es-ES_tradnl"/>
          <w14:textFill>
            <w14:solidFill>
              <w14:srgbClr w14:val="000000"/>
            </w14:solidFill>
          </w14:textFill>
        </w:rPr>
        <w:t xml:space="preserve">. Parámetros del escenario de simulación.</w:t>
      </w:r>
    </w:p>
    <w:tbl>
      <w:tblPr>
        <w:tblStyle w:val="TableGrid"/>
        <w:tblW w:w="4768" w:type="dxa"/>
        <w:tblLook w:val="04A0" w:firstRow="1" w:lastRow="0" w:firstColumn="1" w:lastColumn="0" w:noHBand="0" w:noVBand="1"/>
      </w:tblPr>
      <w:tblGrid>
        <w:gridCol w:w="2972"/>
        <w:gridCol w:w="1796"/>
      </w:tblGrid>
      <w:tr>
        <w:tc>
          <w:tcPr>
            <w:tcW w:w="2972" w:type="dxa"/>
            <w:vAlign w:val="center"/>
          </w:tcPr>
          <w:p>
            <w:pPr>
              <w:pStyle w:val="Text"/>
              <w:jc w:val="center"/>
              <w:rPr>
                <w:lang w:val="es-ES_tradnl"/>
                <w14:textFill>
                  <w14:solidFill>
                    <w14:srgbClr w14:val="000000"/>
                  </w14:solidFill>
                </w14:textFill>
              </w:rPr>
            </w:pPr>
            <w:r>
              <w:rPr>
                <w:lang w:val="es-ES_tradnl"/>
                <w14:textFill>
                  <w14:solidFill>
                    <w14:srgbClr w14:val="000000"/>
                  </w14:solidFill>
                </w14:textFill>
              </w:rPr>
              <w:t xml:space="preserve">Parámetro</w:t>
            </w:r>
          </w:p>
        </w:tc>
        <w:tc>
          <w:tcPr>
            <w:tcW w:w="1796" w:type="dxa"/>
            <w:vAlign w:val="center"/>
          </w:tcPr>
          <w:p>
            <w:pPr>
              <w:pStyle w:val="Text"/>
              <w:jc w:val="center"/>
              <w:rPr>
                <w:lang w:val="es-ES_tradnl"/>
                <w14:textFill>
                  <w14:solidFill>
                    <w14:srgbClr w14:val="000000"/>
                  </w14:solidFill>
                </w14:textFill>
              </w:rPr>
            </w:pPr>
            <w:r>
              <w:rPr>
                <w:lang w:val="es-ES_tradnl"/>
                <w14:textFill>
                  <w14:solidFill>
                    <w14:srgbClr w14:val="000000"/>
                  </w14:solidFill>
                </w14:textFill>
              </w:rPr>
              <w:t xml:space="preserve">Valor</w:t>
            </w:r>
          </w:p>
        </w:tc>
      </w:tr>
      <w:tr>
        <w:tc>
          <w:tcPr>
            <w:tcW w:w="2972" w:type="dxa"/>
            <w:vAlign w:val="center"/>
          </w:tcPr>
          <w:p>
            <w:pPr>
              <w:pStyle w:val="Text"/>
              <w:jc w:val="center"/>
              <w:rPr>
                <w:lang w:val="es-ES_tradnl"/>
                <w14:textFill>
                  <w14:solidFill>
                    <w14:srgbClr w14:val="000000"/>
                  </w14:solidFill>
                </w14:textFill>
              </w:rPr>
            </w:pPr>
            <w:r>
              <w:rPr>
                <w:color w:val="000000"/>
                <w:lang w:val="es-ES_tradnl"/>
                <w14:textFill>
                  <w14:solidFill>
                    <w14:srgbClr w14:val="000000"/>
                  </w14:solidFill>
                </w14:textFill>
              </w:rPr>
              <w:t xml:space="preserve">UE activos (</w:t>
            </w:r>
            <m:oMath>
              <m:r>
                <w:rPr>
                  <w:rFonts w:ascii="Cambria Math" w:hAnsi="Cambria Math"/>
                  <w:color w:val="000000"/>
                  <w:lang w:val="es-ES_tradnl"/>
                </w:rPr>
                <m:t>N</m:t>
              </m:r>
            </m:oMath>
            <w:r>
              <w:rPr>
                <w:color w:val="000000"/>
                <w:lang w:val="es-ES_tradnl"/>
                <w14:textFill>
                  <w14:solidFill>
                    <w14:srgbClr w14:val="000000"/>
                  </w14:solidFill>
                </w14:textFill>
              </w:rPr>
              <w:t xml:space="preserve">)</w:t>
            </w:r>
          </w:p>
        </w:tc>
        <w:tc>
          <w:tcPr>
            <w:tcW w:w="1796" w:type="dxa"/>
            <w:vAlign w:val="center"/>
          </w:tcPr>
          <w:p>
            <w:pPr>
              <w:pStyle w:val="Text"/>
              <w:jc w:val="center"/>
              <w:rPr>
                <w:lang w:val="es-ES_tradnl"/>
                <w14:textFill>
                  <w14:solidFill>
                    <w14:srgbClr w14:val="000000"/>
                  </w14:solidFill>
                </w14:textFill>
              </w:rPr>
            </w:pPr>
            <w:r>
              <w:rPr>
                <w:color w:val="000000"/>
                <w:lang w:val="es-ES_tradnl"/>
                <w14:textFill>
                  <w14:solidFill>
                    <w14:srgbClr w14:val="000000"/>
                  </w14:solidFill>
                </w14:textFill>
              </w:rPr>
              <w:t xml:space="preserve">40</w:t>
            </w:r>
          </w:p>
        </w:tc>
      </w:tr>
      <w:tr>
        <w:tc>
          <w:tcPr>
            <w:tcW w:w="2972" w:type="dxa"/>
            <w:vAlign w:val="center"/>
          </w:tcPr>
          <w:p>
            <w:pPr>
              <w:pStyle w:val="Text"/>
              <w:jc w:val="center"/>
              <w:rPr>
                <w:lang w:val="es-ES_tradnl"/>
                <w14:textFill>
                  <w14:solidFill>
                    <w14:srgbClr w14:val="000000"/>
                  </w14:solidFill>
                </w14:textFill>
              </w:rPr>
            </w:pPr>
            <w:r>
              <w:rPr>
                <w:color w:val="000000"/>
                <w:lang w:val="es-ES_tradnl"/>
                <w14:textFill>
                  <w14:solidFill>
                    <w14:srgbClr w14:val="000000"/>
                  </w14:solidFill>
                </w14:textFill>
              </w:rPr>
              <w:t xml:space="preserve">Radio de la celda (</w:t>
            </w:r>
            <m:oMath>
              <m:r>
                <w:rPr>
                  <w:rFonts w:ascii="Cambria Math" w:hAnsi="Cambria Math"/>
                  <w:color w:val="000000"/>
                  <w:lang w:val="es-ES_tradnl"/>
                </w:rPr>
                <m:t>r</m:t>
              </m:r>
            </m:oMath>
            <w:r>
              <w:rPr>
                <w:color w:val="000000"/>
                <w:lang w:val="es-ES_tradnl"/>
                <w14:textFill>
                  <w14:solidFill>
                    <w14:srgbClr w14:val="000000"/>
                  </w14:solidFill>
                </w14:textFill>
              </w:rPr>
              <w:t xml:space="preserve">)</w:t>
            </w:r>
          </w:p>
        </w:tc>
        <w:tc>
          <w:tcPr>
            <w:tcW w:w="1796" w:type="dxa"/>
            <w:vAlign w:val="center"/>
          </w:tcPr>
          <w:p>
            <w:pPr>
              <w:pStyle w:val="Text"/>
              <w:jc w:val="center"/>
              <w:rPr>
                <w:lang w:val="es-ES_tradnl"/>
                <w14:textFill>
                  <w14:solidFill>
                    <w14:srgbClr w14:val="000000"/>
                  </w14:solidFill>
                </w14:textFill>
              </w:rPr>
            </w:pPr>
            <w:r>
              <w:rPr>
                <w:color w:val="000000"/>
                <w:lang w:val="es-ES_tradnl"/>
                <w14:textFill>
                  <w14:solidFill>
                    <w14:srgbClr w14:val="000000"/>
                  </w14:solidFill>
                </w14:textFill>
              </w:rPr>
              <w:t xml:space="preserve">1 km</w:t>
            </w:r>
          </w:p>
        </w:tc>
      </w:tr>
      <w:tr>
        <w:tc>
          <w:tcPr>
            <w:tcW w:w="2972" w:type="dxa"/>
            <w:vAlign w:val="center"/>
          </w:tcPr>
          <w:p>
            <w:pPr>
              <w:pStyle w:val="Text"/>
              <w:jc w:val="center"/>
              <w:rPr>
                <w:color w:val="000000"/>
                <w:lang w:val="es-ES_tradnl"/>
                <w14:textFill>
                  <w14:solidFill>
                    <w14:srgbClr w14:val="000000"/>
                  </w14:solidFill>
                </w14:textFill>
              </w:rPr>
            </w:pPr>
            <w:r>
              <w:rPr>
                <w:color w:val="000000"/>
                <w:lang w:val="es-ES_tradnl"/>
                <w14:textFill>
                  <w14:solidFill>
                    <w14:srgbClr w14:val="000000"/>
                  </w14:solidFill>
                </w14:textFill>
              </w:rPr>
              <w:t xml:space="preserve">Frecuencia portadora</w:t>
            </w:r>
          </w:p>
        </w:tc>
        <w:tc>
          <w:tcPr>
            <w:tcW w:w="1796" w:type="dxa"/>
            <w:vAlign w:val="center"/>
          </w:tcPr>
          <w:p>
            <w:pPr>
              <w:pStyle w:val="Text"/>
              <w:jc w:val="center"/>
              <w:rPr>
                <w:color w:val="000000"/>
                <w:lang w:val="es-ES_tradnl"/>
                <w14:textFill>
                  <w14:solidFill>
                    <w14:srgbClr w14:val="000000"/>
                  </w14:solidFill>
                </w14:textFill>
              </w:rPr>
            </w:pPr>
            <w:r>
              <w:rPr>
                <w:color w:val="000000"/>
                <w:lang w:val="es-ES_tradnl"/>
                <w14:textFill>
                  <w14:solidFill>
                    <w14:srgbClr w14:val="000000"/>
                  </w14:solidFill>
                </w14:textFill>
              </w:rPr>
              <w:t xml:space="preserve">2.6 GHz</w:t>
            </w:r>
          </w:p>
        </w:tc>
      </w:tr>
      <w:tr>
        <w:tc>
          <w:tcPr>
            <w:tcW w:w="2972" w:type="dxa"/>
            <w:vAlign w:val="center"/>
          </w:tcPr>
          <w:p>
            <w:pPr>
              <w:pStyle w:val="Text"/>
              <w:jc w:val="center"/>
              <w:rPr>
                <w:color w:val="000000"/>
                <w:lang w:val="es-ES_tradnl"/>
                <w14:textFill>
                  <w14:solidFill>
                    <w14:srgbClr w14:val="000000"/>
                  </w14:solidFill>
                </w14:textFill>
              </w:rPr>
            </w:pPr>
            <w:r>
              <w:rPr>
                <w:color w:val="000000"/>
                <w:lang w:val="es-ES_tradnl"/>
                <w14:textFill>
                  <w14:solidFill>
                    <w14:srgbClr w14:val="000000"/>
                  </w14:solidFill>
                </w14:textFill>
              </w:rPr>
              <w:t xml:space="preserve">Potencia de transmisión de la gNB (</w:t>
            </w:r>
            <m:oMath>
              <m:sSub>
                <m:sSubPr>
                  <m:ctrlPr>
                    <w:rPr>
                      <w:rFonts w:ascii="Cambria Math" w:hAnsi="Cambria Math"/>
                      <w:i/>
                      <w:lang w:val="es-ES_tradnl"/>
                    </w:rPr>
                  </m:ctrlPr>
                </m:sSubPr>
                <m:e>
                  <m:r>
                    <w:rPr>
                      <w:rFonts w:ascii="Cambria Math" w:hAnsi="Cambria Math"/>
                      <w:color w:val="000000"/>
                      <w:lang w:val="es-ES_tradnl"/>
                    </w:rPr>
                    <m:t>P</m:t>
                  </m:r>
                </m:e>
                <m:sub>
                  <m:r>
                    <w:rPr>
                      <w:rFonts w:ascii="Cambria Math" w:hAnsi="Cambria Math"/>
                      <w:color w:val="000000"/>
                      <w:lang w:val="es-ES_tradnl"/>
                    </w:rPr>
                    <m:t>tx</m:t>
                  </m:r>
                </m:sub>
              </m:sSub>
            </m:oMath>
            <w:r>
              <w:rPr>
                <w:color w:val="000000"/>
                <w:lang w:val="es-ES_tradnl"/>
                <w14:textFill>
                  <w14:solidFill>
                    <w14:srgbClr w14:val="000000"/>
                  </w14:solidFill>
                </w14:textFill>
              </w:rPr>
              <w:t xml:space="preserve">)</w:t>
            </w:r>
          </w:p>
        </w:tc>
        <w:tc>
          <w:tcPr>
            <w:tcW w:w="1796" w:type="dxa"/>
            <w:vAlign w:val="center"/>
          </w:tcPr>
          <w:p>
            <w:pPr>
              <w:pStyle w:val="Text"/>
              <w:jc w:val="center"/>
              <w:rPr>
                <w:color w:val="000000"/>
                <w:lang w:val="es-ES_tradnl"/>
                <w14:textFill>
                  <w14:solidFill>
                    <w14:srgbClr w14:val="000000"/>
                  </w14:solidFill>
                </w14:textFill>
              </w:rPr>
            </w:pPr>
            <w:r>
              <w:rPr>
                <w:color w:val="000000"/>
                <w:lang w:val="es-ES_tradnl"/>
                <w14:textFill>
                  <w14:solidFill>
                    <w14:srgbClr w14:val="000000"/>
                  </w14:solidFill>
                </w14:textFill>
              </w:rPr>
              <w:t xml:space="preserve">43 dBm</w:t>
            </w:r>
          </w:p>
        </w:tc>
      </w:tr>
      <w:tr>
        <w:tc>
          <w:tcPr>
            <w:tcW w:w="2972" w:type="dxa"/>
            <w:vAlign w:val="center"/>
          </w:tcPr>
          <w:p>
            <w:pPr>
              <w:pStyle w:val="Text"/>
              <w:jc w:val="center"/>
              <w:rPr>
                <w:color w:val="000000"/>
                <w:lang w:val="es-ES_tradnl"/>
                <w14:textFill>
                  <w14:solidFill>
                    <w14:srgbClr w14:val="000000"/>
                  </w14:solidFill>
                </w14:textFill>
              </w:rPr>
            </w:pPr>
            <w:r>
              <w:rPr>
                <w:color w:val="000000"/>
                <w:lang w:val="es-ES_tradnl"/>
                <w14:textFill>
                  <w14:solidFill>
                    <w14:srgbClr w14:val="000000"/>
                  </w14:solidFill>
                </w14:textFill>
              </w:rPr>
              <w:t xml:space="preserve">Ancho de banda del canal (</w:t>
            </w:r>
            <m:oMath>
              <m:r>
                <w:rPr>
                  <w:rFonts w:ascii="Cambria Math" w:hAnsi="Cambria Math"/>
                  <w:color w:val="000000"/>
                  <w:lang w:val="es-ES_tradnl"/>
                </w:rPr>
                <m:t>B</m:t>
              </m:r>
            </m:oMath>
            <w:r>
              <w:rPr>
                <w:color w:val="000000"/>
                <w:lang w:val="es-ES_tradnl"/>
                <w14:textFill>
                  <w14:solidFill>
                    <w14:srgbClr w14:val="000000"/>
                  </w14:solidFill>
                </w14:textFill>
              </w:rPr>
              <w:t xml:space="preserve">)</w:t>
            </w:r>
          </w:p>
        </w:tc>
        <w:tc>
          <w:tcPr>
            <w:tcW w:w="1796" w:type="dxa"/>
            <w:vAlign w:val="center"/>
          </w:tcPr>
          <w:p>
            <w:pPr>
              <w:pStyle w:val="Text"/>
              <w:jc w:val="center"/>
              <w:rPr>
                <w:color w:val="000000"/>
                <w:lang w:val="es-ES_tradnl"/>
                <w14:textFill>
                  <w14:solidFill>
                    <w14:srgbClr w14:val="000000"/>
                  </w14:solidFill>
                </w14:textFill>
              </w:rPr>
            </w:pPr>
            <w:r>
              <w:rPr>
                <w:color w:val="000000"/>
                <w:lang w:val="es-ES_tradnl"/>
                <w14:textFill>
                  <w14:solidFill>
                    <w14:srgbClr w14:val="000000"/>
                  </w14:solidFill>
                </w14:textFill>
              </w:rPr>
              <w:t xml:space="preserve">5 MHz</w:t>
            </w:r>
          </w:p>
        </w:tc>
      </w:tr>
      <w:tr>
        <w:tc>
          <w:tcPr>
            <w:tcW w:w="2972" w:type="dxa"/>
            <w:vAlign w:val="center"/>
          </w:tcPr>
          <w:p>
            <w:pPr>
              <w:pStyle w:val="Text"/>
              <w:jc w:val="center"/>
              <w:rPr>
                <w:color w:val="000000"/>
                <w:lang w:val="es-ES_tradnl"/>
                <w14:textFill>
                  <w14:solidFill>
                    <w14:srgbClr w14:val="000000"/>
                  </w14:solidFill>
                </w14:textFill>
              </w:rPr>
            </w:pPr>
            <w:r>
              <w:rPr>
                <w:color w:val="000000"/>
                <w:lang w:val="es-ES_tradnl"/>
                <w14:textFill>
                  <w14:solidFill>
                    <w14:srgbClr w14:val="000000"/>
                  </w14:solidFill>
                </w14:textFill>
              </w:rPr>
              <w:t xml:space="preserve">Modelo de pérdidas por propagación</w:t>
            </w:r>
          </w:p>
        </w:tc>
        <w:tc>
          <w:tcPr>
            <w:tcW w:w="1796" w:type="dxa"/>
            <w:vAlign w:val="center"/>
          </w:tcPr>
          <w:p>
            <w:pPr>
              <w:pStyle w:val="Text"/>
              <w:jc w:val="center"/>
              <w:rPr>
                <w:color w:val="000000"/>
                <w:lang w:val="es-ES_tradnl"/>
                <w14:textFill>
                  <w14:solidFill>
                    <w14:srgbClr w14:val="000000"/>
                  </w14:solidFill>
                </w14:textFill>
              </w:rPr>
            </w:pPr>
            <w:r>
              <w:rPr>
                <w:color w:val="000000"/>
                <w:lang w:val="es-ES_tradnl"/>
                <w14:textFill>
                  <w14:solidFill>
                    <w14:srgbClr w14:val="000000"/>
                  </w14:solidFill>
                </w14:textFill>
              </w:rPr>
              <w:t xml:space="preserve">UMa NLOS</w:t>
            </w:r>
          </w:p>
        </w:tc>
      </w:tr>
      <w:tr>
        <w:tc>
          <w:tcPr>
            <w:tcW w:w="2972" w:type="dxa"/>
            <w:vAlign w:val="center"/>
          </w:tcPr>
          <w:p>
            <w:pPr>
              <w:pStyle w:val="Text"/>
              <w:jc w:val="center"/>
              <w:rPr>
                <w:color w:val="000000"/>
                <w:lang w:val="es-ES_tradnl"/>
                <w14:textFill>
                  <w14:solidFill>
                    <w14:srgbClr w14:val="000000"/>
                  </w14:solidFill>
                </w14:textFill>
              </w:rPr>
            </w:pPr>
            <w:r>
              <w:rPr>
                <w:color w:val="000000"/>
                <w:lang w:val="es-ES_tradnl"/>
                <w14:textFill>
                  <w14:solidFill>
                    <w14:srgbClr w14:val="000000"/>
                  </w14:solidFill>
                </w14:textFill>
              </w:rPr>
              <w:t xml:space="preserve">Factor de interferencia (</w:t>
            </w:r>
            <m:oMath>
              <m:sSub>
                <m:sSubPr>
                  <m:ctrlPr>
                    <w:rPr>
                      <w:rFonts w:ascii="Cambria Math" w:hAnsi="Cambria Math"/>
                      <w:i/>
                      <w:lang w:val="es-ES_tradnl"/>
                    </w:rPr>
                  </m:ctrlPr>
                </m:sSubPr>
                <m:e>
                  <m:r>
                    <w:rPr>
                      <w:rFonts w:ascii="Cambria Math" w:hAnsi="Cambria Math"/>
                      <w:color w:val="000000"/>
                      <w:lang w:val="es-ES_tradnl"/>
                    </w:rPr>
                    <m:t>f</m:t>
                  </m:r>
                </m:e>
                <m:sub>
                  <m:r>
                    <w:rPr>
                      <w:rFonts w:ascii="Cambria Math" w:hAnsi="Cambria Math"/>
                      <w:color w:val="000000"/>
                      <w:lang w:val="es-ES_tradnl"/>
                    </w:rPr>
                    <m:t>I</m:t>
                  </m:r>
                </m:sub>
              </m:sSub>
            </m:oMath>
            <w:r>
              <w:rPr>
                <w:color w:val="000000"/>
                <w:lang w:val="es-ES_tradnl"/>
                <w14:textFill>
                  <w14:solidFill>
                    <w14:srgbClr w14:val="000000"/>
                  </w14:solidFill>
                </w14:textFill>
              </w:rPr>
              <w:t xml:space="preserve">)</w:t>
            </w:r>
          </w:p>
        </w:tc>
        <w:tc>
          <w:tcPr>
            <w:tcW w:w="1796" w:type="dxa"/>
            <w:vAlign w:val="center"/>
          </w:tcPr>
          <w:p>
            <w:pPr>
              <w:pStyle w:val="Text"/>
              <w:jc w:val="center"/>
              <w:rPr>
                <w:color w:val="000000"/>
                <w:lang w:val="es-ES_tradnl"/>
                <w14:textFill>
                  <w14:solidFill>
                    <w14:srgbClr w14:val="000000"/>
                  </w14:solidFill>
                </w14:textFill>
              </w:rPr>
            </w:pPr>
            <w:r>
              <w:rPr>
                <w:color w:val="000000"/>
                <w:lang w:val="es-ES_tradnl"/>
                <w14:textFill>
                  <w14:solidFill>
                    <w14:srgbClr w14:val="000000"/>
                  </w14:solidFill>
                </w14:textFill>
              </w:rPr>
              <w:t xml:space="preserve">0.1</w:t>
            </w:r>
          </w:p>
        </w:tc>
      </w:tr>
      <w:tr>
        <w:tc>
          <w:tcPr>
            <w:tcW w:w="2972" w:type="dxa"/>
            <w:vAlign w:val="center"/>
          </w:tcPr>
          <w:p>
            <w:pPr>
              <w:pStyle w:val="Text"/>
              <w:jc w:val="center"/>
              <w:rPr>
                <w:color w:val="000000"/>
                <w:lang w:val="es-ES_tradnl"/>
                <w14:textFill>
                  <w14:solidFill>
                    <w14:srgbClr w14:val="000000"/>
                  </w14:solidFill>
                </w14:textFill>
              </w:rPr>
            </w:pPr>
            <w:r>
              <w:rPr>
                <w:color w:val="000000"/>
                <w:lang w:val="es-ES_tradnl"/>
                <w14:textFill>
                  <w14:solidFill>
                    <w14:srgbClr w14:val="000000"/>
                  </w14:solidFill>
                </w14:textFill>
              </w:rPr>
              <w:t xml:space="preserve">Duración (</w:t>
            </w:r>
            <m:oMath>
              <m:r>
                <w:rPr>
                  <w:rFonts w:ascii="Cambria Math" w:hAnsi="Cambria Math"/>
                  <w:color w:val="000000"/>
                  <w:lang w:val="es-ES_tradnl"/>
                </w:rPr>
                <m:t>F</m:t>
              </m:r>
            </m:oMath>
            <w:r>
              <w:rPr>
                <w:color w:val="000000"/>
                <w:lang w:val="es-ES_tradnl"/>
                <w14:textFill>
                  <w14:solidFill>
                    <w14:srgbClr w14:val="000000"/>
                  </w14:solidFill>
                </w14:textFill>
              </w:rPr>
              <w:t xml:space="preserve">)</w:t>
            </w:r>
          </w:p>
        </w:tc>
        <w:tc>
          <w:tcPr>
            <w:tcW w:w="1796" w:type="dxa"/>
            <w:vAlign w:val="center"/>
          </w:tcPr>
          <w:p>
            <w:pPr>
              <w:pStyle w:val="Text"/>
              <w:jc w:val="center"/>
              <w:rPr>
                <w:color w:val="000000"/>
                <w:lang w:val="es-ES_tradnl"/>
                <w14:textFill>
                  <w14:solidFill>
                    <w14:srgbClr w14:val="000000"/>
                  </w14:solidFill>
                </w14:textFill>
              </w:rPr>
            </w:pPr>
            <w:r>
              <w:rPr>
                <w:color w:val="000000"/>
                <w:lang w:val="es-ES_tradnl"/>
                <w14:textFill>
                  <w14:solidFill>
                    <w14:srgbClr w14:val="000000"/>
                  </w14:solidFill>
                </w14:textFill>
              </w:rPr>
              <w:t xml:space="preserve">100 tramas (1 segundo)</w:t>
            </w:r>
          </w:p>
        </w:tc>
      </w:tr>
      <w:tr>
        <w:tc>
          <w:tcPr>
            <w:tcW w:w="2972" w:type="dxa"/>
            <w:vAlign w:val="center"/>
          </w:tcPr>
          <w:p>
            <w:pPr>
              <w:pStyle w:val="Text"/>
              <w:jc w:val="center"/>
              <w:rPr>
                <w:color w:val="000000"/>
                <w:lang w:val="es-ES_tradnl"/>
                <w14:textFill>
                  <w14:solidFill>
                    <w14:srgbClr w14:val="000000"/>
                  </w14:solidFill>
                </w14:textFill>
              </w:rPr>
            </w:pPr>
            <w:r>
              <w:rPr>
                <w:color w:val="000000"/>
                <w:lang w:val="es-ES_tradnl"/>
                <w14:textFill>
                  <w14:solidFill>
                    <w14:srgbClr w14:val="000000"/>
                  </w14:solidFill>
                </w14:textFill>
              </w:rPr>
              <w:t xml:space="preserve">Tráfico</w:t>
            </w:r>
          </w:p>
        </w:tc>
        <w:tc>
          <w:tcPr>
            <w:tcW w:w="1796" w:type="dxa"/>
            <w:vAlign w:val="center"/>
          </w:tcPr>
          <w:p>
            <w:pPr>
              <w:pStyle w:val="Text"/>
              <w:jc w:val="center"/>
              <w:rPr>
                <w:color w:val="000000"/>
                <w:lang w:val="es-ES_tradnl"/>
                <w14:textFill>
                  <w14:solidFill>
                    <w14:srgbClr w14:val="000000"/>
                  </w14:solidFill>
                </w14:textFill>
              </w:rPr>
            </w:pPr>
            <w:r>
              <w:rPr>
                <w:color w:val="000000"/>
                <w:lang w:val="es-ES_tradnl"/>
                <w14:textFill>
                  <w14:solidFill>
                    <w14:srgbClr w14:val="000000"/>
                  </w14:solidFill>
                </w14:textFill>
              </w:rPr>
              <w:t xml:space="preserve">Buffer infinito</w:t>
            </w:r>
          </w:p>
        </w:tc>
      </w:tr>
    </w:tbl>
    <w:p>
      <w:pPr>
        <w:pStyle w:val="Text"/>
        <w:rPr>
          <w:lang w:val="es-ES_tradnl"/>
          <w14:textFill>
            <w14:solidFill>
              <w14:srgbClr w14:val="000000"/>
            </w14:solidFill>
          </w14:textFill>
        </w:rPr>
      </w:pPr>
    </w:p>
    <w:p>
      <w:pPr>
        <w:pStyle w:val="Text"/>
        <w:rPr>
          <w:lang w:val="es-ES_tradnl"/>
          <w14:textFill>
            <w14:solidFill>
              <w14:srgbClr w14:val="000000"/>
            </w14:solidFill>
          </w14:textFill>
        </w:rPr>
      </w:pPr>
      <w:r>
        <w:rPr>
          <w:lang w:val="es-ES_tradnl"/>
          <w14:textFill>
            <w14:solidFill>
              <w14:srgbClr w14:val="000000"/>
            </w14:solidFill>
          </w14:textFill>
        </w:rPr>
        <w:t xml:space="preserve">La figura 2 muestra la tasa de transmisión de datos individual de los UE en función de su distancia a la gNB. Para el planificador RR, cada UE recibe el 2.5% de los RB disponibles, por lo que las diferencias en la tasa de transmisión de datos individual dependen principalmente de las condiciones del canal de cada usuario. Por su parte, BCQI asigna cada RB al UE con el SIR más alto, favoreciendo a los usuarios con mejores condiciones de canal. En el escenario evaluado, este comportamiento provoca que únicamente dos de los cuarenta UE reciban recursos, el usuario ubicado junto a la gNB recibe el 93.8 % de los RB disponibles y alcanza la tasa de transmisión de datos de 21.9 Mbps, mientras que el usuario situado a 25.6 metros obtiene el 1.4 Mbps restante, sumando una tasa de transmisión de datos agregada de 23.3 Mbps como se muestra en la Tabla 2. Los 38 UE restantes no reciben RB durante la simulación y, por tanto, presentan una tasa de transmisión de datos igual a cero, por lo que no aparecen en la gráfica.</w:t>
      </w:r>
    </w:p>
    <w:p>
      <w:pPr>
        <w:pStyle w:val="Text"/>
        <w:rPr>
          <w:lang w:val="es-ES_tradnl"/>
          <w14:textFill>
            <w14:solidFill>
              <w14:srgbClr w14:val="000000"/>
            </w14:solidFill>
          </w14:textFill>
        </w:rPr>
      </w:pPr>
      <w:r>
        <w:rPr>
          <w:lang w:val="es-ES_tradnl"/>
          <w14:textFill>
            <w14:solidFill>
              <w14:srgbClr w14:val="000000"/>
            </w14:solidFill>
          </w14:textFill>
        </w:rPr>
        <w:t xml:space="preserve">En contraste, BET busca igualar la tasa de transmisión de datos de todos los UE, independientemente de sus condiciones de canal. Para conseguirlo, asigna una mayor proporción de RB a los usuarios con peores condiciones de propagación, desde el 1.6 % para el usuario más cercano a la gNB hasta el 5.3 % para el usuario en el borde de la celda. Como consecuencia, los usuarios más cercanos reciben una proporción menor de recursos que los de RR y PF, aunque se logra una distribución prácticamente uniforme de la tasa de transmisión de datos.</w:t>
      </w:r>
    </w:p>
    <w:p>
      <w:pPr>
        <w:pStyle w:val="Text"/>
        <w:rPr>
          <w:lang w:val="es-ES_tradnl"/>
          <w14:textFill>
            <w14:solidFill>
              <w14:srgbClr w14:val="000000"/>
            </w14:solidFill>
          </w14:textFill>
        </w:rPr>
      </w:pPr>
      <w:r>
        <w:rPr>
          <w:lang w:val="es-ES_tradnl"/>
          <w14:textFill>
            <w14:solidFill>
              <w14:srgbClr w14:val="000000"/>
            </w14:solidFill>
          </w14:textFill>
        </w:rPr>
        <w:t xml:space="preserve">Finalmente, PF presenta una distribución de RB similar a la de RR, con proporciones que varían entre el 2.42 % y el 2.50 % por UE. Sin embargo, a diferencia de RR, la asignación considera tanto las condiciones instantáneas del canal como la tasa de transmisión de datos promedio recibido previamente por cada usuario. De esta manera, PF favorece la transmisión en condiciones de canal favorables, sin dejar de considerar a los usuarios que han recibido menos recursos.</w:t>
      </w:r>
    </w:p>
    <w:p>
      <w:pPr>
        <w:pStyle w:val="Text"/>
        <w:rPr>
          <w:lang w:val="es-ES_tradnl"/>
          <w14:textFill>
            <w14:solidFill>
              <w14:srgbClr w14:val="000000"/>
            </w14:solidFill>
          </w14:textFill>
        </w:rPr>
      </w:pPr>
      <w:r>
        <w:rPr>
          <w:lang w:val="es-ES_tradnl"/>
          <w14:textFill>
            <w14:solidFill>
              <w14:srgbClr w14:val="000000"/>
            </w14:solidFill>
          </w14:textFill>
        </w:rPr>
        <w:drawing>
          <wp:anchor distT="0" distB="0" distL="114300" distR="114300" simplePos="0" relativeHeight="251662336" behindDoc="0" locked="0" layoutInCell="1" allowOverlap="1">
            <wp:simplePos x="0" y="0"/>
            <wp:positionH relativeFrom="column">
              <wp:posOffset>183938</wp:posOffset>
            </wp:positionH>
            <wp:positionV relativeFrom="paragraph">
              <wp:posOffset>1990090</wp:posOffset>
            </wp:positionV>
            <wp:extent cx="2699385" cy="635"/>
            <wp:effectExtent l="0" t="0" r="5715" b="3810"/>
            <wp:wrapTopAndBottom/>
            <wp:docPr id="3" name="Shape 3" descr=""/>
            <wp:cNvGraphicFramePr/>
            <a:graphic>
              <a:graphicData uri="http://schemas.microsoft.com/office/word/2010/wordprocessingShape">
                <wps:wsp>
                  <wps:cNvSpPr txBox="1"/>
                  <wps:spPr>
                    <a:xfrm>
                      <a:off x="0" y="0"/>
                      <a:ext cx="2699385" cy="635"/>
                    </a:xfrm>
                    <a:prstGeom prst="rect">
                      <a:avLst/>
                    </a:prstGeom>
                    <a:solidFill>
                      <a:srgbClr val="FFFFFF"/>
                    </a:solidFill>
                    <a:ln>
                      <a:noFill/>
                    </a:ln>
                  </wps:spPr>
                  <wps:txbx>
                    <w:txbxContent>
                      <w:p>
                        <w:pPr>
                          <w:pStyle w:val="Caption"/>
                          <w:rPr>
                            <w:noProof/>
                            <w:sz w:val="20"/>
                          </w:rPr>
                        </w:pPr>
                        <w:r>
                          <w:t xml:space="preserve">Figura 2. T</w:t>
                        </w:r>
                        <w:r>
                          <w:rPr>
                            <w:lang w:val="es-ES_tradnl"/>
                          </w:rPr>
                          <w:t xml:space="preserve">asa de transmisión de datos individual de los UE en función de su distancia a la gNB.</w:t>
                        </w:r>
                      </w:p>
                    </w:txbxContent>
                  </wps:txbx>
                  <wps:bodyPr lIns="0" tIns="0" rIns="0" bIns="0">
                    <a:prstTxWarp prst="textNoShape">
                      <a:avLst/>
                    </a:prstTxWarp>
                    <a:spAutoFit/>
                  </wps:bodyPr>
                </wps:wsp>
              </a:graphicData>
            </a:graphic>
          </wp:anchor>
        </w:drawing>
      </w:r>
      <w:r>
        <w:rPr>
          <w:color w:val="000000"/>
          <w:lang w:val="es-ES_tradnl"/>
          <w14:textFill>
            <w14:solidFill>
              <w14:srgbClr w14:val="000000"/>
            </w14:solidFill>
          </w14:textFill>
        </w:rPr>
        <w:drawing>
          <wp:inline distT="0" distB="0" distL="0" distR="0">
            <wp:extent cx="2879999" cy="1915728"/>
            <wp:effectExtent l="0" t="0" r="0" b="0"/>
            <wp:docPr id="4" name="Picture 4" descr=""/>
            <wp:cNvGraphicFramePr/>
            <a:graphic>
              <a:graphicData uri="http://schemas.openxmlformats.org/drawingml/2006/picture">
                <pic:pic>
                  <pic:nvPicPr>
                    <pic:cNvPr id="0" name="image2.png" descr=""/>
                    <pic:cNvPicPr>
                      <a:picLocks noChangeAspect="1" noChangeArrowheads="1"/>
                    </pic:cNvPicPr>
                  </pic:nvPicPr>
                  <pic:blipFill>
                    <a:blip r:embed="rId2"/>
                    <a:stretch>
                      <a:fillRect/>
                    </a:stretch>
                  </pic:blipFill>
                  <pic:spPr bwMode="auto">
                    <a:xfrm>
                      <a:off x="0" y="0"/>
                      <a:ext cx="2879999" cy="1915728"/>
                    </a:xfrm>
                    <a:prstGeom prst="rect">
                      <a:avLst/>
                    </a:prstGeom>
                  </pic:spPr>
                </pic:pic>
              </a:graphicData>
            </a:graphic>
          </wp:inline>
        </w:drawing>
      </w:r>
    </w:p>
    <w:p>
      <w:pPr>
        <w:pStyle w:val="Text"/>
        <w:rPr>
          <w:lang w:val="es-ES_tradnl"/>
          <w14:textFill>
            <w14:solidFill>
              <w14:srgbClr w14:val="000000"/>
            </w14:solidFill>
          </w14:textFill>
        </w:rPr>
      </w:pPr>
      <w:r>
        <w:rPr>
          <w:lang w:val="es-ES_tradnl"/>
          <w14:textFill>
            <w14:solidFill>
              <w14:srgbClr w14:val="000000"/>
            </w14:solidFill>
          </w14:textFill>
        </w:rPr>
        <w:t xml:space="preserve">La Tabla 2 presenta una comparación del desempeño de los cuatro algoritmos de planificación de recursos de radio considerados. El planificador BCQI alcanza la mayor tasa de transmisión de datos agregado de la celda, de 23.3 Mbps, lo que equivale a una eficiencia espectral de 4.67 bits/s/Hz. Sin embargo, este resultado se obtiene a costa de una distribución altamente desigual de la tasa de transmisión de datos, como lo refleja su índice de equidad de Jain de 0.03. En contraste, BET alcanza la máxima equidad (1.00), pero presenta la menor tasa de transmisión de datos agregado, de 14.6 Mbps.</w:t>
      </w:r>
    </w:p>
    <w:p>
      <w:pPr>
        <w:pStyle w:val="Text"/>
        <w:rPr>
          <w:lang w:val="es-ES_tradnl"/>
          <w14:textFill>
            <w14:solidFill>
              <w14:srgbClr w14:val="000000"/>
            </w14:solidFill>
          </w14:textFill>
        </w:rPr>
      </w:pPr>
      <w:r>
        <w:rPr>
          <w:lang w:val="es-ES_tradnl"/>
          <w14:textFill>
            <w14:solidFill>
              <w14:srgbClr w14:val="000000"/>
            </w14:solidFill>
          </w14:textFill>
        </w:rPr>
        <w:t xml:space="preserve">Por su parte, PF obtiene el segundo la mayor tasa de transmisión de datos agregado, con 19.1 Mbps, lo que representa un incremento del 11 % respecto a RR, y alcanza un índice de equidad de 0.94, superior al de RR (0.89). En conjunto, estos resultados evidencian el compromiso entre la tasa de transmisión de datos y la equidad que caracteriza a las estrategias de planificación evaluadas. Mientras BCQI prioriza maximizar la tasa de transmisión de datos de la celda, dejando sin servicio a una proporción considerable de los UE, BET favorece una distribución equitativa de la tasa de transmisión de datos, aunque esto implica reducir la tasa de transmisión agregada y asignar una mayor proporción de RB a los usuarios con peores condiciones de canal. RR distribuye los RB de manera equitativa entre los usuarios, pero no considera las condiciones instantáneas del canal al realizar la asignación. Finalmente, PF ofrece el mejor equilibrio entre ambos criterios, al alcanzar una tasa de transmisión de datos agregado de 19.1 Mbps y una equidad de 0.94. Además, proporciona una tasa de transmisión de datos 45 % mayor que el de RR al UE ubicado en el borde de la celda.</w:t>
      </w:r>
    </w:p>
    <w:p>
      <w:pPr>
        <w:pStyle w:val="Caption"/>
        <w:keepNext/>
        <w:jc w:val="center"/>
        <w:rPr>
          <w:b/>
          <w:bCs/>
          <w:lang w:val="es-ES_tradnl"/>
          <w14:textFill>
            <w14:solidFill>
              <w14:srgbClr w14:val="000000"/>
            </w14:solidFill>
          </w14:textFill>
        </w:rPr>
      </w:pPr>
      <w:r>
        <w:rPr>
          <w:b/>
          <w:bCs/>
          <w:lang w:val="es-ES_tradnl"/>
          <w14:textFill>
            <w14:solidFill>
              <w14:srgbClr w14:val="000000"/>
            </w14:solidFill>
          </w14:textFill>
        </w:rPr>
        <w:t xml:space="preserve">Tabla 2. Comparación del desempeño y la equidad de los algoritmos de planificación de recursos de radio.</w:t>
      </w:r>
    </w:p>
    <w:tbl>
      <w:tblPr>
        <w:tblStyle w:val="TableGrid"/>
        <w:tblW w:w="0" w:type="auto"/>
        <w:tblLook w:val="04A0" w:firstRow="1" w:lastRow="0" w:firstColumn="1" w:lastColumn="0" w:noHBand="0" w:noVBand="1"/>
      </w:tblPr>
      <w:tblGrid>
        <w:gridCol w:w="1237"/>
        <w:gridCol w:w="1237"/>
        <w:gridCol w:w="1238"/>
        <w:gridCol w:w="1238"/>
      </w:tblGrid>
      <w:tr>
        <w:tc>
          <w:tcPr>
            <w:tcW w:w="1237" w:type="dxa"/>
            <w:vAlign w:val="center"/>
          </w:tcPr>
          <w:p>
            <w:pPr>
              <w:pStyle w:val="Text"/>
              <w:jc w:val="center"/>
              <w:rPr>
                <w:lang w:val="es-ES_tradnl"/>
                <w14:textFill>
                  <w14:solidFill>
                    <w14:srgbClr w14:val="000000"/>
                  </w14:solidFill>
                </w14:textFill>
              </w:rPr>
            </w:pPr>
            <w:r>
              <w:rPr>
                <w:lang w:val="es-ES_tradnl"/>
                <w14:textFill>
                  <w14:solidFill>
                    <w14:srgbClr w14:val="000000"/>
                  </w14:solidFill>
                </w14:textFill>
              </w:rPr>
              <w:t xml:space="preserve">Planificador de recursos</w:t>
            </w:r>
          </w:p>
        </w:tc>
        <w:tc>
          <w:tcPr>
            <w:tcW w:w="1237" w:type="dxa"/>
            <w:vAlign w:val="center"/>
          </w:tcPr>
          <w:p>
            <w:pPr>
              <w:pStyle w:val="Text"/>
              <w:spacing w:after="0"/>
              <w:jc w:val="center"/>
              <w:rPr>
                <w:lang w:val="es-ES_tradnl"/>
                <w14:textFill>
                  <w14:solidFill>
                    <w14:srgbClr w14:val="000000"/>
                  </w14:solidFill>
                </w14:textFill>
              </w:rPr>
            </w:pPr>
            <w:r>
              <w:rPr>
                <w:lang w:val="es-ES_tradnl"/>
                <w14:textFill>
                  <w14:solidFill>
                    <w14:srgbClr w14:val="000000"/>
                  </w14:solidFill>
                </w14:textFill>
              </w:rPr>
              <w:t xml:space="preserve">Tasa de transmisión de datos agregado</w:t>
            </w:r>
          </w:p>
          <w:p>
            <w:pPr>
              <w:pStyle w:val="Text"/>
              <w:spacing w:after="0"/>
              <w:jc w:val="center"/>
              <w:rPr>
                <w:lang w:val="es-ES_tradnl"/>
                <w14:textFill>
                  <w14:solidFill>
                    <w14:srgbClr w14:val="000000"/>
                  </w14:solidFill>
                </w14:textFill>
              </w:rPr>
            </w:pPr>
            <w:r>
              <w:rPr>
                <w:lang w:val="es-ES_tradnl"/>
                <w14:textFill>
                  <w14:solidFill>
                    <w14:srgbClr w14:val="000000"/>
                  </w14:solidFill>
                </w14:textFill>
              </w:rPr>
              <w:t xml:space="preserve">(Mbps)</w:t>
            </w:r>
          </w:p>
        </w:tc>
        <w:tc>
          <w:tcPr>
            <w:tcW w:w="1238" w:type="dxa"/>
            <w:vAlign w:val="center"/>
          </w:tcPr>
          <w:p>
            <w:pPr>
              <w:pStyle w:val="Text"/>
              <w:jc w:val="center"/>
              <w:rPr>
                <w:lang w:val="es-ES_tradnl"/>
                <w14:textFill>
                  <w14:solidFill>
                    <w14:srgbClr w14:val="000000"/>
                  </w14:solidFill>
                </w14:textFill>
              </w:rPr>
            </w:pPr>
            <w:r>
              <w:rPr>
                <w:color w:val="000000"/>
                <w:lang w:val="es-ES_tradnl"/>
                <w14:textFill>
                  <w14:solidFill>
                    <w14:srgbClr w14:val="000000"/>
                  </w14:solidFill>
                </w14:textFill>
              </w:rPr>
              <w:t xml:space="preserve">Eficiencia espectral (bps/Hz)</w:t>
            </w:r>
          </w:p>
        </w:tc>
        <w:tc>
          <w:tcPr>
            <w:tcW w:w="1238" w:type="dxa"/>
            <w:vAlign w:val="center"/>
          </w:tcPr>
          <w:p>
            <w:pPr>
              <w:pStyle w:val="Text"/>
              <w:spacing w:after="0"/>
              <w:jc w:val="center"/>
              <w:rPr>
                <w:lang w:val="es-ES_tradnl"/>
                <w14:textFill>
                  <w14:solidFill>
                    <w14:srgbClr w14:val="000000"/>
                  </w14:solidFill>
                </w14:textFill>
              </w:rPr>
            </w:pPr>
            <w:r>
              <w:rPr>
                <w:lang w:val="es-ES_tradnl"/>
                <w14:textFill>
                  <w14:solidFill>
                    <w14:srgbClr w14:val="000000"/>
                  </w14:solidFill>
                </w14:textFill>
              </w:rPr>
              <w:t xml:space="preserve">Equidad</w:t>
            </w:r>
          </w:p>
          <w:p>
            <w:pPr>
              <w:pStyle w:val="Text"/>
              <w:spacing w:after="0"/>
              <w:jc w:val="center"/>
              <w:rPr>
                <w:lang w:val="es-ES_tradnl"/>
                <w14:textFill>
                  <w14:solidFill>
                    <w14:srgbClr w14:val="000000"/>
                  </w14:solidFill>
                </w14:textFill>
              </w:rPr>
            </w:pPr>
            <m:oMathPara>
              <m:oMath>
                <m:r>
                  <w:rPr>
                    <w:rFonts w:ascii="Cambria Math" w:hAnsi="Cambria Math"/>
                    <w:lang w:val="es-ES_tradnl"/>
                  </w:rPr>
                  <m:t>(J)</m:t>
                </m:r>
              </m:oMath>
            </m:oMathPara>
          </w:p>
        </w:tc>
      </w:tr>
      <w:tr>
        <w:tc>
          <w:tcPr>
            <w:tcW w:w="1237" w:type="dxa"/>
          </w:tcPr>
          <w:p>
            <w:pPr>
              <w:pStyle w:val="Text"/>
              <w:jc w:val="center"/>
              <w:rPr>
                <w:lang w:val="es-ES_tradnl"/>
                <w14:textFill>
                  <w14:solidFill>
                    <w14:srgbClr w14:val="000000"/>
                  </w14:solidFill>
                </w14:textFill>
              </w:rPr>
            </w:pPr>
            <w:r>
              <w:rPr>
                <w:color w:val="000000"/>
                <w:lang w:val="es-ES_tradnl"/>
                <w14:textFill>
                  <w14:solidFill>
                    <w14:srgbClr w14:val="000000"/>
                  </w14:solidFill>
                </w14:textFill>
              </w:rPr>
              <w:t xml:space="preserve">RR</w:t>
            </w:r>
          </w:p>
        </w:tc>
        <w:tc>
          <w:tcPr>
            <w:tcW w:w="1237" w:type="dxa"/>
          </w:tcPr>
          <w:p>
            <w:pPr>
              <w:pStyle w:val="Text"/>
              <w:jc w:val="center"/>
              <w:rPr>
                <w:lang w:val="es-ES_tradnl"/>
                <w14:textFill>
                  <w14:solidFill>
                    <w14:srgbClr w14:val="000000"/>
                  </w14:solidFill>
                </w14:textFill>
              </w:rPr>
            </w:pPr>
            <w:r>
              <w:rPr>
                <w:color w:val="000000"/>
                <w:lang w:val="es-ES_tradnl"/>
                <w14:textFill>
                  <w14:solidFill>
                    <w14:srgbClr w14:val="000000"/>
                  </w14:solidFill>
                </w14:textFill>
              </w:rPr>
              <w:t xml:space="preserve">17.2</w:t>
            </w:r>
          </w:p>
        </w:tc>
        <w:tc>
          <w:tcPr>
            <w:tcW w:w="1238" w:type="dxa"/>
          </w:tcPr>
          <w:p>
            <w:pPr>
              <w:pStyle w:val="Text"/>
              <w:jc w:val="center"/>
              <w:rPr>
                <w:lang w:val="es-ES_tradnl"/>
                <w14:textFill>
                  <w14:solidFill>
                    <w14:srgbClr w14:val="000000"/>
                  </w14:solidFill>
                </w14:textFill>
              </w:rPr>
            </w:pPr>
            <w:r>
              <w:rPr>
                <w:color w:val="000000"/>
                <w:lang w:val="es-ES_tradnl"/>
                <w14:textFill>
                  <w14:solidFill>
                    <w14:srgbClr w14:val="000000"/>
                  </w14:solidFill>
                </w14:textFill>
              </w:rPr>
              <w:t xml:space="preserve">3.44</w:t>
            </w:r>
          </w:p>
        </w:tc>
        <w:tc>
          <w:tcPr>
            <w:tcW w:w="1238" w:type="dxa"/>
          </w:tcPr>
          <w:p>
            <w:pPr>
              <w:pStyle w:val="Text"/>
              <w:jc w:val="center"/>
              <w:rPr>
                <w:lang w:val="es-ES_tradnl"/>
                <w14:textFill>
                  <w14:solidFill>
                    <w14:srgbClr w14:val="000000"/>
                  </w14:solidFill>
                </w14:textFill>
              </w:rPr>
            </w:pPr>
            <w:r>
              <w:rPr>
                <w:color w:val="000000"/>
                <w:lang w:val="es-ES_tradnl"/>
                <w14:textFill>
                  <w14:solidFill>
                    <w14:srgbClr w14:val="000000"/>
                  </w14:solidFill>
                </w14:textFill>
              </w:rPr>
              <w:t xml:space="preserve">0.89</w:t>
            </w:r>
          </w:p>
        </w:tc>
      </w:tr>
      <w:tr>
        <w:tc>
          <w:tcPr>
            <w:tcW w:w="1237" w:type="dxa"/>
          </w:tcPr>
          <w:p>
            <w:pPr>
              <w:pStyle w:val="Text"/>
              <w:jc w:val="center"/>
              <w:rPr>
                <w:lang w:val="es-ES_tradnl"/>
                <w14:textFill>
                  <w14:solidFill>
                    <w14:srgbClr w14:val="000000"/>
                  </w14:solidFill>
                </w14:textFill>
              </w:rPr>
            </w:pPr>
            <w:r>
              <w:rPr>
                <w:color w:val="000000"/>
                <w:lang w:val="es-ES_tradnl"/>
                <w14:textFill>
                  <w14:solidFill>
                    <w14:srgbClr w14:val="000000"/>
                  </w14:solidFill>
                </w14:textFill>
              </w:rPr>
              <w:t xml:space="preserve">BCQI</w:t>
            </w:r>
          </w:p>
        </w:tc>
        <w:tc>
          <w:tcPr>
            <w:tcW w:w="1237" w:type="dxa"/>
          </w:tcPr>
          <w:p>
            <w:pPr>
              <w:pStyle w:val="Text"/>
              <w:jc w:val="center"/>
              <w:rPr>
                <w:lang w:val="es-ES_tradnl"/>
                <w14:textFill>
                  <w14:solidFill>
                    <w14:srgbClr w14:val="000000"/>
                  </w14:solidFill>
                </w14:textFill>
              </w:rPr>
            </w:pPr>
            <w:r>
              <w:rPr>
                <w:color w:val="000000"/>
                <w:lang w:val="es-ES_tradnl"/>
                <w14:textFill>
                  <w14:solidFill>
                    <w14:srgbClr w14:val="000000"/>
                  </w14:solidFill>
                </w14:textFill>
              </w:rPr>
              <w:t xml:space="preserve">23.3</w:t>
            </w:r>
          </w:p>
        </w:tc>
        <w:tc>
          <w:tcPr>
            <w:tcW w:w="1238" w:type="dxa"/>
          </w:tcPr>
          <w:p>
            <w:pPr>
              <w:pStyle w:val="Text"/>
              <w:jc w:val="center"/>
              <w:rPr>
                <w:lang w:val="es-ES_tradnl"/>
                <w14:textFill>
                  <w14:solidFill>
                    <w14:srgbClr w14:val="000000"/>
                  </w14:solidFill>
                </w14:textFill>
              </w:rPr>
            </w:pPr>
            <w:r>
              <w:rPr>
                <w:color w:val="000000"/>
                <w:lang w:val="es-ES_tradnl"/>
                <w14:textFill>
                  <w14:solidFill>
                    <w14:srgbClr w14:val="000000"/>
                  </w14:solidFill>
                </w14:textFill>
              </w:rPr>
              <w:t xml:space="preserve">4.67</w:t>
            </w:r>
          </w:p>
        </w:tc>
        <w:tc>
          <w:tcPr>
            <w:tcW w:w="1238" w:type="dxa"/>
          </w:tcPr>
          <w:p>
            <w:pPr>
              <w:pStyle w:val="Text"/>
              <w:jc w:val="center"/>
              <w:rPr>
                <w:lang w:val="es-ES_tradnl"/>
                <w14:textFill>
                  <w14:solidFill>
                    <w14:srgbClr w14:val="000000"/>
                  </w14:solidFill>
                </w14:textFill>
              </w:rPr>
            </w:pPr>
            <w:r>
              <w:rPr>
                <w:color w:val="000000"/>
                <w:lang w:val="es-ES_tradnl"/>
                <w14:textFill>
                  <w14:solidFill>
                    <w14:srgbClr w14:val="000000"/>
                  </w14:solidFill>
                </w14:textFill>
              </w:rPr>
              <w:t xml:space="preserve">0.03</w:t>
            </w:r>
          </w:p>
        </w:tc>
      </w:tr>
      <w:tr>
        <w:tc>
          <w:tcPr>
            <w:tcW w:w="1237" w:type="dxa"/>
          </w:tcPr>
          <w:p>
            <w:pPr>
              <w:pStyle w:val="Text"/>
              <w:jc w:val="center"/>
              <w:rPr>
                <w:color w:val="000000"/>
                <w:lang w:val="es-ES_tradnl"/>
                <w14:textFill>
                  <w14:solidFill>
                    <w14:srgbClr w14:val="000000"/>
                  </w14:solidFill>
                </w14:textFill>
              </w:rPr>
            </w:pPr>
            <w:r>
              <w:rPr>
                <w:color w:val="000000"/>
                <w:lang w:val="es-ES_tradnl"/>
                <w14:textFill>
                  <w14:solidFill>
                    <w14:srgbClr w14:val="000000"/>
                  </w14:solidFill>
                </w14:textFill>
              </w:rPr>
              <w:t xml:space="preserve">BET</w:t>
            </w:r>
          </w:p>
        </w:tc>
        <w:tc>
          <w:tcPr>
            <w:tcW w:w="1237" w:type="dxa"/>
          </w:tcPr>
          <w:p>
            <w:pPr>
              <w:pStyle w:val="Text"/>
              <w:jc w:val="center"/>
              <w:rPr>
                <w:color w:val="000000"/>
                <w:lang w:val="es-ES_tradnl"/>
                <w14:textFill>
                  <w14:solidFill>
                    <w14:srgbClr w14:val="000000"/>
                  </w14:solidFill>
                </w14:textFill>
              </w:rPr>
            </w:pPr>
            <w:r>
              <w:rPr>
                <w:color w:val="000000"/>
                <w:lang w:val="es-ES_tradnl"/>
                <w14:textFill>
                  <w14:solidFill>
                    <w14:srgbClr w14:val="000000"/>
                  </w14:solidFill>
                </w14:textFill>
              </w:rPr>
              <w:t xml:space="preserve">14.6</w:t>
            </w:r>
          </w:p>
        </w:tc>
        <w:tc>
          <w:tcPr>
            <w:tcW w:w="1238" w:type="dxa"/>
          </w:tcPr>
          <w:p>
            <w:pPr>
              <w:pStyle w:val="Text"/>
              <w:jc w:val="center"/>
              <w:rPr>
                <w:color w:val="000000"/>
                <w:lang w:val="es-ES_tradnl"/>
                <w14:textFill>
                  <w14:solidFill>
                    <w14:srgbClr w14:val="000000"/>
                  </w14:solidFill>
                </w14:textFill>
              </w:rPr>
            </w:pPr>
            <w:r>
              <w:rPr>
                <w:color w:val="000000"/>
                <w:lang w:val="es-ES_tradnl"/>
                <w14:textFill>
                  <w14:solidFill>
                    <w14:srgbClr w14:val="000000"/>
                  </w14:solidFill>
                </w14:textFill>
              </w:rPr>
              <w:t xml:space="preserve">2.93</w:t>
            </w:r>
          </w:p>
        </w:tc>
        <w:tc>
          <w:tcPr>
            <w:tcW w:w="1238" w:type="dxa"/>
          </w:tcPr>
          <w:p>
            <w:pPr>
              <w:pStyle w:val="Text"/>
              <w:jc w:val="center"/>
              <w:rPr>
                <w:color w:val="000000"/>
                <w:lang w:val="es-ES_tradnl"/>
                <w14:textFill>
                  <w14:solidFill>
                    <w14:srgbClr w14:val="000000"/>
                  </w14:solidFill>
                </w14:textFill>
              </w:rPr>
            </w:pPr>
            <w:r>
              <w:rPr>
                <w:color w:val="000000"/>
                <w:lang w:val="es-ES_tradnl"/>
                <w14:textFill>
                  <w14:solidFill>
                    <w14:srgbClr w14:val="000000"/>
                  </w14:solidFill>
                </w14:textFill>
              </w:rPr>
              <w:t xml:space="preserve">1.00</w:t>
            </w:r>
          </w:p>
        </w:tc>
      </w:tr>
      <w:tr>
        <w:tc>
          <w:tcPr>
            <w:tcW w:w="1237" w:type="dxa"/>
          </w:tcPr>
          <w:p>
            <w:pPr>
              <w:pStyle w:val="Text"/>
              <w:jc w:val="center"/>
              <w:rPr>
                <w:color w:val="000000"/>
                <w:lang w:val="es-ES_tradnl"/>
                <w14:textFill>
                  <w14:solidFill>
                    <w14:srgbClr w14:val="000000"/>
                  </w14:solidFill>
                </w14:textFill>
              </w:rPr>
            </w:pPr>
            <w:r>
              <w:rPr>
                <w:color w:val="000000"/>
                <w:lang w:val="es-ES_tradnl"/>
                <w14:textFill>
                  <w14:solidFill>
                    <w14:srgbClr w14:val="000000"/>
                  </w14:solidFill>
                </w14:textFill>
              </w:rPr>
              <w:t xml:space="preserve">PF</w:t>
            </w:r>
          </w:p>
        </w:tc>
        <w:tc>
          <w:tcPr>
            <w:tcW w:w="1237" w:type="dxa"/>
          </w:tcPr>
          <w:p>
            <w:pPr>
              <w:pStyle w:val="Text"/>
              <w:jc w:val="center"/>
              <w:rPr>
                <w:color w:val="000000"/>
                <w:lang w:val="es-ES_tradnl"/>
                <w14:textFill>
                  <w14:solidFill>
                    <w14:srgbClr w14:val="000000"/>
                  </w14:solidFill>
                </w14:textFill>
              </w:rPr>
            </w:pPr>
            <w:r>
              <w:rPr>
                <w:color w:val="000000"/>
                <w:lang w:val="es-ES_tradnl"/>
                <w14:textFill>
                  <w14:solidFill>
                    <w14:srgbClr w14:val="000000"/>
                  </w14:solidFill>
                </w14:textFill>
              </w:rPr>
              <w:t xml:space="preserve">19.1</w:t>
            </w:r>
          </w:p>
        </w:tc>
        <w:tc>
          <w:tcPr>
            <w:tcW w:w="1238" w:type="dxa"/>
          </w:tcPr>
          <w:p>
            <w:pPr>
              <w:pStyle w:val="Text"/>
              <w:jc w:val="center"/>
              <w:rPr>
                <w:color w:val="000000"/>
                <w:lang w:val="es-ES_tradnl"/>
                <w14:textFill>
                  <w14:solidFill>
                    <w14:srgbClr w14:val="000000"/>
                  </w14:solidFill>
                </w14:textFill>
              </w:rPr>
            </w:pPr>
            <w:r>
              <w:rPr>
                <w:color w:val="000000"/>
                <w:lang w:val="es-ES_tradnl"/>
                <w14:textFill>
                  <w14:solidFill>
                    <w14:srgbClr w14:val="000000"/>
                  </w14:solidFill>
                </w14:textFill>
              </w:rPr>
              <w:t xml:space="preserve">3.83</w:t>
            </w:r>
          </w:p>
        </w:tc>
        <w:tc>
          <w:tcPr>
            <w:tcW w:w="1238" w:type="dxa"/>
          </w:tcPr>
          <w:p>
            <w:pPr>
              <w:pStyle w:val="Text"/>
              <w:jc w:val="center"/>
              <w:rPr>
                <w:color w:val="000000"/>
                <w:lang w:val="es-ES_tradnl"/>
                <w14:textFill>
                  <w14:solidFill>
                    <w14:srgbClr w14:val="000000"/>
                  </w14:solidFill>
                </w14:textFill>
              </w:rPr>
            </w:pPr>
            <w:r>
              <w:rPr>
                <w:color w:val="000000"/>
                <w:lang w:val="es-ES_tradnl"/>
                <w14:textFill>
                  <w14:solidFill>
                    <w14:srgbClr w14:val="000000"/>
                  </w14:solidFill>
                </w14:textFill>
              </w:rPr>
              <w:t xml:space="preserve">0.94</w:t>
            </w:r>
          </w:p>
        </w:tc>
      </w:tr>
    </w:tbl>
    <w:p>
      <w:pPr>
        <w:pStyle w:val="Text"/>
        <w:rPr>
          <w:lang w:val="es-ES_tradnl"/>
          <w14:textFill>
            <w14:solidFill>
              <w14:srgbClr w14:val="000000"/>
            </w14:solidFill>
          </w14:textFill>
        </w:rPr>
      </w:pPr>
    </w:p>
    <w:p>
      <w:pPr>
        <w:pStyle w:val="Heading1"/>
        <w:rPr>
          <w14:textFill>
            <w14:solidFill>
              <w14:srgbClr w14:val="000000"/>
            </w14:solidFill>
          </w14:textFill>
        </w:rPr>
      </w:pPr>
      <w:r>
        <w:rPr>
          <w14:textFill>
            <w14:solidFill>
              <w14:srgbClr w14:val="000000"/>
            </w14:solidFill>
          </w14:textFill>
        </w:rPr>
        <w:t xml:space="preserve">6. CONCLUSIONES</w:t>
      </w:r>
    </w:p>
    <w:p>
      <w:pPr>
        <w:pStyle w:val="Text"/>
        <w:rPr>
          <w:lang w:val="es-ES_tradnl"/>
          <w14:textFill>
            <w14:solidFill>
              <w14:srgbClr w14:val="000000"/>
            </w14:solidFill>
          </w14:textFill>
        </w:rPr>
      </w:pPr>
      <w:r>
        <w:rPr>
          <w:lang w:val="es-ES_tradnl"/>
          <w14:textFill>
            <w14:solidFill>
              <w14:srgbClr w14:val="000000"/>
            </w14:solidFill>
          </w14:textFill>
        </w:rPr>
        <w:t xml:space="preserve">En este trabajo se evaluó el desempeño de cuatro algoritmos de planificación de recursos de radio (RR, BCQI, BET y PF) para un sistema de comunicaciones móvil LTE-Advanced, considerando la tasa de transmisión agregada, la eficiencia espectral y la equidad entre los usuarios. Los resultados permiten identificar las diferencias entre los criterios de asignación y evidencian el compromiso de maximizar la capacidad de la celda y de proporcionar un servicio equitativo a los usuarios. El algoritmo BCQI obtuvo la mayor tasa de transmisión de datos agregado. Sin embargo, su índice de equidad de 0.03 evidencia una distribución extremadamente desigual de los recursos. Por otro lado, el planificador BET garantiza equidad, pero reduce la tasa de transmisión agregada. Este resultado muestra que garantizar una distribución equitativa de la tasa de transmisión de datos puede implicar una reducción del aprovechamiento de los recursos de radio. RR distribuyó una proporción similar de bloques de recursos entre los usuarios, pero las diferencias en las condiciones del canal produjeron variaciones significativas en la tasa de transmisión de datos individual. PF, en cambio, superó a RR en todas las métricas. En particular, PF evidencia su capacidad para mejorar el servicio a los usuarios en condiciones de canal desfavorables sin sacrificar significativamente la tasa de transmisión de datos agregado. En el escenario evaluado, PF presentó el compromiso más favorable entre la tasa de transmisión de datos y equidad, mientras que BCQI y BET representaron los extremos en ambos criterios de desempeño. Estos resultados confirman la importancia de considerar conjuntamente la eficiencia espectral y la equidad al seleccionar un algoritmo de planificación de recursos de radio, ya que la maximización de la tasa de transmisión de datos de la red no garantiza por sí sola una distribución equitativa del servicio entre sus usuarios. Como trabajo futuro, se plantea ampliar la evaluación a diferentes configuraciones de red, incluyendo variaciones en el número de usuarios, el ancho de banda, la carga de tráfico y las condiciones de propagación, así como analizar el comportamiento de los algoritmos en escenarios de movilidad. Esto permitirá determinar en qué medida las ventajas observadas se mantienen bajo distintas condiciones de operación.</w:t>
      </w:r>
    </w:p>
    <w:p>
      <w:pPr>
        <w:pStyle w:val="Heading1"/>
        <w:rPr>
          <w14:textFill>
            <w14:solidFill>
              <w14:srgbClr w14:val="000000"/>
            </w14:solidFill>
          </w14:textFill>
        </w:rPr>
      </w:pPr>
      <w:r>
        <w:rPr>
          <w14:textFill>
            <w14:solidFill>
              <w14:srgbClr w14:val="000000"/>
            </w14:solidFill>
          </w14:textFill>
        </w:rPr>
        <w:t xml:space="preserve">REFERENCIAS</w:t>
      </w:r>
    </w:p>
    <w:p>
      <w:pPr>
        <w:pStyle w:val="Bibliografa1"/>
        <w:rPr>
          <w:lang w:val="es-ES_tradnl"/>
          <w14:textFill>
            <w14:solidFill>
              <w14:srgbClr w14:val="000000"/>
            </w14:solidFill>
          </w14:textFill>
        </w:rPr>
      </w:pPr>
      <w:r>
        <w:rPr>
          <w:lang w:val="es-ES_tradnl"/>
        </w:rPr>
        <w:t xml:space="preserve">[1]</w:t>
      </w:r>
      <w:r>
        <w:rPr>
          <w:lang w:val="es-ES_tradnl"/>
        </w:rPr>
        <w:tab/>
      </w:r>
      <w:r>
        <w:rPr>
          <w:lang w:val="es-ES_tradnl"/>
        </w:rPr>
        <w:t xml:space="preserve">C. De Alwis </w:t>
      </w:r>
      <w:r>
        <w:rPr>
          <w:i/>
          <w:iCs/>
          <w:lang w:val="es-ES_tradnl"/>
        </w:rPr>
        <w:t xml:space="preserve">et al.</w:t>
      </w:r>
      <w:r>
        <w:rPr>
          <w:lang w:val="es-ES_tradnl"/>
        </w:rPr>
        <w:t xml:space="preserve">, “Survey on 6G frontiers: Trends, applications, requirements, technologies and future research,” </w:t>
      </w:r>
      <w:r>
        <w:rPr>
          <w:i/>
          <w:iCs/>
          <w:lang w:val="es-ES_tradnl"/>
        </w:rPr>
        <w:t xml:space="preserve">IEEE Open J. Commun. Soc.</w:t>
      </w:r>
      <w:r>
        <w:rPr>
          <w:lang w:val="es-ES_tradnl"/>
        </w:rPr>
        <w:t xml:space="preserve">, vol. 2, pp. 836–886, 2021.</w:t>
      </w:r>
    </w:p>
    <w:p>
      <w:pPr>
        <w:pStyle w:val="Bibliografa1"/>
        <w:rPr>
          <w:lang w:val="es-ES_tradnl"/>
          <w14:textFill>
            <w14:solidFill>
              <w14:srgbClr w14:val="000000"/>
            </w14:solidFill>
          </w14:textFill>
        </w:rPr>
      </w:pPr>
      <w:r>
        <w:rPr>
          <w:lang w:val="es-ES_tradnl"/>
        </w:rPr>
        <w:t xml:space="preserve">[2]</w:t>
      </w:r>
      <w:r>
        <w:rPr>
          <w:lang w:val="es-ES_tradnl"/>
        </w:rPr>
        <w:tab/>
      </w:r>
      <w:r>
        <w:rPr>
          <w:lang w:val="es-ES_tradnl"/>
        </w:rPr>
        <w:t xml:space="preserve">Nidhi, A. Mihovska y R. Prasad, “Spectrum sharing and dynamic spectrum management techniques in 5G and beyond networks: A survey,” </w:t>
      </w:r>
      <w:r>
        <w:rPr>
          <w:i/>
          <w:iCs/>
          <w:lang w:val="es-ES_tradnl"/>
        </w:rPr>
        <w:t xml:space="preserve">J. Mobile Multimedia</w:t>
      </w:r>
      <w:r>
        <w:rPr>
          <w:lang w:val="es-ES_tradnl"/>
        </w:rPr>
        <w:t xml:space="preserve">, vol. 17, núm. 1–3, pp. 65–78, 2021.</w:t>
      </w:r>
    </w:p>
    <w:p>
      <w:pPr>
        <w:pStyle w:val="Bibliografa1"/>
        <w:rPr>
          <w:lang w:val="es-ES_tradnl"/>
          <w14:textFill>
            <w14:solidFill>
              <w14:srgbClr w14:val="000000"/>
            </w14:solidFill>
          </w14:textFill>
        </w:rPr>
      </w:pPr>
      <w:r>
        <w:rPr>
          <w:lang w:val="es-ES_tradnl"/>
        </w:rPr>
        <w:t xml:space="preserve">[3]</w:t>
      </w:r>
      <w:r>
        <w:rPr>
          <w:lang w:val="es-ES_tradnl"/>
        </w:rPr>
        <w:tab/>
      </w:r>
      <w:r>
        <w:rPr>
          <w:lang w:val="es-ES_tradnl"/>
        </w:rPr>
        <w:t xml:space="preserve">A. Mamane, M. El Ghazi, G. R. Barb y M. Otesteanu, “5G heterogeneous networks: An overview on radio resource management scheduling schemes,” en </w:t>
      </w:r>
      <w:r>
        <w:rPr>
          <w:i/>
          <w:iCs/>
          <w:lang w:val="es-ES_tradnl"/>
        </w:rPr>
        <w:t xml:space="preserve">Proc. 7th Mediterranean Congr. Telecommun. (CMT)</w:t>
      </w:r>
      <w:r>
        <w:rPr>
          <w:lang w:val="es-ES_tradnl"/>
        </w:rPr>
        <w:t xml:space="preserve">, Fez, Marruecos, 2019.</w:t>
      </w:r>
    </w:p>
    <w:p>
      <w:pPr>
        <w:pStyle w:val="Bibliografa1"/>
        <w:rPr>
          <w:lang w:val="es-ES_tradnl"/>
          <w14:textFill>
            <w14:solidFill>
              <w14:srgbClr w14:val="000000"/>
            </w14:solidFill>
          </w14:textFill>
        </w:rPr>
      </w:pPr>
      <w:r>
        <w:rPr>
          <w:lang w:val="es-ES_tradnl"/>
        </w:rPr>
        <w:t xml:space="preserve">[4]</w:t>
      </w:r>
      <w:r>
        <w:rPr>
          <w:lang w:val="es-ES_tradnl"/>
        </w:rPr>
        <w:tab/>
      </w:r>
      <w:r>
        <w:rPr>
          <w:lang w:val="es-ES_tradnl"/>
        </w:rPr>
        <w:t xml:space="preserve">A. Mamane, M. Fattah, M. El Ghazi, M. El Bekkali, Y. Balboul y S. Mazer, “Scheduling algorithms for 5G networks and beyond: Classification and survey,” </w:t>
      </w:r>
      <w:r>
        <w:rPr>
          <w:i/>
          <w:iCs/>
          <w:lang w:val="es-ES_tradnl"/>
        </w:rPr>
        <w:t xml:space="preserve">IEEE Access</w:t>
      </w:r>
      <w:r>
        <w:rPr>
          <w:lang w:val="es-ES_tradnl"/>
        </w:rPr>
        <w:t xml:space="preserve">, vol. 10, pp. 51643–51661, 2022.</w:t>
      </w:r>
    </w:p>
    <w:p>
      <w:pPr>
        <w:pStyle w:val="Bibliografa1"/>
        <w:rPr>
          <w:lang w:val="es-ES_tradnl"/>
          <w14:textFill>
            <w14:solidFill>
              <w14:srgbClr w14:val="000000"/>
            </w14:solidFill>
          </w14:textFill>
        </w:rPr>
      </w:pPr>
      <w:r>
        <w:rPr>
          <w:lang w:val="es-ES_tradnl"/>
        </w:rPr>
        <w:t xml:space="preserve">[5]</w:t>
      </w:r>
      <w:r>
        <w:rPr>
          <w:lang w:val="es-ES_tradnl"/>
        </w:rPr>
        <w:tab/>
      </w:r>
      <w:r>
        <w:rPr>
          <w:lang w:val="es-ES_tradnl"/>
        </w:rPr>
        <w:t xml:space="preserve">F. Capozzi, G. Piro, L. A. Grieco, G. Boggia y P. Camarda, “Downlink packet scheduling in LTE cellular networks: Key design issues and a survey,” </w:t>
      </w:r>
      <w:r>
        <w:rPr>
          <w:i/>
          <w:iCs/>
          <w:lang w:val="es-ES_tradnl"/>
        </w:rPr>
        <w:t xml:space="preserve">IEEE Commun. Surveys Tuts.</w:t>
      </w:r>
      <w:r>
        <w:rPr>
          <w:lang w:val="es-ES_tradnl"/>
        </w:rPr>
        <w:t xml:space="preserve">, vol. 15, núm. 2, pp. 678–700, 2.º trim. 2013.</w:t>
      </w:r>
    </w:p>
    <w:p>
      <w:pPr>
        <w:pStyle w:val="Bibliografa1"/>
        <w:rPr>
          <w:lang w:val="es-ES_tradnl"/>
          <w14:textFill>
            <w14:solidFill>
              <w14:srgbClr w14:val="000000"/>
            </w14:solidFill>
          </w14:textFill>
        </w:rPr>
      </w:pPr>
      <w:r>
        <w:rPr>
          <w:lang w:val="es-ES_tradnl"/>
        </w:rPr>
        <w:t xml:space="preserve">[6]</w:t>
      </w:r>
      <w:r>
        <w:rPr>
          <w:lang w:val="es-ES_tradnl"/>
        </w:rPr>
        <w:tab/>
      </w:r>
      <w:r>
        <w:rPr>
          <w:lang w:val="es-ES_tradnl"/>
        </w:rPr>
        <w:t xml:space="preserve">H. Shi, R. V. Prasad, E. Onur y I. G. M. M. Niemegeers, “Fairness in wireless networks: Issues, measures and challenges,” </w:t>
      </w:r>
      <w:r>
        <w:rPr>
          <w:i/>
          <w:iCs/>
          <w:lang w:val="es-ES_tradnl"/>
        </w:rPr>
        <w:t xml:space="preserve">IEEE Commun. Surveys Tuts.</w:t>
      </w:r>
      <w:r>
        <w:rPr>
          <w:lang w:val="es-ES_tradnl"/>
        </w:rPr>
        <w:t xml:space="preserve">, vol. 16, núm. 1, pp. 5–24, 1.er trim. 2014.</w:t>
      </w:r>
    </w:p>
    <w:p>
      <w:pPr>
        <w:pStyle w:val="Bibliografa1"/>
        <w:rPr>
          <w:lang w:val="es-ES_tradnl"/>
          <w14:textFill>
            <w14:solidFill>
              <w14:srgbClr w14:val="000000"/>
            </w14:solidFill>
          </w14:textFill>
        </w:rPr>
      </w:pPr>
      <w:r>
        <w:rPr>
          <w:lang w:val="es-ES_tradnl"/>
        </w:rPr>
        <w:t xml:space="preserve">[7]</w:t>
      </w:r>
      <w:r>
        <w:rPr>
          <w:lang w:val="es-ES_tradnl"/>
        </w:rPr>
        <w:tab/>
      </w:r>
      <w:r>
        <w:rPr>
          <w:lang w:val="es-ES_tradnl"/>
        </w:rPr>
        <w:t xml:space="preserve">H. I. Fitriasari, A. I. Lestari, D. L. Luhurkinanti y R. F. Sari, “Performance evaluation of downlink multi-user OFDMA scheduling in 5G New Radio (NR),” en </w:t>
      </w:r>
      <w:r>
        <w:rPr>
          <w:i/>
          <w:iCs/>
          <w:lang w:val="es-ES_tradnl"/>
        </w:rPr>
        <w:t xml:space="preserve">Proc. 18th Int. Conf. Elect. Eng./Electron., Comput., Telecommun. Inf. Technol. (ECTI-CON)</w:t>
      </w:r>
      <w:r>
        <w:rPr>
          <w:lang w:val="es-ES_tradnl"/>
        </w:rPr>
        <w:t xml:space="preserve">, Chiang Mai, Tailandia, 2021, pp. 219–223.</w:t>
      </w:r>
    </w:p>
    <w:p>
      <w:pPr>
        <w:pStyle w:val="Bibliografa1"/>
        <w:rPr>
          <w:lang w:val="es-ES_tradnl"/>
          <w14:textFill>
            <w14:solidFill>
              <w14:srgbClr w14:val="000000"/>
            </w14:solidFill>
          </w14:textFill>
        </w:rPr>
      </w:pPr>
      <w:r>
        <w:rPr>
          <w:lang w:val="es-ES_tradnl"/>
        </w:rPr>
        <w:t xml:space="preserve">[8]</w:t>
      </w:r>
      <w:r>
        <w:rPr>
          <w:lang w:val="es-ES_tradnl"/>
        </w:rPr>
        <w:tab/>
      </w:r>
      <w:r>
        <w:rPr>
          <w:lang w:val="es-ES_tradnl"/>
        </w:rPr>
        <w:t xml:space="preserve">E. Haque, F. Tariq, M. Khandaker, K. Wong y Y. Zhang, “A survey of scheduling in 5G URLLC and outlook for emerging 6G systems,” </w:t>
      </w:r>
      <w:r>
        <w:rPr>
          <w:i/>
          <w:iCs/>
          <w:lang w:val="es-ES_tradnl"/>
        </w:rPr>
        <w:t xml:space="preserve">IEEE Access</w:t>
      </w:r>
      <w:r>
        <w:rPr>
          <w:lang w:val="es-ES_tradnl"/>
        </w:rPr>
        <w:t xml:space="preserve">, vol. 11, pp. 34372–34396, 2023.</w:t>
      </w:r>
    </w:p>
    <w:p>
      <w:pPr>
        <w:pStyle w:val="Bibliografa1"/>
        <w:rPr>
          <w:lang w:val="es-ES_tradnl"/>
          <w14:textFill>
            <w14:solidFill>
              <w14:srgbClr w14:val="000000"/>
            </w14:solidFill>
          </w14:textFill>
        </w:rPr>
      </w:pPr>
      <w:r>
        <w:rPr>
          <w:lang w:val="es-ES_tradnl"/>
        </w:rPr>
        <w:t xml:space="preserve">[9]</w:t>
      </w:r>
      <w:r>
        <w:rPr>
          <w:lang w:val="es-ES_tradnl"/>
        </w:rPr>
        <w:tab/>
      </w:r>
      <w:r>
        <w:rPr>
          <w:lang w:val="es-ES_tradnl"/>
        </w:rPr>
        <w:t xml:space="preserve">X. Lin </w:t>
      </w:r>
      <w:r>
        <w:rPr>
          <w:i/>
          <w:iCs/>
          <w:lang w:val="es-ES_tradnl"/>
        </w:rPr>
        <w:t xml:space="preserve">et al.</w:t>
      </w:r>
      <w:r>
        <w:rPr>
          <w:lang w:val="es-ES_tradnl"/>
        </w:rPr>
        <w:t xml:space="preserve">, “5G New Radio: Unveiling the essentials of the next generation wireless access technology,” </w:t>
      </w:r>
      <w:r>
        <w:rPr>
          <w:i/>
          <w:iCs/>
          <w:lang w:val="es-ES_tradnl"/>
        </w:rPr>
        <w:t xml:space="preserve">IEEE Commun. Standards Mag.</w:t>
      </w:r>
      <w:r>
        <w:rPr>
          <w:lang w:val="es-ES_tradnl"/>
        </w:rPr>
        <w:t xml:space="preserve">, vol. 3, núm. 3, pp. 30–37, sep. 2019.</w:t>
      </w:r>
    </w:p>
    <w:p>
      <w:pPr>
        <w:pStyle w:val="Bibliografa1"/>
        <w:rPr>
          <w:lang w:val="es-ES_tradnl"/>
          <w14:textFill>
            <w14:solidFill>
              <w14:srgbClr w14:val="000000"/>
            </w14:solidFill>
          </w14:textFill>
        </w:rPr>
      </w:pPr>
      <w:r>
        <w:rPr>
          <w:lang w:val="es-ES_tradnl"/>
        </w:rPr>
        <w:t xml:space="preserve">[10]</w:t>
      </w:r>
      <w:r>
        <w:rPr>
          <w:lang w:val="es-ES_tradnl"/>
        </w:rPr>
        <w:tab/>
      </w:r>
      <w:r>
        <w:rPr>
          <w:lang w:val="es-ES_tradnl"/>
        </w:rPr>
        <w:t xml:space="preserve">3GPP, </w:t>
      </w:r>
      <w:r>
        <w:rPr>
          <w:i/>
          <w:iCs/>
          <w:lang w:val="es-ES_tradnl"/>
        </w:rPr>
        <w:t xml:space="preserve">Study on Channel Model for Frequencies From 0.5 to 100 GHz</w:t>
      </w:r>
      <w:r>
        <w:rPr>
          <w:lang w:val="es-ES_tradnl"/>
        </w:rPr>
        <w:t xml:space="preserve">, 3GPP TR 38.901, v17.0.0, Release 17, mar. 2022.</w:t>
      </w:r>
    </w:p>
    <w:p>
      <w:pPr>
        <w:pStyle w:val="Bibliografa1"/>
        <w:rPr>
          <w:lang w:val="es-ES_tradnl"/>
          <w14:textFill>
            <w14:solidFill>
              <w14:srgbClr w14:val="000000"/>
            </w14:solidFill>
          </w14:textFill>
        </w:rPr>
      </w:pPr>
      <w:r>
        <w:rPr>
          <w:lang w:val="es-ES_tradnl"/>
        </w:rPr>
        <w:t xml:space="preserve">[11]</w:t>
      </w:r>
      <w:r>
        <w:rPr>
          <w:lang w:val="es-ES_tradnl"/>
        </w:rPr>
        <w:tab/>
      </w:r>
      <w:r>
        <w:rPr>
          <w:lang w:val="es-ES_tradnl"/>
        </w:rPr>
        <w:t xml:space="preserve">3GPP, </w:t>
      </w:r>
      <w:r>
        <w:rPr>
          <w:i/>
          <w:iCs/>
          <w:lang w:val="es-ES_tradnl"/>
        </w:rPr>
        <w:t xml:space="preserve">Evolved Universal Terrestrial Radio Access (E-UTRA); Physical Layer Procedures</w:t>
      </w:r>
      <w:r>
        <w:rPr>
          <w:lang w:val="es-ES_tradnl"/>
        </w:rPr>
        <w:t xml:space="preserve">, 3GPP TS 36.213, v14.2.0, Release 14, 2017.</w:t>
      </w:r>
    </w:p>
    <w:p>
      <w:pPr>
        <w:pStyle w:val="Heading1"/>
        <w:rPr>
          <w14:textFill>
            <w14:solidFill>
              <w14:srgbClr w14:val="000000"/>
            </w14:solidFill>
          </w14:textFill>
        </w:rPr>
      </w:pPr>
    </w:p>
    <w:p>
      <w:pPr>
        <w:pStyle w:val="Text"/>
        <w:rPr>
          <w:lang w:val="es-ES_tradnl"/>
          <w14:textFill>
            <w14:solidFill>
              <w14:srgbClr w14:val="000000"/>
            </w14:solidFill>
          </w14:textFill>
        </w:rPr>
      </w:pPr>
      <w:r>
        <w:rPr>
          <w:lang w:val="es-ES_tradnl"/>
          <w14:textFill>
            <w14:solidFill>
              <w14:srgbClr w14:val="000000"/>
            </w14:solidFill>
          </w14:textFill>
        </w:rPr>
        <w:tab/>
        <w:t xml:space="preserve">   </w:t>
      </w:r>
    </w:p>
    <w:p>
      <w:pPr>
        <w:pStyle w:val="Text"/>
        <w:rPr>
          <w:lang w:val="es-ES_tradnl"/>
          <w14:textFill>
            <w14:solidFill>
              <w14:srgbClr w14:val="000000"/>
            </w14:solidFill>
          </w14:textFill>
        </w:rPr>
      </w:pPr>
    </w:p>
    <w:p>
      <w:pPr>
        <w:pStyle w:val="Text"/>
        <w:rPr>
          <w:lang w:val="es-ES_tradnl"/>
          <w14:textFill>
            <w14:solidFill>
              <w14:srgbClr w14:val="000000"/>
            </w14:solidFill>
          </w14:textFill>
        </w:rPr>
      </w:pPr>
    </w:p>
    <w:p>
      <w:pPr>
        <w:pStyle w:val="Text"/>
        <w:rPr>
          <w:lang w:val="es-ES_tradnl"/>
          <w14:textFill>
            <w14:solidFill>
              <w14:srgbClr w14:val="000000"/>
            </w14:solidFill>
          </w14:textFill>
        </w:rPr>
      </w:pPr>
    </w:p>
    <w:p>
      <w:pPr>
        <w:pStyle w:val="Text"/>
        <w:rPr>
          <w:lang w:val="es-ES_tradnl"/>
          <w14:textFill>
            <w14:solidFill>
              <w14:srgbClr w14:val="000000"/>
            </w14:solidFill>
          </w14:textFill>
        </w:rPr>
      </w:pPr>
    </w:p>
    <w:p>
      <w:pPr>
        <w:pStyle w:val="Text"/>
        <w:rPr>
          <w:lang w:val="es-ES_tradnl"/>
          <w14:textFill>
            <w14:solidFill>
              <w14:srgbClr w14:val="000000"/>
            </w14:solidFill>
          </w14:textFill>
        </w:rPr>
      </w:pPr>
    </w:p>
    <w:p>
      <w:pPr>
        <w:pStyle w:val="Text"/>
        <w:rPr>
          <w:lang w:val="es-ES_tradnl"/>
          <w14:textFill>
            <w14:solidFill>
              <w14:srgbClr w14:val="000000"/>
            </w14:solidFill>
          </w14:textFill>
        </w:rPr>
      </w:pPr>
    </w:p>
    <w:sectPr>
      <w:type w:val="continuous"/>
      <w:pgSz w:w="11906" w:h="16838"/>
      <w:pgMar w:top="1418" w:right="851" w:bottom="1418" w:left="851" w:header="709" w:footer="709" w:gutter="0"/>
      <w:cols w:space="284"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FFFFFF7C"/>
    <w:multiLevelType w:val="singleLevel"/>
    <w:tmpl w:val="C1E4CE20"/>
    <w:lvl w:ilvl="0">
      <w:start w:val="1"/>
      <w:numFmt w:val="decimal"/>
      <w:lvlText w:val="%1."/>
      <w:lvlJc w:val="left"/>
      <w:pPr>
        <w:tabs>
          <w:tab w:val="num" w:pos="1492"/>
        </w:tabs>
        <w:ind w:left="1492"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nsid w:val="FFFFFF7D"/>
    <w:multiLevelType w:val="singleLevel"/>
    <w:tmpl w:val="601471B2"/>
    <w:lvl w:ilvl="0">
      <w:start w:val="1"/>
      <w:numFmt w:val="decimal"/>
      <w:lvlText w:val="%1."/>
      <w:lvlJc w:val="left"/>
      <w:pPr>
        <w:tabs>
          <w:tab w:val="num" w:pos="1209"/>
        </w:tabs>
        <w:ind w:left="1209"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nsid w:val="FFFFFF7E"/>
    <w:multiLevelType w:val="singleLevel"/>
    <w:tmpl w:val="58729F36"/>
    <w:lvl w:ilvl="0">
      <w:start w:val="1"/>
      <w:numFmt w:val="decimal"/>
      <w:lvlText w:val="%1."/>
      <w:lvlJc w:val="left"/>
      <w:pPr>
        <w:tabs>
          <w:tab w:val="num" w:pos="926"/>
        </w:tabs>
        <w:ind w:left="926"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nsid w:val="FFFFFF7F"/>
    <w:multiLevelType w:val="singleLevel"/>
    <w:tmpl w:val="758272A6"/>
    <w:lvl w:ilvl="0">
      <w:start w:val="1"/>
      <w:numFmt w:val="decimal"/>
      <w:lvlText w:val="%1."/>
      <w:lvlJc w:val="left"/>
      <w:pPr>
        <w:tabs>
          <w:tab w:val="num" w:pos="643"/>
        </w:tabs>
        <w:ind w:left="643"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nsid w:val="FFFFFF80"/>
    <w:multiLevelType w:val="singleLevel"/>
    <w:tmpl w:val="32ECF264"/>
    <w:lvl w:ilvl="0">
      <w:start w:val="1"/>
      <w:numFmt w:val="bullet"/>
      <w:lvlText w:val=""/>
      <w:lvlJc w:val="left"/>
      <w:pPr>
        <w:tabs>
          <w:tab w:val="num" w:pos="1492"/>
        </w:tabs>
        <w:ind w:left="1492"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nsid w:val="FFFFFF81"/>
    <w:multiLevelType w:val="singleLevel"/>
    <w:tmpl w:val="AF12B884"/>
    <w:lvl w:ilvl="0">
      <w:start w:val="1"/>
      <w:numFmt w:val="bullet"/>
      <w:lvlText w:val=""/>
      <w:lvlJc w:val="left"/>
      <w:pPr>
        <w:tabs>
          <w:tab w:val="num" w:pos="1209"/>
        </w:tabs>
        <w:ind w:left="1209"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nsid w:val="FFFFFF82"/>
    <w:multiLevelType w:val="singleLevel"/>
    <w:tmpl w:val="311097B6"/>
    <w:lvl w:ilvl="0">
      <w:start w:val="1"/>
      <w:numFmt w:val="bullet"/>
      <w:lvlText w:val=""/>
      <w:lvlJc w:val="left"/>
      <w:pPr>
        <w:tabs>
          <w:tab w:val="num" w:pos="926"/>
        </w:tabs>
        <w:ind w:left="926"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nsid w:val="FFFFFF83"/>
    <w:multiLevelType w:val="singleLevel"/>
    <w:tmpl w:val="A8F8A67A"/>
    <w:lvl w:ilvl="0">
      <w:start w:val="1"/>
      <w:numFmt w:val="bullet"/>
      <w:lvlText w:val=""/>
      <w:lvlJc w:val="left"/>
      <w:pPr>
        <w:tabs>
          <w:tab w:val="num" w:pos="643"/>
        </w:tabs>
        <w:ind w:left="643"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nsid w:val="FFFFFF88"/>
    <w:multiLevelType w:val="singleLevel"/>
    <w:tmpl w:val="DE66A21E"/>
    <w:lvl w:ilvl="0">
      <w:start w:val="1"/>
      <w:numFmt w:val="decimal"/>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9">
    <w:nsid w:val="FFFFFF89"/>
    <w:multiLevelType w:val="singleLevel"/>
    <w:tmpl w:val="07A2132C"/>
    <w:lvl w:ilvl="0">
      <w:start w:val="1"/>
      <w:numFmt w:val="bullet"/>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0">
    <w:nsid w:val="16AC7550"/>
    <w:multiLevelType w:val="multilevel"/>
    <w:tmpl w:val="AB18682C"/>
    <w:lvl w:ilvl="0">
      <w:start w:val="1"/>
      <w:numFmt w:val="bullet"/>
      <w:lvlText w:val=" "/>
      <w:lvlJc w:val="left"/>
      <w:pPr>
        <w:ind w:left="720" w:hanging="480"/>
      </w:pPr>
    </w:lvl>
    <w:lvl w:ilvl="1">
      <w:start w:val="1"/>
      <w:numFmt w:val="bullet"/>
      <w:lvlText w:val=" "/>
      <w:lvlJc w:val="left"/>
      <w:pPr>
        <w:ind w:left="1440" w:hanging="480"/>
      </w:pPr>
    </w:lvl>
    <w:lvl w:ilvl="2">
      <w:start w:val="1"/>
      <w:numFmt w:val="bullet"/>
      <w:lvlText w:val=" "/>
      <w:lvlJc w:val="left"/>
      <w:pPr>
        <w:ind w:left="2160" w:hanging="480"/>
      </w:pPr>
    </w:lvl>
    <w:lvl w:ilvl="3">
      <w:start w:val="1"/>
      <w:numFmt w:val="bullet"/>
      <w:lvlText w:val=" "/>
      <w:lvlJc w:val="left"/>
      <w:pPr>
        <w:ind w:left="2880" w:hanging="480"/>
      </w:pPr>
    </w:lvl>
    <w:lvl w:ilvl="4">
      <w:start w:val="1"/>
      <w:numFmt w:val="bullet"/>
      <w:lvlText w:val=" "/>
      <w:lvlJc w:val="left"/>
      <w:pPr>
        <w:ind w:left="3600" w:hanging="480"/>
      </w:pPr>
    </w:lvl>
    <w:lvl w:ilvl="5">
      <w:start w:val="1"/>
      <w:numFmt w:val="bullet"/>
      <w:lvlText w:val=" "/>
      <w:lvlJc w:val="left"/>
      <w:pPr>
        <w:ind w:left="4320" w:hanging="480"/>
      </w:pPr>
    </w:lvl>
    <w:lvl w:ilvl="6">
      <w:start w:val="1"/>
      <w:numFmt w:val="bullet"/>
      <w:lvlText w:val=" "/>
      <w:lvlJc w:val="left"/>
      <w:pPr>
        <w:ind w:left="5040" w:hanging="480"/>
      </w:pPr>
    </w:lvl>
    <w:lvl w:ilvl="7">
      <w:start w:val="1"/>
      <w:numFmt w:val="bullet"/>
      <w:lvlText w:val=" "/>
      <w:lvlJc w:val="left"/>
      <w:pPr>
        <w:ind w:left="5760" w:hanging="480"/>
      </w:pPr>
    </w:lvl>
    <w:lvl w:ilvl="8">
      <w:start w:val="1"/>
      <w:numFmt w:val="bullet"/>
      <w:lvlText w:val=" "/>
      <w:lvlJc w:val="left"/>
      <w:pPr>
        <w:ind w:left="6480" w:hanging="480"/>
      </w:pPr>
    </w:lvl>
  </w:abstractNum>
  <w:abstractNum w:abstractNumId="11">
    <w:nsid w:val="61ED1CF8"/>
    <w:multiLevelType w:val="multilevel"/>
    <w:tmpl w:val="20B402B4"/>
    <w:lvl w:ilvl="0">
      <w:start w:val="1"/>
      <w:numFmt w:val="bullet"/>
      <w:lvlText w:val="•"/>
      <w:lvlJc w:val="left"/>
      <w:pPr>
        <w:ind w:left="720" w:hanging="480"/>
      </w:pPr>
    </w:lvl>
    <w:lvl w:ilvl="1">
      <w:start w:val="1"/>
      <w:numFmt w:val="bullet"/>
      <w:lvlText w:val="–"/>
      <w:lvlJc w:val="left"/>
      <w:pPr>
        <w:ind w:left="1440" w:hanging="480"/>
      </w:pPr>
    </w:lvl>
    <w:lvl w:ilvl="2">
      <w:start w:val="1"/>
      <w:numFmt w:val="bullet"/>
      <w:lvlText w:val="•"/>
      <w:lvlJc w:val="left"/>
      <w:pPr>
        <w:ind w:left="2160" w:hanging="480"/>
      </w:pPr>
    </w:lvl>
    <w:lvl w:ilvl="3">
      <w:start w:val="1"/>
      <w:numFmt w:val="bullet"/>
      <w:lvlText w:val="–"/>
      <w:lvlJc w:val="left"/>
      <w:pPr>
        <w:ind w:left="2880" w:hanging="480"/>
      </w:pPr>
    </w:lvl>
    <w:lvl w:ilvl="4">
      <w:start w:val="1"/>
      <w:numFmt w:val="bullet"/>
      <w:lvlText w:val="•"/>
      <w:lvlJc w:val="left"/>
      <w:pPr>
        <w:ind w:left="3600" w:hanging="480"/>
      </w:pPr>
    </w:lvl>
    <w:lvl w:ilvl="5">
      <w:start w:val="1"/>
      <w:numFmt w:val="bullet"/>
      <w:lvlText w:val="–"/>
      <w:lvlJc w:val="left"/>
      <w:pPr>
        <w:ind w:left="4320" w:hanging="480"/>
      </w:pPr>
    </w:lvl>
    <w:lvl w:ilvl="6">
      <w:start w:val="1"/>
      <w:numFmt w:val="bullet"/>
      <w:lvlText w:val="•"/>
      <w:lvlJc w:val="left"/>
      <w:pPr>
        <w:ind w:left="5040" w:hanging="480"/>
      </w:pPr>
    </w:lvl>
    <w:lvl w:ilvl="7">
      <w:start w:val="1"/>
      <w:numFmt w:val="bullet"/>
      <w:lvlText w:val="–"/>
      <w:lvlJc w:val="left"/>
      <w:pPr>
        <w:ind w:left="5760" w:hanging="480"/>
      </w:pPr>
    </w:lvl>
    <w:lvl w:ilvl="8">
      <w:start w:val="1"/>
      <w:numFmt w:val="bullet"/>
      <w:lvlText w:val="•"/>
      <w:lvlJc w:val="left"/>
      <w:pPr>
        <w:ind w:left="6480" w:hanging="480"/>
      </w:pPr>
    </w:lvl>
  </w:abstractNum>
  <w:abstractNum w:abstractNumId="12">
    <w:nsid w:val="739F5F90"/>
    <w:multiLevelType w:val="hybridMultilevel"/>
    <w:tmpl w:val="1DA252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5"/>
  </w:num>
  <w:num w:numId="3">
    <w:abstractNumId w:val="6"/>
  </w:num>
  <w:num w:numId="4">
    <w:abstractNumId w:val="7"/>
  </w:num>
  <w:num w:numId="5">
    <w:abstractNumId w:val="9"/>
  </w:num>
  <w:num w:numId="6">
    <w:abstractNumId w:val="0"/>
  </w:num>
  <w:num w:numId="7">
    <w:abstractNumId w:val="1"/>
  </w:num>
  <w:num w:numId="8">
    <w:abstractNumId w:val="2"/>
  </w:num>
  <w:num w:numId="9">
    <w:abstractNumId w:val="3"/>
  </w:num>
  <w:num w:numId="10">
    <w:abstractNumId w:val="8"/>
  </w:num>
  <w:num w:numId="11">
    <w:abstractNumId w:val="12"/>
  </w:num>
  <w:num w:numId="12">
    <w:abstractNumId w:val="10"/>
  </w:num>
  <w:num w:numId="13">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footnotePr>
    <w:numFmt w:val="decimal"/>
  </w:footnotePr>
  <w:endnotePr>
    <w:numFmt w:val="lowerRoman"/>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62E"/>
    <w:rsid w:val="00011121"/>
    <w:rsid w:val="00013C7A"/>
    <w:rsid w:val="00037251"/>
    <w:rsid w:val="0004522F"/>
    <w:rsid w:val="00056387"/>
    <w:rsid w:val="000730C8"/>
    <w:rsid w:val="000972B8"/>
    <w:rsid w:val="000C0D9F"/>
    <w:rsid w:val="000C57F5"/>
    <w:rsid w:val="000C7448"/>
    <w:rsid w:val="000D4BDE"/>
    <w:rsid w:val="000D5DD0"/>
    <w:rsid w:val="000F7DCF"/>
    <w:rsid w:val="00102459"/>
    <w:rsid w:val="001033EB"/>
    <w:rsid w:val="00107EB9"/>
    <w:rsid w:val="00112E17"/>
    <w:rsid w:val="0011495D"/>
    <w:rsid w:val="0011508B"/>
    <w:rsid w:val="0012021F"/>
    <w:rsid w:val="0012094B"/>
    <w:rsid w:val="00123601"/>
    <w:rsid w:val="0014548D"/>
    <w:rsid w:val="001601A6"/>
    <w:rsid w:val="00167F5F"/>
    <w:rsid w:val="001732E4"/>
    <w:rsid w:val="00196477"/>
    <w:rsid w:val="00196A64"/>
    <w:rsid w:val="001A2B25"/>
    <w:rsid w:val="001A4D11"/>
    <w:rsid w:val="001A5447"/>
    <w:rsid w:val="001D1B93"/>
    <w:rsid w:val="001D3B10"/>
    <w:rsid w:val="001D516B"/>
    <w:rsid w:val="001E52DB"/>
    <w:rsid w:val="001E68B7"/>
    <w:rsid w:val="001F70CD"/>
    <w:rsid w:val="002016B8"/>
    <w:rsid w:val="0020198E"/>
    <w:rsid w:val="00203BB4"/>
    <w:rsid w:val="00212273"/>
    <w:rsid w:val="00220137"/>
    <w:rsid w:val="00230D27"/>
    <w:rsid w:val="00232082"/>
    <w:rsid w:val="00233504"/>
    <w:rsid w:val="002573C9"/>
    <w:rsid w:val="00260783"/>
    <w:rsid w:val="002A0EF6"/>
    <w:rsid w:val="002C3E33"/>
    <w:rsid w:val="002C6D06"/>
    <w:rsid w:val="002D610F"/>
    <w:rsid w:val="002E205F"/>
    <w:rsid w:val="003116CE"/>
    <w:rsid w:val="003368D2"/>
    <w:rsid w:val="00343422"/>
    <w:rsid w:val="00354B14"/>
    <w:rsid w:val="00371BF4"/>
    <w:rsid w:val="00384A42"/>
    <w:rsid w:val="003932D9"/>
    <w:rsid w:val="00394134"/>
    <w:rsid w:val="003A2DA9"/>
    <w:rsid w:val="003A3468"/>
    <w:rsid w:val="003C43E4"/>
    <w:rsid w:val="003D63B9"/>
    <w:rsid w:val="003E41A9"/>
    <w:rsid w:val="003E6DB5"/>
    <w:rsid w:val="00414628"/>
    <w:rsid w:val="00415BB3"/>
    <w:rsid w:val="00421C5E"/>
    <w:rsid w:val="004438CD"/>
    <w:rsid w:val="00476D95"/>
    <w:rsid w:val="00485B31"/>
    <w:rsid w:val="00486F8A"/>
    <w:rsid w:val="00496952"/>
    <w:rsid w:val="004A3B5D"/>
    <w:rsid w:val="004A5787"/>
    <w:rsid w:val="004B6563"/>
    <w:rsid w:val="004C129C"/>
    <w:rsid w:val="004D08AD"/>
    <w:rsid w:val="005157BD"/>
    <w:rsid w:val="005349CC"/>
    <w:rsid w:val="00542D3A"/>
    <w:rsid w:val="005470E6"/>
    <w:rsid w:val="00547FC2"/>
    <w:rsid w:val="00550D31"/>
    <w:rsid w:val="005627D1"/>
    <w:rsid w:val="00566CE5"/>
    <w:rsid w:val="00570360"/>
    <w:rsid w:val="00573ACD"/>
    <w:rsid w:val="00593D20"/>
    <w:rsid w:val="00597E45"/>
    <w:rsid w:val="005A1D7E"/>
    <w:rsid w:val="005B12AF"/>
    <w:rsid w:val="005B2F72"/>
    <w:rsid w:val="005B4179"/>
    <w:rsid w:val="005B647C"/>
    <w:rsid w:val="005C4037"/>
    <w:rsid w:val="005C5350"/>
    <w:rsid w:val="005C79FF"/>
    <w:rsid w:val="006036CC"/>
    <w:rsid w:val="00604260"/>
    <w:rsid w:val="00613272"/>
    <w:rsid w:val="00614775"/>
    <w:rsid w:val="00625154"/>
    <w:rsid w:val="00635A7E"/>
    <w:rsid w:val="00666D6E"/>
    <w:rsid w:val="006912DC"/>
    <w:rsid w:val="006A32B2"/>
    <w:rsid w:val="006A6264"/>
    <w:rsid w:val="006A79CB"/>
    <w:rsid w:val="006B415C"/>
    <w:rsid w:val="006B4EE6"/>
    <w:rsid w:val="006E6132"/>
    <w:rsid w:val="006E71A8"/>
    <w:rsid w:val="00703635"/>
    <w:rsid w:val="00706B8B"/>
    <w:rsid w:val="00714C9B"/>
    <w:rsid w:val="007176BA"/>
    <w:rsid w:val="00732119"/>
    <w:rsid w:val="0075590C"/>
    <w:rsid w:val="00762114"/>
    <w:rsid w:val="0076456A"/>
    <w:rsid w:val="007712AF"/>
    <w:rsid w:val="00777D6C"/>
    <w:rsid w:val="00786270"/>
    <w:rsid w:val="007B3B4A"/>
    <w:rsid w:val="007B60AA"/>
    <w:rsid w:val="007C63A1"/>
    <w:rsid w:val="007F371D"/>
    <w:rsid w:val="00817F3D"/>
    <w:rsid w:val="0082751F"/>
    <w:rsid w:val="00830C77"/>
    <w:rsid w:val="00873AC3"/>
    <w:rsid w:val="00886E56"/>
    <w:rsid w:val="008928C8"/>
    <w:rsid w:val="008C3542"/>
    <w:rsid w:val="008D6686"/>
    <w:rsid w:val="008E7C1D"/>
    <w:rsid w:val="008F00F5"/>
    <w:rsid w:val="008F2A46"/>
    <w:rsid w:val="008F6F32"/>
    <w:rsid w:val="009043C6"/>
    <w:rsid w:val="00921085"/>
    <w:rsid w:val="00935D03"/>
    <w:rsid w:val="00961718"/>
    <w:rsid w:val="009618F1"/>
    <w:rsid w:val="00977839"/>
    <w:rsid w:val="00986ED7"/>
    <w:rsid w:val="00997515"/>
    <w:rsid w:val="009A6E65"/>
    <w:rsid w:val="009C0F69"/>
    <w:rsid w:val="009D3DE5"/>
    <w:rsid w:val="009E40A2"/>
    <w:rsid w:val="009F362E"/>
    <w:rsid w:val="009F7F3C"/>
    <w:rsid w:val="00A322F1"/>
    <w:rsid w:val="00A34ECE"/>
    <w:rsid w:val="00A44BC8"/>
    <w:rsid w:val="00A55003"/>
    <w:rsid w:val="00A618BA"/>
    <w:rsid w:val="00A61A03"/>
    <w:rsid w:val="00A719B7"/>
    <w:rsid w:val="00A82033"/>
    <w:rsid w:val="00AB78C8"/>
    <w:rsid w:val="00AC645B"/>
    <w:rsid w:val="00AE1942"/>
    <w:rsid w:val="00AF5E77"/>
    <w:rsid w:val="00B20362"/>
    <w:rsid w:val="00B25C9D"/>
    <w:rsid w:val="00B31D5A"/>
    <w:rsid w:val="00B35FC4"/>
    <w:rsid w:val="00B84CAD"/>
    <w:rsid w:val="00BA25F8"/>
    <w:rsid w:val="00BB54E0"/>
    <w:rsid w:val="00BC450E"/>
    <w:rsid w:val="00BD5D29"/>
    <w:rsid w:val="00BD75BA"/>
    <w:rsid w:val="00BE2493"/>
    <w:rsid w:val="00BE7428"/>
    <w:rsid w:val="00BF5C85"/>
    <w:rsid w:val="00BF7A81"/>
    <w:rsid w:val="00C0130E"/>
    <w:rsid w:val="00C120AA"/>
    <w:rsid w:val="00C1786F"/>
    <w:rsid w:val="00C20BF2"/>
    <w:rsid w:val="00C42796"/>
    <w:rsid w:val="00C538BC"/>
    <w:rsid w:val="00C54697"/>
    <w:rsid w:val="00C5491A"/>
    <w:rsid w:val="00C615D1"/>
    <w:rsid w:val="00C63336"/>
    <w:rsid w:val="00C678A7"/>
    <w:rsid w:val="00C846BF"/>
    <w:rsid w:val="00C95DE0"/>
    <w:rsid w:val="00CA2EF8"/>
    <w:rsid w:val="00CB2210"/>
    <w:rsid w:val="00CD0749"/>
    <w:rsid w:val="00CE27D0"/>
    <w:rsid w:val="00CE282B"/>
    <w:rsid w:val="00CE679D"/>
    <w:rsid w:val="00CE7811"/>
    <w:rsid w:val="00CF532B"/>
    <w:rsid w:val="00D0102F"/>
    <w:rsid w:val="00D05879"/>
    <w:rsid w:val="00D1183B"/>
    <w:rsid w:val="00D124A7"/>
    <w:rsid w:val="00D24372"/>
    <w:rsid w:val="00D603C3"/>
    <w:rsid w:val="00D60B88"/>
    <w:rsid w:val="00D87597"/>
    <w:rsid w:val="00D942A1"/>
    <w:rsid w:val="00DA116F"/>
    <w:rsid w:val="00DA5C83"/>
    <w:rsid w:val="00DC78A2"/>
    <w:rsid w:val="00DE2918"/>
    <w:rsid w:val="00DE4FAF"/>
    <w:rsid w:val="00E001D4"/>
    <w:rsid w:val="00E115BB"/>
    <w:rsid w:val="00E24DBC"/>
    <w:rsid w:val="00E26088"/>
    <w:rsid w:val="00E278F2"/>
    <w:rsid w:val="00E3728B"/>
    <w:rsid w:val="00E51CFE"/>
    <w:rsid w:val="00E5651E"/>
    <w:rsid w:val="00E622A5"/>
    <w:rsid w:val="00E71DDF"/>
    <w:rsid w:val="00E7294B"/>
    <w:rsid w:val="00E765B2"/>
    <w:rsid w:val="00E7764A"/>
    <w:rsid w:val="00EA399F"/>
    <w:rsid w:val="00EB1A52"/>
    <w:rsid w:val="00EC16B9"/>
    <w:rsid w:val="00ED0BE6"/>
    <w:rsid w:val="00ED12C8"/>
    <w:rsid w:val="00EE3EDA"/>
    <w:rsid w:val="00F34B69"/>
    <w:rsid w:val="00F36EF3"/>
    <w:rsid w:val="00F83463"/>
    <w:rsid w:val="00F8513C"/>
    <w:rsid w:val="00FD216C"/>
    <w:rsid w:val="00FF2F95"/>
    <w:rsid w:val="00FF3193"/>
    <w:rsid w:val="00FF4F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10652"/>
  <w15:chartTrackingRefBased/>
  <w15:docId w15:val="{CE19BE61-DF17-974F-9CBC-2BF4CE09ED07}"/>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Times" w:hAnsi="Times" w:cs="Times New Roman (Cuerpo en alfa"/>
        <w:sz w:val="20"/>
        <w:szCs w:val="24"/>
        <w:lang w:val="es-E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s-ES_tradnl"/>
    </w:rPr>
  </w:style>
  <w:style w:type="paragraph" w:styleId="Heading1">
    <w:name w:val="heading 1"/>
    <w:basedOn w:val="Normal"/>
    <w:next w:val="Normal"/>
    <w:link w:val="Heading1Char"/>
    <w:uiPriority w:val="9"/>
    <w:qFormat/>
    <w:pPr>
      <w:keepNext/>
      <w:keepLines/>
      <w:snapToGrid w:val="0"/>
      <w:spacing w:before="120" w:after="120"/>
      <w:jc w:val="center"/>
      <w:outlineLvl w:val="0"/>
    </w:pPr>
    <w:rPr>
      <w:szCs w:val="32"/>
    </w:rPr>
  </w:style>
  <w:style w:type="paragraph" w:styleId="Heading2">
    <w:name w:val="heading 2"/>
    <w:basedOn w:val="Normal"/>
    <w:next w:val="Normal"/>
    <w:link w:val="Heading2Char"/>
    <w:uiPriority w:val="9"/>
    <w:qFormat/>
    <w:pPr>
      <w:keepNext/>
      <w:keepLines/>
      <w:spacing w:before="120" w:after="120"/>
      <w:outlineLvl w:val="1"/>
    </w:pPr>
    <w:rPr>
      <w:i/>
      <w:szCs w:val="26"/>
    </w:rPr>
  </w:style>
  <w:style w:type="paragraph" w:styleId="Heading3">
    <w:name w:val="heading 3"/>
    <w:basedOn w:val="Normal"/>
    <w:next w:val="Normal"/>
    <w:link w:val="Heading3Char"/>
    <w:uiPriority w:val="9"/>
    <w:semiHidden/>
    <w:unhideWhenUsed/>
    <w:qFormat/>
    <w:pPr>
      <w:keepNext/>
      <w:keepLines/>
      <w:spacing w:before="40"/>
      <w:outlineLvl w:val="2"/>
    </w:pPr>
    <w:rPr>
      <w:rFonts w:ascii="Calibri Light" w:hAnsi="Calibri Light"/>
      <w:color w:val="203864"/>
      <w:sz w:val="24"/>
    </w:rPr>
  </w:style>
  <w:style w:type="character" w:styleId="DefaultParagraphFont" w:default="1">
    <w:name w:val="Default Paragraph Font"/>
    <w:uiPriority w:val="1"/>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rPr>
      <w:color w:val="0563C1"/>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Text" w:customStyle="1">
    <w:name w:val="Text"/>
    <w:basedOn w:val="Normal"/>
    <w:qFormat/>
    <w:pPr>
      <w:snapToGrid w:val="0"/>
      <w:spacing w:after="160"/>
      <w:jc w:val="both"/>
    </w:pPr>
    <w:rPr>
      <w:lang w:val="en-US"/>
    </w:rPr>
  </w:style>
  <w:style w:type="paragraph" w:styleId="ListParagraph">
    <w:name w:val="List Paragraph"/>
    <w:basedOn w:val="Normal"/>
    <w:uiPriority w:val="34"/>
    <w:qFormat/>
    <w:pPr>
      <w:ind w:left="720"/>
      <w:contextualSpacing/>
    </w:pPr>
  </w:style>
  <w:style w:type="character" w:styleId="Heading1Char" w:customStyle="1">
    <w:name w:val="Heading 1 Char"/>
    <w:basedOn w:val="DefaultParagraphFont"/>
    <w:link w:val="Heading1"/>
    <w:uiPriority w:val="9"/>
    <w:rPr>
      <w:szCs w:val="32"/>
    </w:rPr>
  </w:style>
  <w:style w:type="paragraph" w:styleId="Title">
    <w:name w:val="Title"/>
    <w:basedOn w:val="Normal"/>
    <w:next w:val="Normal"/>
    <w:link w:val="TitleChar"/>
    <w:uiPriority w:val="10"/>
    <w:qFormat/>
    <w:pPr>
      <w:snapToGrid w:val="0"/>
      <w:spacing w:after="240"/>
      <w:jc w:val="center"/>
    </w:pPr>
    <w:rPr>
      <w:b/>
      <w:spacing w:val="-10"/>
      <w:kern w:val="28"/>
      <w:sz w:val="28"/>
      <w:szCs w:val="56"/>
      <w:lang w:val="en-US"/>
    </w:rPr>
  </w:style>
  <w:style w:type="character" w:styleId="TitleChar" w:customStyle="1">
    <w:name w:val="Title Char"/>
    <w:basedOn w:val="DefaultParagraphFont"/>
    <w:link w:val="Title"/>
    <w:uiPriority w:val="10"/>
    <w:rPr>
      <w:b/>
      <w:spacing w:val="-10"/>
      <w:kern w:val="28"/>
      <w:sz w:val="28"/>
      <w:szCs w:val="56"/>
      <w:lang w:val="en-US"/>
    </w:rPr>
  </w:style>
  <w:style w:type="paragraph" w:styleId="Auhtor" w:customStyle="1">
    <w:name w:val="Auhtor"/>
    <w:basedOn w:val="Normal"/>
    <w:qFormat/>
    <w:pPr>
      <w:snapToGrid w:val="0"/>
      <w:spacing w:before="120" w:after="160"/>
      <w:jc w:val="center"/>
    </w:pPr>
    <w:rPr>
      <w:b/>
      <w:lang w:val="en-US"/>
    </w:rPr>
  </w:style>
  <w:style w:type="paragraph" w:styleId="Affiliation" w:customStyle="1">
    <w:name w:val="Affiliation"/>
    <w:basedOn w:val="Normal"/>
    <w:qFormat/>
    <w:pPr>
      <w:snapToGrid w:val="0"/>
      <w:spacing w:before="40" w:after="120"/>
      <w:jc w:val="center"/>
    </w:pPr>
    <w:rPr>
      <w:i/>
      <w:lang w:val="en-US"/>
    </w:rPr>
  </w:style>
  <w:style w:type="paragraph" w:styleId="Abstract" w:customStyle="1">
    <w:name w:val="Abstract"/>
    <w:basedOn w:val="Normal"/>
    <w:qFormat/>
    <w:pPr>
      <w:keepNext/>
      <w:pBdr>
        <w:top w:val="single" w:sz="4" w:space="1" w:color="auto"/>
      </w:pBdr>
      <w:snapToGrid w:val="0"/>
      <w:spacing w:before="160" w:after="40"/>
      <w:jc w:val="both"/>
    </w:pPr>
    <w:rPr>
      <w:lang w:val="en-US"/>
    </w:rPr>
  </w:style>
  <w:style w:type="paragraph" w:styleId="Keywords" w:customStyle="1">
    <w:name w:val="Keywords"/>
    <w:basedOn w:val="Normal"/>
    <w:qFormat/>
    <w:pPr>
      <w:pBdr>
        <w:bottom w:val="single" w:sz="4" w:space="1" w:color="auto"/>
      </w:pBdr>
      <w:spacing w:after="480"/>
    </w:pPr>
    <w:rPr>
      <w:lang w:val="en-US"/>
    </w:rPr>
  </w:style>
  <w:style w:type="paragraph" w:styleId="Section" w:customStyle="1">
    <w:name w:val="Section"/>
    <w:basedOn w:val="Heading1"/>
    <w:qFormat/>
    <w:rPr>
      <w:lang w:val="en-US"/>
    </w:rPr>
  </w:style>
  <w:style w:type="character" w:styleId="Heading2Char" w:customStyle="1">
    <w:name w:val="Heading 2 Char"/>
    <w:basedOn w:val="DefaultParagraphFont"/>
    <w:link w:val="Heading2"/>
    <w:uiPriority w:val="9"/>
    <w:rPr>
      <w:i/>
      <w:szCs w:val="26"/>
    </w:rPr>
  </w:style>
  <w:style w:type="paragraph" w:styleId="Subsection" w:customStyle="1">
    <w:name w:val="Subsection"/>
    <w:basedOn w:val="Heading2"/>
    <w:qFormat/>
  </w:style>
  <w:style w:type="paragraph" w:styleId="Caption">
    <w:name w:val="caption"/>
    <w:basedOn w:val="Normal"/>
    <w:next w:val="Normal"/>
    <w:uiPriority w:val="35"/>
    <w:qFormat/>
    <w:pPr>
      <w:spacing w:after="200"/>
      <w:ind w:left="226" w:hanging="113"/>
      <w:jc w:val="both"/>
    </w:pPr>
    <w:rPr>
      <w:color w:val="000000"/>
      <w:sz w:val="18"/>
      <w:szCs w:val="18"/>
      <w:lang w:val="en-U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unhideWhenUsed/>
    <w:rPr>
      <w:color w:val="808080"/>
    </w:rPr>
  </w:style>
  <w:style w:type="paragraph" w:styleId="Bibliografa1" w:customStyle="1">
    <w:name w:val="Bibliografía1"/>
    <w:basedOn w:val="Text"/>
    <w:qFormat/>
    <w:pPr>
      <w:ind w:left="454" w:hanging="454"/>
    </w:pPr>
  </w:style>
  <w:style w:type="paragraph" w:styleId="equation" w:customStyle="1">
    <w:name w:val="equation"/>
    <w:basedOn w:val="Normal"/>
    <w:next w:val="Normal"/>
    <w:qFormat/>
  </w:style>
  <w:style w:type="character" w:styleId="Heading3Char" w:customStyle="1">
    <w:name w:val="Heading 3 Char"/>
    <w:basedOn w:val="DefaultParagraphFont"/>
    <w:link w:val="Heading3"/>
    <w:uiPriority w:val="9"/>
    <w:semiHidden/>
    <w:unhideWhenUsed/>
    <w:rPr>
      <w:rFonts w:ascii="Calibri Light" w:hAnsi="Calibri Light"/>
      <w:color w:val="203864"/>
      <w:sz w:val="24"/>
      <w:lang w:val="es-ES_tradnl"/>
    </w:rPr>
  </w:style>
  <w:style w:type="paragraph" w:styleId="NormalWeb">
    <w:name w:val="Normal (Web)"/>
    <w:basedOn w:val="Normal"/>
    <w:uiPriority w:val="99"/>
    <w:semiHidden/>
    <w:unhideWhenUsed/>
    <w:pPr>
      <w:spacing w:before="100" w:beforeAutospacing="1" w:after="100" w:afterAutospacing="1"/>
    </w:pPr>
    <w:rPr>
      <w:rFonts w:ascii="Times New Roman" w:hAnsi="Times New Roman" w:eastAsia="Times New Roman" w:cs="Times New Roman"/>
      <w:sz w:val="24"/>
      <w:lang w:val="en-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 Id="rId8" Type="http://schemas.openxmlformats.org/officeDocument/2006/relationships/customXml" Target="../customXml/item1.xml"/><Relationship Id="rId9" Type="http://schemas.openxmlformats.org/officeDocument/2006/relationships/webSettings" Target="webSettings.xml"/></Relationships>
</file>

<file path=word/theme/theme1.xml><?xml version="1.0" encoding="utf-8"?>
<a:theme xmlns:a="http://schemas.openxmlformats.org/drawingml/2006/main" name="Tema de Office">
  <a:themeElements>
    <a:clrScheme name="Tema de 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ema de Office">
      <a:majorFont>
        <a:latin typeface="Calibri Light"/>
        <a:ea typeface=""/>
        <a:cs typeface=""/>
      </a:majorFont>
      <a:minorFont>
        <a:latin typeface="Calibri"/>
        <a:ea typeface=""/>
        <a:cs typeface=""/>
      </a:minorFont>
    </a:fontScheme>
    <a:fmtScheme name="Tema de Offic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38D78E-1C4C-2D48-AB52-2FFEFFA00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4836</Words>
  <Paragraphs>150</Paragraphs>
  <DocSecurity>0</DocSecurity>
  <Template>Normal.dotm</Template>
  <ScaleCrop>false</ScaleCrop>
  <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ANTONIO DE LA PUENTE ALFARO</dc:creator>
  <cp:lastModifiedBy>Luque</cp:lastModifiedBy>
  <cp:revision>234</cp:revision>
  <dcterms:created xsi:type="dcterms:W3CDTF">2026-10-29T05:13:00Z</dcterms:created>
  <dcterms:modified xsi:type="dcterms:W3CDTF">2026-10-31T01:14:58Z</dcterms:modified>
</cp:coreProperties>
</file>