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91A2" w14:textId="77777777" w:rsidR="00822A24" w:rsidRPr="001F2B7F" w:rsidRDefault="00822A24" w:rsidP="00822A24">
      <w:pPr>
        <w:rPr>
          <w:rFonts w:ascii="Trebuchet MS" w:hAnsi="Trebuchet MS"/>
          <w:b/>
          <w:sz w:val="20"/>
        </w:rPr>
      </w:pPr>
      <w:r w:rsidRPr="001F2B7F">
        <w:rPr>
          <w:rFonts w:ascii="Trebuchet MS" w:hAnsi="Trebuchet MS"/>
          <w:b/>
          <w:sz w:val="20"/>
        </w:rPr>
        <w:t>SOLENT UNIVERSITY</w:t>
      </w:r>
      <w:r>
        <w:rPr>
          <w:rFonts w:ascii="Trebuchet MS" w:hAnsi="Trebuchet MS"/>
          <w:b/>
          <w:sz w:val="20"/>
        </w:rPr>
        <w:t xml:space="preserve"> </w:t>
      </w:r>
    </w:p>
    <w:p w14:paraId="35B07BC8" w14:textId="5D134D13" w:rsidR="000E7B01" w:rsidRDefault="006A2E67" w:rsidP="000E7B01">
      <w:pPr>
        <w:rPr>
          <w:rFonts w:ascii="Trebuchet MS" w:hAnsi="Trebuchet MS" w:cs="Arial"/>
          <w:bCs/>
          <w:sz w:val="26"/>
          <w:szCs w:val="26"/>
        </w:rPr>
      </w:pPr>
      <w:r w:rsidRPr="006A2E67">
        <w:rPr>
          <w:rFonts w:ascii="Trebuchet MS" w:hAnsi="Trebuchet MS" w:cs="Arial"/>
          <w:bCs/>
          <w:sz w:val="26"/>
          <w:szCs w:val="26"/>
        </w:rPr>
        <w:t>Department of Science and Engineering</w:t>
      </w:r>
    </w:p>
    <w:p w14:paraId="1BD82B0B" w14:textId="77777777" w:rsidR="00822A24" w:rsidRPr="001F2B7F" w:rsidRDefault="00822A24" w:rsidP="00822A24">
      <w:pPr>
        <w:jc w:val="center"/>
        <w:rPr>
          <w:rFonts w:ascii="Trebuchet MS" w:hAnsi="Trebuchet MS"/>
          <w:b/>
        </w:rPr>
      </w:pPr>
      <w:r w:rsidRPr="001F2B7F">
        <w:rPr>
          <w:rFonts w:ascii="Trebuchet MS" w:hAnsi="Trebuchet MS"/>
          <w:b/>
        </w:rPr>
        <w:t>ASSESSMENT</w:t>
      </w:r>
      <w:r>
        <w:rPr>
          <w:rFonts w:ascii="Trebuchet MS" w:hAnsi="Trebuchet MS"/>
          <w:b/>
        </w:rPr>
        <w:t xml:space="preserve"> </w:t>
      </w:r>
      <w:r w:rsidRPr="001F2B7F">
        <w:rPr>
          <w:rFonts w:ascii="Trebuchet MS" w:hAnsi="Trebuchet MS"/>
          <w:b/>
        </w:rPr>
        <w:t xml:space="preserve">FEEDBACK FORM FOR </w:t>
      </w:r>
      <w:r>
        <w:rPr>
          <w:rFonts w:ascii="Trebuchet MS" w:hAnsi="Trebuchet MS"/>
          <w:b/>
        </w:rPr>
        <w:t>PIP</w:t>
      </w:r>
      <w:r w:rsidRPr="001F2B7F">
        <w:rPr>
          <w:rFonts w:ascii="Trebuchet MS" w:hAnsi="Trebuchet MS"/>
          <w:b/>
        </w:rPr>
        <w:t xml:space="preserve"> </w:t>
      </w:r>
      <w:r w:rsidRPr="000E2A02">
        <w:rPr>
          <w:rFonts w:ascii="Trebuchet MS" w:hAnsi="Trebuchet MS"/>
          <w:b/>
          <w:caps/>
        </w:rPr>
        <w:t>Presentation</w:t>
      </w:r>
      <w:r w:rsidRPr="001F2B7F">
        <w:rPr>
          <w:rFonts w:ascii="Trebuchet MS" w:hAnsi="Trebuchet MS"/>
          <w:b/>
        </w:rPr>
        <w:t xml:space="preserve"> </w:t>
      </w:r>
    </w:p>
    <w:p w14:paraId="4EF800F0" w14:textId="77777777" w:rsidR="00822A24" w:rsidRPr="00C62084" w:rsidRDefault="00822A24" w:rsidP="00822A24">
      <w:pPr>
        <w:rPr>
          <w:rFonts w:ascii="Trebuchet MS" w:hAnsi="Trebuchet MS"/>
          <w:b/>
        </w:rPr>
      </w:pPr>
    </w:p>
    <w:p w14:paraId="6E5DE92D" w14:textId="593264B4" w:rsidR="00822A24" w:rsidRDefault="00822A24" w:rsidP="00822A24">
      <w:pPr>
        <w:rPr>
          <w:rFonts w:ascii="Trebuchet MS" w:eastAsia="Trebuchet MS" w:hAnsi="Trebuchet MS" w:cs="Trebuchet MS"/>
        </w:rPr>
      </w:pPr>
      <w:r w:rsidRPr="00423F66">
        <w:rPr>
          <w:rFonts w:ascii="Trebuchet MS" w:hAnsi="Trebuchet MS"/>
          <w:b/>
        </w:rPr>
        <w:t>Student</w:t>
      </w:r>
      <w:r w:rsidRPr="002F299E">
        <w:rPr>
          <w:rFonts w:ascii="Trebuchet MS" w:hAnsi="Trebuchet MS"/>
          <w:b/>
        </w:rPr>
        <w:t xml:space="preserve"> </w:t>
      </w:r>
      <w:r w:rsidRPr="00423F66">
        <w:rPr>
          <w:rFonts w:ascii="Trebuchet MS" w:hAnsi="Trebuchet MS"/>
          <w:b/>
        </w:rPr>
        <w:t xml:space="preserve">Name: </w:t>
      </w:r>
      <w:r w:rsidRPr="00423F66">
        <w:rPr>
          <w:rFonts w:ascii="Trebuchet MS" w:hAnsi="Trebuchet MS"/>
        </w:rPr>
        <w:t xml:space="preserve"> </w:t>
      </w:r>
      <w:r w:rsidR="00245CA3" w:rsidRPr="00245CA3">
        <w:rPr>
          <w:rFonts w:ascii="Trebuchet MS" w:hAnsi="Trebuchet MS"/>
          <w:b/>
        </w:rPr>
        <w:t>Ashish Kumar Uppari</w:t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 w:rsidRPr="00C62084">
        <w:rPr>
          <w:rFonts w:ascii="Trebuchet MS" w:hAnsi="Trebuchet MS"/>
          <w:b/>
        </w:rPr>
        <w:t>Assessor</w:t>
      </w:r>
      <w:r>
        <w:rPr>
          <w:rFonts w:ascii="Trebuchet MS" w:hAnsi="Trebuchet MS"/>
          <w:b/>
        </w:rPr>
        <w:t xml:space="preserve">: </w:t>
      </w:r>
      <w:proofErr w:type="spellStart"/>
      <w:r w:rsidR="009D06D2">
        <w:rPr>
          <w:rFonts w:ascii="Trebuchet MS" w:hAnsi="Trebuchet MS"/>
          <w:b/>
        </w:rPr>
        <w:t>Dr.</w:t>
      </w:r>
      <w:proofErr w:type="spellEnd"/>
      <w:r w:rsidR="009D06D2">
        <w:rPr>
          <w:rFonts w:ascii="Trebuchet MS" w:hAnsi="Trebuchet MS"/>
          <w:b/>
        </w:rPr>
        <w:t xml:space="preserve"> Kalin Penev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</w:p>
    <w:p w14:paraId="23C76174" w14:textId="77777777" w:rsidR="00822A24" w:rsidRPr="002F299E" w:rsidRDefault="00822A24" w:rsidP="00822A24">
      <w:pPr>
        <w:tabs>
          <w:tab w:val="left" w:pos="3260"/>
          <w:tab w:val="left" w:pos="4465"/>
          <w:tab w:val="left" w:pos="6520"/>
        </w:tabs>
        <w:ind w:right="-270"/>
        <w:rPr>
          <w:rFonts w:ascii="Trebuchet MS" w:eastAsia="Trebuchet MS" w:hAnsi="Trebuchet MS" w:cs="Trebuchet MS"/>
          <w:b/>
        </w:rPr>
      </w:pPr>
      <w:r w:rsidRPr="002F299E">
        <w:rPr>
          <w:rFonts w:ascii="Trebuchet MS" w:eastAsia="Trebuchet MS" w:hAnsi="Trebuchet MS" w:cs="Trebuchet MS"/>
          <w:b/>
        </w:rPr>
        <w:t>Assessment Criteria</w:t>
      </w:r>
    </w:p>
    <w:p w14:paraId="32F26D97" w14:textId="77777777" w:rsidR="002507B3" w:rsidRPr="00822A24" w:rsidRDefault="00822A24" w:rsidP="002507B3">
      <w:pPr>
        <w:rPr>
          <w:rFonts w:ascii="Trebuchet MS" w:hAnsi="Trebuchet MS"/>
          <w:i/>
          <w:iCs/>
          <w:szCs w:val="20"/>
        </w:rPr>
      </w:pPr>
      <w:r>
        <w:rPr>
          <w:rFonts w:ascii="Trebuchet MS" w:hAnsi="Trebuchet MS"/>
          <w:i/>
          <w:iCs/>
          <w:szCs w:val="20"/>
        </w:rPr>
        <w:t xml:space="preserve">(Higher levels of achievement are described on the </w:t>
      </w:r>
      <w:proofErr w:type="gramStart"/>
      <w:r>
        <w:rPr>
          <w:rFonts w:ascii="Trebuchet MS" w:hAnsi="Trebuchet MS"/>
          <w:i/>
          <w:iCs/>
          <w:szCs w:val="20"/>
        </w:rPr>
        <w:t>right hand</w:t>
      </w:r>
      <w:proofErr w:type="gramEnd"/>
      <w:r>
        <w:rPr>
          <w:rFonts w:ascii="Trebuchet MS" w:hAnsi="Trebuchet MS"/>
          <w:i/>
          <w:iCs/>
          <w:szCs w:val="20"/>
        </w:rPr>
        <w:t xml:space="preserve"> side of this grid.)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2624"/>
        <w:gridCol w:w="2196"/>
        <w:gridCol w:w="2551"/>
        <w:gridCol w:w="2835"/>
        <w:gridCol w:w="3119"/>
      </w:tblGrid>
      <w:tr w:rsidR="002507B3" w:rsidRPr="003A5A3C" w14:paraId="7B45E932" w14:textId="77777777" w:rsidTr="007815BF">
        <w:tc>
          <w:tcPr>
            <w:tcW w:w="1985" w:type="dxa"/>
          </w:tcPr>
          <w:p w14:paraId="19631A84" w14:textId="77777777" w:rsidR="002507B3" w:rsidRPr="00EE5DE6" w:rsidRDefault="002507B3" w:rsidP="007815BF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624" w:type="dxa"/>
          </w:tcPr>
          <w:p w14:paraId="09FCF992" w14:textId="77777777" w:rsidR="002507B3" w:rsidRPr="00EE5DE6" w:rsidRDefault="002507B3" w:rsidP="007815BF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Insufficient</w:t>
            </w:r>
          </w:p>
          <w:p w14:paraId="48FF11AF" w14:textId="77777777" w:rsidR="002507B3" w:rsidRPr="00EE5DE6" w:rsidRDefault="002507B3" w:rsidP="007815BF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(S, F3</w:t>
            </w: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– F1)</w:t>
            </w:r>
          </w:p>
        </w:tc>
        <w:tc>
          <w:tcPr>
            <w:tcW w:w="2196" w:type="dxa"/>
          </w:tcPr>
          <w:p w14:paraId="7C563086" w14:textId="77777777" w:rsidR="002507B3" w:rsidRPr="00EE5DE6" w:rsidRDefault="002507B3" w:rsidP="007815BF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Pass</w:t>
            </w:r>
          </w:p>
          <w:p w14:paraId="11908F9A" w14:textId="77777777" w:rsidR="002507B3" w:rsidRPr="00EE5DE6" w:rsidRDefault="002507B3" w:rsidP="004D2229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(D3 – </w:t>
            </w:r>
            <w:r w:rsidR="004D2229">
              <w:rPr>
                <w:rFonts w:ascii="Trebuchet MS" w:hAnsi="Trebuchet MS"/>
                <w:b/>
                <w:bCs/>
                <w:sz w:val="22"/>
                <w:szCs w:val="22"/>
              </w:rPr>
              <w:t>D</w:t>
            </w: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1)</w:t>
            </w:r>
          </w:p>
        </w:tc>
        <w:tc>
          <w:tcPr>
            <w:tcW w:w="2551" w:type="dxa"/>
          </w:tcPr>
          <w:p w14:paraId="71E1B16D" w14:textId="77777777" w:rsidR="002507B3" w:rsidRPr="00EE5DE6" w:rsidRDefault="002507B3" w:rsidP="007815BF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Good Pass</w:t>
            </w:r>
          </w:p>
          <w:p w14:paraId="7A60A26C" w14:textId="77777777" w:rsidR="002507B3" w:rsidRPr="00EE5DE6" w:rsidRDefault="002507B3" w:rsidP="007815BF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(C3 – C1)</w:t>
            </w:r>
          </w:p>
        </w:tc>
        <w:tc>
          <w:tcPr>
            <w:tcW w:w="2835" w:type="dxa"/>
          </w:tcPr>
          <w:p w14:paraId="684404F0" w14:textId="77777777" w:rsidR="002507B3" w:rsidRPr="00EE5DE6" w:rsidRDefault="002507B3" w:rsidP="007815BF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Merit </w:t>
            </w:r>
          </w:p>
          <w:p w14:paraId="147E6732" w14:textId="77777777" w:rsidR="002507B3" w:rsidRPr="00EE5DE6" w:rsidRDefault="002507B3" w:rsidP="007815BF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(B3 – B1)</w:t>
            </w:r>
          </w:p>
        </w:tc>
        <w:tc>
          <w:tcPr>
            <w:tcW w:w="3119" w:type="dxa"/>
          </w:tcPr>
          <w:p w14:paraId="5049B43E" w14:textId="77777777" w:rsidR="002507B3" w:rsidRPr="00EE5DE6" w:rsidRDefault="002507B3" w:rsidP="007815BF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Distinction</w:t>
            </w:r>
          </w:p>
          <w:p w14:paraId="36948883" w14:textId="77777777" w:rsidR="002507B3" w:rsidRPr="00EE5DE6" w:rsidRDefault="002507B3" w:rsidP="007815BF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(A4 – A1)</w:t>
            </w:r>
          </w:p>
        </w:tc>
      </w:tr>
      <w:tr w:rsidR="002507B3" w:rsidRPr="00876C01" w14:paraId="4F4EB649" w14:textId="77777777" w:rsidTr="008A2DFA">
        <w:trPr>
          <w:trHeight w:val="1457"/>
        </w:trPr>
        <w:tc>
          <w:tcPr>
            <w:tcW w:w="1985" w:type="dxa"/>
          </w:tcPr>
          <w:p w14:paraId="44101AAD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</w:p>
          <w:p w14:paraId="38DC2DE6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Academic </w:t>
            </w:r>
            <w:r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and Practical </w:t>
            </w: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Argument</w:t>
            </w:r>
          </w:p>
          <w:p w14:paraId="71D99C3B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(</w:t>
            </w: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5</w:t>
            </w:r>
            <w:r>
              <w:rPr>
                <w:rFonts w:ascii="Trebuchet MS" w:hAnsi="Trebuchet MS"/>
                <w:b/>
                <w:bCs/>
                <w:sz w:val="22"/>
                <w:szCs w:val="22"/>
              </w:rPr>
              <w:t>0</w:t>
            </w: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624" w:type="dxa"/>
            <w:tcMar>
              <w:top w:w="28" w:type="dxa"/>
              <w:bottom w:w="28" w:type="dxa"/>
            </w:tcMar>
            <w:vAlign w:val="center"/>
          </w:tcPr>
          <w:p w14:paraId="444B6ECE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Inadequately structured argument</w:t>
            </w:r>
            <w:r>
              <w:rPr>
                <w:rFonts w:ascii="Trebuchet MS" w:hAnsi="Trebuchet MS"/>
                <w:sz w:val="22"/>
                <w:szCs w:val="22"/>
              </w:rPr>
              <w:t xml:space="preserve"> lacking coverage of relevant issues</w:t>
            </w:r>
            <w:r w:rsidRPr="00EE5DE6">
              <w:rPr>
                <w:rFonts w:ascii="Trebuchet MS" w:hAnsi="Trebuchet MS"/>
                <w:sz w:val="22"/>
                <w:szCs w:val="22"/>
              </w:rPr>
              <w:t xml:space="preserve"> or lacks clear conclusion.</w:t>
            </w:r>
          </w:p>
        </w:tc>
        <w:tc>
          <w:tcPr>
            <w:tcW w:w="2196" w:type="dxa"/>
            <w:tcMar>
              <w:top w:w="28" w:type="dxa"/>
              <w:bottom w:w="28" w:type="dxa"/>
            </w:tcMar>
            <w:vAlign w:val="center"/>
          </w:tcPr>
          <w:p w14:paraId="1CE6B9EB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 xml:space="preserve">Clearly structured argument leading   to coherent conclusion. </w:t>
            </w:r>
          </w:p>
        </w:tc>
        <w:tc>
          <w:tcPr>
            <w:tcW w:w="2551" w:type="dxa"/>
            <w:shd w:val="clear" w:color="auto" w:fill="FFC000"/>
            <w:vAlign w:val="center"/>
          </w:tcPr>
          <w:p w14:paraId="5A77211F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D10C87">
              <w:rPr>
                <w:rFonts w:ascii="Trebuchet MS" w:hAnsi="Trebuchet MS"/>
                <w:sz w:val="22"/>
                <w:szCs w:val="22"/>
              </w:rPr>
              <w:t>Structured argument addresses relevant issues from the scenario</w:t>
            </w:r>
            <w:r w:rsidRPr="00EE5DE6">
              <w:rPr>
                <w:rFonts w:ascii="Trebuchet MS" w:hAnsi="Trebuchet MS"/>
                <w:sz w:val="22"/>
                <w:szCs w:val="22"/>
              </w:rPr>
              <w:t xml:space="preserve"> leading to coherent conclusion.</w:t>
            </w:r>
          </w:p>
        </w:tc>
        <w:tc>
          <w:tcPr>
            <w:tcW w:w="2835" w:type="dxa"/>
            <w:tcMar>
              <w:top w:w="28" w:type="dxa"/>
              <w:bottom w:w="28" w:type="dxa"/>
            </w:tcMar>
            <w:vAlign w:val="center"/>
          </w:tcPr>
          <w:p w14:paraId="273E774F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Convincing argument leading to coherent conclusion addressing all relevant issues.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14:paraId="2273CB65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Clear evidence of ability to convince audience of the validity of non-intuitive conclusions.</w:t>
            </w:r>
          </w:p>
        </w:tc>
      </w:tr>
      <w:tr w:rsidR="002507B3" w:rsidRPr="00876C01" w14:paraId="5C47942C" w14:textId="77777777" w:rsidTr="008A2DFA">
        <w:trPr>
          <w:trHeight w:val="1493"/>
        </w:trPr>
        <w:tc>
          <w:tcPr>
            <w:tcW w:w="1985" w:type="dxa"/>
          </w:tcPr>
          <w:p w14:paraId="19B3EB22" w14:textId="77777777" w:rsidR="002507B3" w:rsidRDefault="002507B3" w:rsidP="007815BF">
            <w:pPr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</w:p>
          <w:p w14:paraId="26503E50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Consideration of appropriate l</w:t>
            </w:r>
            <w:r>
              <w:rPr>
                <w:rFonts w:ascii="Trebuchet MS" w:hAnsi="Trebuchet MS"/>
                <w:b/>
                <w:bCs/>
                <w:sz w:val="22"/>
                <w:szCs w:val="22"/>
              </w:rPr>
              <w:t>egislative or regulatory issues</w:t>
            </w:r>
          </w:p>
          <w:p w14:paraId="6F73370F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(30%)</w:t>
            </w:r>
          </w:p>
        </w:tc>
        <w:tc>
          <w:tcPr>
            <w:tcW w:w="2624" w:type="dxa"/>
            <w:tcMar>
              <w:top w:w="28" w:type="dxa"/>
              <w:bottom w:w="28" w:type="dxa"/>
            </w:tcMar>
            <w:vAlign w:val="center"/>
          </w:tcPr>
          <w:p w14:paraId="32143CE7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Limited or non-relevant examples used. Lack of consideration of legislative or regulatory issues.</w:t>
            </w:r>
          </w:p>
        </w:tc>
        <w:tc>
          <w:tcPr>
            <w:tcW w:w="2196" w:type="dxa"/>
            <w:tcMar>
              <w:top w:w="28" w:type="dxa"/>
              <w:bottom w:w="28" w:type="dxa"/>
            </w:tcMar>
            <w:vAlign w:val="center"/>
          </w:tcPr>
          <w:p w14:paraId="4D712689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Relevant examples used. Adequate consideration of legislative or regulatory issues.</w:t>
            </w:r>
          </w:p>
        </w:tc>
        <w:tc>
          <w:tcPr>
            <w:tcW w:w="2551" w:type="dxa"/>
            <w:shd w:val="clear" w:color="auto" w:fill="FFC000"/>
            <w:vAlign w:val="center"/>
          </w:tcPr>
          <w:p w14:paraId="08E02D97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The examples used clearly relate both to the scenario and to the appropriate legislative or regulatory issues.</w:t>
            </w:r>
          </w:p>
        </w:tc>
        <w:tc>
          <w:tcPr>
            <w:tcW w:w="2835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B41A8D7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8A2DFA">
              <w:rPr>
                <w:rFonts w:ascii="Trebuchet MS" w:hAnsi="Trebuchet MS"/>
                <w:sz w:val="22"/>
                <w:szCs w:val="22"/>
                <w:shd w:val="clear" w:color="auto" w:fill="FFC000"/>
              </w:rPr>
              <w:t>Well-chosen examples used to inform the argument</w:t>
            </w:r>
            <w:r w:rsidRPr="00EE5DE6">
              <w:rPr>
                <w:rFonts w:ascii="Trebuchet MS" w:hAnsi="Trebuchet MS"/>
                <w:sz w:val="22"/>
                <w:szCs w:val="22"/>
              </w:rPr>
              <w:t xml:space="preserve"> appropriately informed by a range of legal or regulatory issues.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14:paraId="40F6EF50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Argument is fully supported throughout by succinct and well-chosen examples and fully informed by legislative or regulatory issues.</w:t>
            </w:r>
          </w:p>
        </w:tc>
      </w:tr>
      <w:tr w:rsidR="002507B3" w:rsidRPr="00876C01" w14:paraId="5F8A3554" w14:textId="77777777" w:rsidTr="00D10C87">
        <w:tc>
          <w:tcPr>
            <w:tcW w:w="1985" w:type="dxa"/>
          </w:tcPr>
          <w:p w14:paraId="410C3A18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</w:p>
          <w:p w14:paraId="0D1D89F5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Presen</w:t>
            </w:r>
            <w:r>
              <w:rPr>
                <w:rFonts w:ascii="Trebuchet MS" w:hAnsi="Trebuchet MS"/>
                <w:b/>
                <w:bCs/>
                <w:sz w:val="22"/>
                <w:szCs w:val="22"/>
              </w:rPr>
              <w:t>tation (2</w:t>
            </w:r>
            <w:r w:rsidRPr="00EE5DE6">
              <w:rPr>
                <w:rFonts w:ascii="Trebuchet MS" w:hAnsi="Trebuchet MS"/>
                <w:b/>
                <w:bCs/>
                <w:sz w:val="22"/>
                <w:szCs w:val="22"/>
              </w:rPr>
              <w:t>0%)</w:t>
            </w:r>
          </w:p>
        </w:tc>
        <w:tc>
          <w:tcPr>
            <w:tcW w:w="2624" w:type="dxa"/>
            <w:tcMar>
              <w:top w:w="28" w:type="dxa"/>
              <w:bottom w:w="28" w:type="dxa"/>
            </w:tcMar>
          </w:tcPr>
          <w:p w14:paraId="41422A4F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Inadequately presented material contained within presentation.</w:t>
            </w:r>
          </w:p>
        </w:tc>
        <w:tc>
          <w:tcPr>
            <w:tcW w:w="2196" w:type="dxa"/>
            <w:tcMar>
              <w:top w:w="28" w:type="dxa"/>
              <w:bottom w:w="28" w:type="dxa"/>
            </w:tcMar>
          </w:tcPr>
          <w:p w14:paraId="225DFC48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Structured presentation with limited visual material.</w:t>
            </w:r>
          </w:p>
        </w:tc>
        <w:tc>
          <w:tcPr>
            <w:tcW w:w="2551" w:type="dxa"/>
          </w:tcPr>
          <w:p w14:paraId="0AA418FF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8A2DFA">
              <w:rPr>
                <w:rFonts w:ascii="Trebuchet MS" w:hAnsi="Trebuchet MS"/>
                <w:sz w:val="22"/>
                <w:szCs w:val="22"/>
                <w:shd w:val="clear" w:color="auto" w:fill="FFC000"/>
              </w:rPr>
              <w:t>Structured presentation</w:t>
            </w:r>
            <w:r>
              <w:rPr>
                <w:rFonts w:ascii="Trebuchet MS" w:hAnsi="Trebuchet MS"/>
                <w:sz w:val="22"/>
                <w:szCs w:val="22"/>
              </w:rPr>
              <w:t xml:space="preserve"> with clear</w:t>
            </w:r>
            <w:r w:rsidRPr="00EE5DE6">
              <w:rPr>
                <w:rFonts w:ascii="Trebuchet MS" w:hAnsi="Trebuchet MS"/>
                <w:sz w:val="22"/>
                <w:szCs w:val="22"/>
              </w:rPr>
              <w:t xml:space="preserve"> recommendations</w:t>
            </w:r>
          </w:p>
        </w:tc>
        <w:tc>
          <w:tcPr>
            <w:tcW w:w="2835" w:type="dxa"/>
            <w:shd w:val="clear" w:color="auto" w:fill="auto"/>
            <w:tcMar>
              <w:top w:w="28" w:type="dxa"/>
              <w:bottom w:w="28" w:type="dxa"/>
            </w:tcMar>
          </w:tcPr>
          <w:p w14:paraId="545FA303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Clear, well-structured presentation.  Recommendations well drawn and justified.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</w:tcPr>
          <w:p w14:paraId="73FD82A7" w14:textId="77777777" w:rsidR="002507B3" w:rsidRPr="00EE5DE6" w:rsidRDefault="002507B3" w:rsidP="007815BF">
            <w:pPr>
              <w:jc w:val="left"/>
              <w:rPr>
                <w:rFonts w:ascii="Trebuchet MS" w:hAnsi="Trebuchet MS"/>
                <w:sz w:val="22"/>
                <w:szCs w:val="22"/>
              </w:rPr>
            </w:pPr>
            <w:r w:rsidRPr="00EE5DE6">
              <w:rPr>
                <w:rFonts w:ascii="Trebuchet MS" w:hAnsi="Trebuchet MS"/>
                <w:sz w:val="22"/>
                <w:szCs w:val="22"/>
              </w:rPr>
              <w:t>Clear evidence of ability to present balanced and synthesized recommendations.</w:t>
            </w:r>
          </w:p>
        </w:tc>
      </w:tr>
    </w:tbl>
    <w:p w14:paraId="542CD0AC" w14:textId="77777777" w:rsidR="002507B3" w:rsidRPr="00957D7E" w:rsidRDefault="002507B3" w:rsidP="002507B3">
      <w:pPr>
        <w:tabs>
          <w:tab w:val="left" w:pos="3260"/>
          <w:tab w:val="left" w:pos="4465"/>
          <w:tab w:val="left" w:pos="6520"/>
        </w:tabs>
        <w:ind w:right="-270"/>
        <w:rPr>
          <w:rFonts w:ascii="Trebuchet MS" w:hAnsi="Trebuchet MS" w:cs="Arial"/>
          <w:sz w:val="18"/>
          <w:szCs w:val="18"/>
        </w:rPr>
      </w:pPr>
    </w:p>
    <w:p w14:paraId="26C0A354" w14:textId="06443D96" w:rsidR="0071217D" w:rsidRPr="0071217D" w:rsidRDefault="009D06D2" w:rsidP="0071217D">
      <w:p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This presentation provides evidence for:</w:t>
      </w:r>
      <w:r w:rsidR="0071217D">
        <w:rPr>
          <w:rFonts w:ascii="Trebuchet MS" w:hAnsi="Trebuchet MS"/>
          <w:b/>
          <w:bCs/>
        </w:rPr>
        <w:t xml:space="preserve"> </w:t>
      </w:r>
      <w:r w:rsidR="008A2DFA" w:rsidRPr="008A2DFA">
        <w:rPr>
          <w:rFonts w:ascii="Trebuchet MS" w:hAnsi="Trebuchet MS"/>
        </w:rPr>
        <w:t>Structured argument addresses relevant issues from the scenario leading to coherent conclusion. Well-chosen examples used to inform the argument appropriately informed by a range of legal or regulatory issues. Structured presentation.</w:t>
      </w:r>
    </w:p>
    <w:p w14:paraId="14B9E2A0" w14:textId="77777777" w:rsidR="00D535A2" w:rsidRDefault="00D535A2" w:rsidP="002507B3">
      <w:pPr>
        <w:ind w:right="26" w:hanging="180"/>
        <w:rPr>
          <w:rFonts w:ascii="Trebuchet MS" w:hAnsi="Trebuchet MS"/>
          <w:b/>
          <w:bCs/>
        </w:rPr>
      </w:pPr>
    </w:p>
    <w:p w14:paraId="5CC2FE54" w14:textId="77777777" w:rsidR="004E6B2D" w:rsidRDefault="004E6B2D" w:rsidP="004E6B2D">
      <w:pPr>
        <w:ind w:right="26" w:hanging="18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General comments</w:t>
      </w:r>
    </w:p>
    <w:p w14:paraId="3A37BF22" w14:textId="72181C37" w:rsidR="00DB5EF6" w:rsidRDefault="0071217D">
      <w:pPr>
        <w:rPr>
          <w:rFonts w:ascii="Trebuchet MS" w:hAnsi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Good presentation. </w:t>
      </w:r>
    </w:p>
    <w:p w14:paraId="1D8F68DD" w14:textId="1EA2AC47" w:rsidR="0071217D" w:rsidRDefault="0071217D">
      <w:pPr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Planning and allocation of sufficient time for study could be beneficial. </w:t>
      </w:r>
    </w:p>
    <w:sectPr w:rsidR="0071217D" w:rsidSect="00822A24">
      <w:footerReference w:type="even" r:id="rId8"/>
      <w:footerReference w:type="default" r:id="rId9"/>
      <w:type w:val="continuous"/>
      <w:pgSz w:w="16838" w:h="11906" w:orient="landscape" w:code="9"/>
      <w:pgMar w:top="1134" w:right="1259" w:bottom="113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02E06" w14:textId="77777777" w:rsidR="003D6781" w:rsidRDefault="003D6781">
      <w:r>
        <w:separator/>
      </w:r>
    </w:p>
  </w:endnote>
  <w:endnote w:type="continuationSeparator" w:id="0">
    <w:p w14:paraId="2F7D0EEF" w14:textId="77777777" w:rsidR="003D6781" w:rsidRDefault="003D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D3C0E" w14:textId="77777777" w:rsidR="00DB5EF6" w:rsidRDefault="00C5328B">
    <w:pPr>
      <w:pStyle w:val="Footer"/>
      <w:framePr w:wrap="around" w:vAnchor="text" w:hAnchor="margin" w:xAlign="right"/>
      <w:rPr>
        <w:rStyle w:val="PageNumber"/>
      </w:rPr>
    </w:pPr>
    <w:r>
      <w:rPr>
        <w:rStyle w:val="PageNumber"/>
      </w:rPr>
      <w:fldChar w:fldCharType="begin"/>
    </w:r>
    <w:r w:rsidR="00E76B22">
      <w:rPr>
        <w:rStyle w:val="PageNumber"/>
      </w:rPr>
      <w:instrText>PAGE</w:instrText>
    </w:r>
    <w:r>
      <w:rPr>
        <w:rStyle w:val="PageNumber"/>
      </w:rPr>
      <w:fldChar w:fldCharType="end"/>
    </w:r>
  </w:p>
  <w:p w14:paraId="76D5CD9C" w14:textId="77777777" w:rsidR="00DB5EF6" w:rsidRDefault="00DB5E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880AC" w14:textId="77777777" w:rsidR="00DB5EF6" w:rsidRDefault="00C5328B">
    <w:pPr>
      <w:pStyle w:val="Footer"/>
      <w:jc w:val="center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sz w:val="16"/>
        <w:szCs w:val="16"/>
      </w:rPr>
      <w:fldChar w:fldCharType="begin"/>
    </w:r>
    <w:r w:rsidR="00E76B22">
      <w:rPr>
        <w:rFonts w:ascii="Trebuchet MS" w:eastAsia="Trebuchet MS" w:hAnsi="Trebuchet MS" w:cs="Trebuchet MS"/>
        <w:sz w:val="16"/>
        <w:szCs w:val="16"/>
      </w:rPr>
      <w:instrText>PAGE   \* MERGEFORMAT</w:instrText>
    </w:r>
    <w:r>
      <w:rPr>
        <w:rFonts w:ascii="Trebuchet MS" w:eastAsia="Trebuchet MS" w:hAnsi="Trebuchet MS" w:cs="Trebuchet MS"/>
        <w:sz w:val="16"/>
        <w:szCs w:val="16"/>
      </w:rPr>
      <w:fldChar w:fldCharType="separate"/>
    </w:r>
    <w:r w:rsidR="004D2229">
      <w:rPr>
        <w:rFonts w:ascii="Trebuchet MS" w:eastAsia="Trebuchet MS" w:hAnsi="Trebuchet MS" w:cs="Trebuchet MS"/>
        <w:noProof/>
        <w:sz w:val="16"/>
        <w:szCs w:val="16"/>
      </w:rPr>
      <w:t>1</w:t>
    </w:r>
    <w:r>
      <w:rPr>
        <w:rFonts w:ascii="Trebuchet MS" w:eastAsia="Trebuchet MS" w:hAnsi="Trebuchet MS" w:cs="Trebuchet MS"/>
        <w:sz w:val="16"/>
        <w:szCs w:val="16"/>
      </w:rPr>
      <w:fldChar w:fldCharType="end"/>
    </w:r>
  </w:p>
  <w:p w14:paraId="254D45B8" w14:textId="77777777" w:rsidR="00DB5EF6" w:rsidRDefault="00DB5EF6">
    <w:pPr>
      <w:pStyle w:val="Footer"/>
      <w:jc w:val="right"/>
      <w:rPr>
        <w:rFonts w:ascii="Trebuchet MS" w:eastAsia="Trebuchet MS" w:hAnsi="Trebuchet MS" w:cs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C5F3C" w14:textId="77777777" w:rsidR="003D6781" w:rsidRDefault="003D6781">
      <w:r>
        <w:separator/>
      </w:r>
    </w:p>
  </w:footnote>
  <w:footnote w:type="continuationSeparator" w:id="0">
    <w:p w14:paraId="54730AB2" w14:textId="77777777" w:rsidR="003D6781" w:rsidRDefault="003D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29AF"/>
    <w:multiLevelType w:val="multilevel"/>
    <w:tmpl w:val="A5BEE17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56402DE"/>
    <w:multiLevelType w:val="multilevel"/>
    <w:tmpl w:val="43C2D11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" w15:restartNumberingAfterBreak="0">
    <w:nsid w:val="0CBF3ADB"/>
    <w:multiLevelType w:val="multilevel"/>
    <w:tmpl w:val="4630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AD60E4"/>
    <w:multiLevelType w:val="multilevel"/>
    <w:tmpl w:val="A1B88CB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4" w15:restartNumberingAfterBreak="0">
    <w:nsid w:val="1C995221"/>
    <w:multiLevelType w:val="multilevel"/>
    <w:tmpl w:val="1E6A2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A3C41"/>
    <w:multiLevelType w:val="multilevel"/>
    <w:tmpl w:val="94C60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DF76AC"/>
    <w:multiLevelType w:val="multilevel"/>
    <w:tmpl w:val="E63E9D0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266703AE"/>
    <w:multiLevelType w:val="multilevel"/>
    <w:tmpl w:val="AEC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48200D"/>
    <w:multiLevelType w:val="multilevel"/>
    <w:tmpl w:val="7B1C4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0D2BA6"/>
    <w:multiLevelType w:val="multilevel"/>
    <w:tmpl w:val="671AEBD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0" w15:restartNumberingAfterBreak="0">
    <w:nsid w:val="49825749"/>
    <w:multiLevelType w:val="multilevel"/>
    <w:tmpl w:val="BB0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E45261"/>
    <w:multiLevelType w:val="multilevel"/>
    <w:tmpl w:val="26D072E6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5C0877A3"/>
    <w:multiLevelType w:val="multilevel"/>
    <w:tmpl w:val="07AE0D3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3" w15:restartNumberingAfterBreak="0">
    <w:nsid w:val="5E152104"/>
    <w:multiLevelType w:val="multilevel"/>
    <w:tmpl w:val="8010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613F6"/>
    <w:multiLevelType w:val="multilevel"/>
    <w:tmpl w:val="EB4EBC82"/>
    <w:lvl w:ilvl="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755E24"/>
    <w:multiLevelType w:val="multilevel"/>
    <w:tmpl w:val="C55AAB6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724A5486"/>
    <w:multiLevelType w:val="multilevel"/>
    <w:tmpl w:val="DFF2C2B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63953524">
    <w:abstractNumId w:val="0"/>
  </w:num>
  <w:num w:numId="2" w16cid:durableId="1260021035">
    <w:abstractNumId w:val="12"/>
  </w:num>
  <w:num w:numId="3" w16cid:durableId="434521229">
    <w:abstractNumId w:val="14"/>
  </w:num>
  <w:num w:numId="4" w16cid:durableId="703333149">
    <w:abstractNumId w:val="6"/>
  </w:num>
  <w:num w:numId="5" w16cid:durableId="1976982863">
    <w:abstractNumId w:val="15"/>
  </w:num>
  <w:num w:numId="6" w16cid:durableId="1762948457">
    <w:abstractNumId w:val="10"/>
  </w:num>
  <w:num w:numId="7" w16cid:durableId="261375569">
    <w:abstractNumId w:val="4"/>
  </w:num>
  <w:num w:numId="8" w16cid:durableId="1459685989">
    <w:abstractNumId w:val="11"/>
  </w:num>
  <w:num w:numId="9" w16cid:durableId="1163855156">
    <w:abstractNumId w:val="7"/>
  </w:num>
  <w:num w:numId="10" w16cid:durableId="821506952">
    <w:abstractNumId w:val="13"/>
  </w:num>
  <w:num w:numId="11" w16cid:durableId="94715038">
    <w:abstractNumId w:val="1"/>
  </w:num>
  <w:num w:numId="12" w16cid:durableId="756639393">
    <w:abstractNumId w:val="5"/>
  </w:num>
  <w:num w:numId="13" w16cid:durableId="620501562">
    <w:abstractNumId w:val="16"/>
  </w:num>
  <w:num w:numId="14" w16cid:durableId="1806044615">
    <w:abstractNumId w:val="9"/>
  </w:num>
  <w:num w:numId="15" w16cid:durableId="586572402">
    <w:abstractNumId w:val="8"/>
  </w:num>
  <w:num w:numId="16" w16cid:durableId="1144618922">
    <w:abstractNumId w:val="3"/>
  </w:num>
  <w:num w:numId="17" w16cid:durableId="900218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F6"/>
    <w:rsid w:val="000464E9"/>
    <w:rsid w:val="00077A13"/>
    <w:rsid w:val="000A3B9F"/>
    <w:rsid w:val="000E7B01"/>
    <w:rsid w:val="00124ADD"/>
    <w:rsid w:val="001338A0"/>
    <w:rsid w:val="00210BD4"/>
    <w:rsid w:val="00245CA3"/>
    <w:rsid w:val="002507B3"/>
    <w:rsid w:val="002F3189"/>
    <w:rsid w:val="002F5337"/>
    <w:rsid w:val="00300C9F"/>
    <w:rsid w:val="00336B00"/>
    <w:rsid w:val="003D6781"/>
    <w:rsid w:val="004D2229"/>
    <w:rsid w:val="004E6B2D"/>
    <w:rsid w:val="00562183"/>
    <w:rsid w:val="006275F7"/>
    <w:rsid w:val="006410BF"/>
    <w:rsid w:val="00647663"/>
    <w:rsid w:val="00690B1C"/>
    <w:rsid w:val="006A2E67"/>
    <w:rsid w:val="0071217D"/>
    <w:rsid w:val="00822A24"/>
    <w:rsid w:val="008A2DFA"/>
    <w:rsid w:val="009768B4"/>
    <w:rsid w:val="00992376"/>
    <w:rsid w:val="009D06D2"/>
    <w:rsid w:val="00C5328B"/>
    <w:rsid w:val="00D10C87"/>
    <w:rsid w:val="00D535A2"/>
    <w:rsid w:val="00DB5EF6"/>
    <w:rsid w:val="00DD2039"/>
    <w:rsid w:val="00E7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7B81630A"/>
  <w15:docId w15:val="{68D7429A-E024-4144-9690-F02156F5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4E9"/>
    <w:pPr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464E9"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464E9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0464E9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0464E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  <w:rsid w:val="000464E9"/>
  </w:style>
  <w:style w:type="character" w:customStyle="1" w:styleId="NoList10">
    <w:name w:val="No List1"/>
    <w:semiHidden/>
    <w:unhideWhenUsed/>
    <w:rsid w:val="000464E9"/>
  </w:style>
  <w:style w:type="character" w:customStyle="1" w:styleId="NoList100">
    <w:name w:val="No List1_0"/>
    <w:semiHidden/>
    <w:unhideWhenUsed/>
    <w:rsid w:val="000464E9"/>
  </w:style>
  <w:style w:type="character" w:styleId="Hyperlink">
    <w:name w:val="Hyperlink"/>
    <w:basedOn w:val="DefaultParagraphFont"/>
    <w:rsid w:val="000464E9"/>
    <w:rPr>
      <w:color w:val="0000FF"/>
      <w:u w:val="single"/>
    </w:rPr>
  </w:style>
  <w:style w:type="paragraph" w:styleId="BodyText">
    <w:name w:val="Body Text"/>
    <w:basedOn w:val="Normal"/>
    <w:next w:val="Normal"/>
    <w:rsid w:val="000464E9"/>
    <w:pPr>
      <w:spacing w:after="120"/>
    </w:pPr>
  </w:style>
  <w:style w:type="character" w:styleId="FollowedHyperlink">
    <w:name w:val="FollowedHyperlink"/>
    <w:basedOn w:val="DefaultParagraphFont"/>
    <w:rsid w:val="000464E9"/>
    <w:rPr>
      <w:color w:val="800080"/>
      <w:u w:val="single"/>
    </w:rPr>
  </w:style>
  <w:style w:type="paragraph" w:styleId="BodyText2">
    <w:name w:val="Body Text 2"/>
    <w:basedOn w:val="Normal"/>
    <w:rsid w:val="000464E9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046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next w:val="Normal"/>
    <w:link w:val="FooterChar"/>
    <w:rsid w:val="000464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64E9"/>
  </w:style>
  <w:style w:type="paragraph" w:styleId="BalloonText">
    <w:name w:val="Balloon Text"/>
    <w:basedOn w:val="Normal"/>
    <w:semiHidden/>
    <w:rsid w:val="000464E9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464E9"/>
    <w:rPr>
      <w:rFonts w:ascii="Arial" w:eastAsia="Arial" w:hAnsi="Arial" w:cs="Arial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rsid w:val="000464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464E9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0464E9"/>
    <w:rPr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rsid w:val="0004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B3374-910B-4633-B773-A4499C20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Assessment Brief Template (Academic Handbook: Section 4O)</vt:lpstr>
    </vt:vector>
  </TitlesOfParts>
  <Company>Southampton Institute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Assessment Brief Template (Academic Handbook: Section 4O)</dc:title>
  <dc:creator>Alison Charters</dc:creator>
  <cp:lastModifiedBy>Kalin Penev</cp:lastModifiedBy>
  <cp:revision>3</cp:revision>
  <cp:lastPrinted>2019-01-22T17:32:00Z</cp:lastPrinted>
  <dcterms:created xsi:type="dcterms:W3CDTF">2024-05-02T10:17:00Z</dcterms:created>
  <dcterms:modified xsi:type="dcterms:W3CDTF">2024-05-02T10:21:00Z</dcterms:modified>
</cp:coreProperties>
</file>