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0"/>
          <w:szCs w:val="40"/>
        </w:rPr>
        <w:t xml:space="preserve">Uncertainty-Aware Portfolio Optimisation Using Machine Learning</w:t>
      </w:r>
    </w:p>
    <w:p>
      <w:pPr>
        <w:spacing w:after="120"/>
        <w:jc w:val="center"/>
      </w:pPr>
      <w:r>
        <w:rPr>
          <w:rFonts w:ascii="Arial" w:cs="Arial" w:eastAsia="Arial" w:hAnsi="Arial"/>
          <w:color w:val="2E75B6"/>
          <w:sz w:val="30"/>
          <w:szCs w:val="30"/>
        </w:rPr>
        <w:t xml:space="preserve">Week 3 Problem Set — Written Report</w:t>
      </w:r>
    </w:p>
    <w:p>
      <w:pPr>
        <w:spacing w:after="120"/>
        <w:jc w:val="center"/>
      </w:pPr>
      <w:r>
        <w:rPr>
          <w:rFonts w:ascii="Arial" w:cs="Arial" w:eastAsia="Arial" w:hAnsi="Arial"/>
          <w:i/>
          <w:iCs/>
          <w:sz w:val="24"/>
          <w:szCs w:val="24"/>
        </w:rPr>
        <w:t xml:space="preserve">Classification, Regression Trees, Ensemble Methods &amp; Regularisation</w:t>
      </w:r>
    </w:p>
    <w:p>
      <w:r>
        <w:t xml:space="preserve"/>
      </w:r>
    </w:p>
    <w:p>
      <w:pPr>
        <w:spacing w:after="80"/>
        <w:jc w:val="center"/>
      </w:pPr>
      <w:r>
        <w:rPr>
          <w:rFonts w:ascii="Arial" w:cs="Arial" w:eastAsia="Arial" w:hAnsi="Arial"/>
          <w:sz w:val="24"/>
          <w:szCs w:val="24"/>
        </w:rPr>
        <w:t xml:space="preserve">Name: Abhiram Pande</w:t>
      </w:r>
    </w:p>
    <w:p>
      <w:pPr>
        <w:spacing w:after="80"/>
        <w:jc w:val="center"/>
      </w:pPr>
      <w:r>
        <w:rPr>
          <w:rFonts w:ascii="Arial" w:cs="Arial" w:eastAsia="Arial" w:hAnsi="Arial"/>
          <w:sz w:val="24"/>
          <w:szCs w:val="24"/>
        </w:rPr>
        <w:t xml:space="preserve">Roll No: 240038</w:t>
      </w:r>
    </w:p>
    <w:p>
      <w:pPr>
        <w:spacing w:after="80"/>
        <w:jc w:val="center"/>
      </w:pPr>
      <w:r>
        <w:rPr>
          <w:rFonts w:ascii="Arial" w:cs="Arial" w:eastAsia="Arial" w:hAnsi="Arial"/>
          <w:sz w:val="24"/>
          <w:szCs w:val="24"/>
        </w:rPr>
        <w:t xml:space="preserve">Institution: IIT Kanpur</w:t>
      </w:r>
    </w:p>
    <w:p>
      <w:pPr>
        <w:spacing w:after="80"/>
        <w:jc w:val="center"/>
      </w:pPr>
      <w:r>
        <w:rPr>
          <w:rFonts w:ascii="Arial" w:cs="Arial" w:eastAsia="Arial" w:hAnsi="Arial"/>
          <w:sz w:val="24"/>
          <w:szCs w:val="24"/>
        </w:rPr>
        <w:t xml:space="preserve">Date: June 2026</w:t>
      </w:r>
    </w:p>
    <w:p>
      <w:pPr>
        <w:spacing w:after="80"/>
        <w:jc w:val="center"/>
      </w:pPr>
      <w:r>
        <w:rPr>
          <w:rFonts w:ascii="Arial" w:cs="Arial" w:eastAsia="Arial" w:hAnsi="Arial"/>
          <w:sz w:val="24"/>
          <w:szCs w:val="24"/>
        </w:rPr>
        <w:t xml:space="preserve">Random Seed: 42 (used throughout)</w:t>
      </w:r>
    </w:p>
    <w:p>
      <w:r>
        <w:br w:type="page"/>
      </w:r>
    </w:p>
    <w:p>
      <w:pPr>
        <w:pStyle w:val="Heading1"/>
      </w:pPr>
      <w:r>
        <w:rPr>
          <w:rFonts w:ascii="Arial" w:cs="Arial" w:eastAsia="Arial" w:hAnsi="Arial"/>
          <w:b/>
          <w:bCs/>
          <w:sz w:val="32"/>
          <w:szCs w:val="32"/>
        </w:rPr>
        <w:t xml:space="preserve">Question 1: Logistic Regression for Credit Default Prediction [Easy]</w:t>
      </w:r>
    </w:p>
    <w:p>
      <w:pPr>
        <w:spacing w:after="120"/>
      </w:pPr>
      <w:r>
        <w:rPr>
          <w:rFonts w:ascii="Arial" w:cs="Arial" w:eastAsia="Arial" w:hAnsi="Arial"/>
          <w:sz w:val="22"/>
          <w:szCs w:val="22"/>
        </w:rPr>
        <w:t xml:space="preserve">Dataset: Give Me Some Credit (cs-training.csv) — 150,000 loan records, 10 features, binary target SeriousDlqin2yrs.</w:t>
      </w:r>
    </w:p>
    <w:p>
      <w:r>
        <w:t xml:space="preserve"/>
      </w:r>
    </w:p>
    <w:p>
      <w:pPr>
        <w:pStyle w:val="Heading2"/>
      </w:pPr>
      <w:r>
        <w:rPr>
          <w:rFonts w:ascii="Arial" w:cs="Arial" w:eastAsia="Arial" w:hAnsi="Arial"/>
          <w:b/>
          <w:bCs/>
          <w:sz w:val="26"/>
          <w:szCs w:val="26"/>
        </w:rPr>
        <w:t xml:space="preserve">1.1 Summary</w:t>
      </w:r>
    </w:p>
    <w:p>
      <w:pPr>
        <w:spacing w:after="120"/>
      </w:pPr>
      <w:r>
        <w:rPr>
          <w:rFonts w:ascii="Arial" w:cs="Arial" w:eastAsia="Arial" w:hAnsi="Arial"/>
          <w:sz w:val="22"/>
          <w:szCs w:val="22"/>
        </w:rPr>
        <w:t xml:space="preserve">We built a binary classifier to predict whether a borrower will experience serious financial distress within two years. Logistic regression is a natural choice here because the output is a probability and the cross-entropy loss is convex in the weights, guaranteeing convergence to the global minimum.</w:t>
      </w:r>
    </w:p>
    <w:p>
      <w:r>
        <w:t xml:space="preserve"/>
      </w:r>
    </w:p>
    <w:p>
      <w:pPr>
        <w:pStyle w:val="Heading2"/>
      </w:pPr>
      <w:r>
        <w:rPr>
          <w:rFonts w:ascii="Arial" w:cs="Arial" w:eastAsia="Arial" w:hAnsi="Arial"/>
          <w:b/>
          <w:bCs/>
          <w:sz w:val="26"/>
          <w:szCs w:val="26"/>
        </w:rPr>
        <w:t xml:space="preserve">1.2 Pre-processing</w:t>
      </w:r>
    </w:p>
    <w:p>
      <w:pPr>
        <w:spacing w:after="120"/>
      </w:pPr>
      <w:r>
        <w:rPr>
          <w:rFonts w:ascii="Arial" w:cs="Arial" w:eastAsia="Arial" w:hAnsi="Arial"/>
          <w:sz w:val="22"/>
          <w:szCs w:val="22"/>
        </w:rPr>
        <w:t xml:space="preserve">MonthlyIncome: 29,731 missing values filled with median = 5,400. NumberOfDependents: 3,924 missing values filled with median = 0. Class distribution: 93.3% no default, 6.7% default (imbalanced). Stratified 70/15/15 split applied (Train: 105,000 | Val: 22,500 | Test: 22,500). StandardScaler fitted only on training set.</w:t>
      </w:r>
    </w:p>
    <w:p>
      <w:r>
        <w:t xml:space="preserve"/>
      </w:r>
    </w:p>
    <w:p>
      <w:pPr>
        <w:pStyle w:val="Heading2"/>
      </w:pPr>
      <w:r>
        <w:rPr>
          <w:rFonts w:ascii="Arial" w:cs="Arial" w:eastAsia="Arial" w:hAnsi="Arial"/>
          <w:b/>
          <w:bCs/>
          <w:sz w:val="26"/>
          <w:szCs w:val="26"/>
        </w:rPr>
        <w:t xml:space="preserve">1.3 Metrics Table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0.9338</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0.5743</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Recall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0.0386</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F1-Score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0.0723</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AUC-ROC</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0.7150</w:t>
            </w:r>
          </w:p>
        </w:tc>
      </w:tr>
    </w:tbl>
    <w:p>
      <w:r>
        <w:t xml:space="preserve"/>
      </w:r>
    </w:p>
    <w:p>
      <w:pPr>
        <w:pStyle w:val="Heading2"/>
      </w:pPr>
      <w:r>
        <w:rPr>
          <w:rFonts w:ascii="Arial" w:cs="Arial" w:eastAsia="Arial" w:hAnsi="Arial"/>
          <w:b/>
          <w:bCs/>
          <w:sz w:val="26"/>
          <w:szCs w:val="26"/>
        </w:rPr>
        <w:t xml:space="preserve">1.4 Threshold Analysis</w:t>
      </w:r>
    </w:p>
    <w:p>
      <w:pPr>
        <w:spacing w:after="120"/>
      </w:pPr>
      <w:r>
        <w:rPr>
          <w:rFonts w:ascii="Arial" w:cs="Arial" w:eastAsia="Arial" w:hAnsi="Arial"/>
          <w:sz w:val="22"/>
          <w:szCs w:val="22"/>
        </w:rPr>
        <w:t xml:space="preserve">F1-maximising threshold: τ = 0.1 (F1 = 0.3076). At the default threshold of 0.5, recall is very low (0.0386) because the model is conservative — very few observations are predicted as default. Lowering the threshold to 0.1 increases recall significantly at the cost of precision.</w:t>
      </w:r>
    </w:p>
    <w:p>
      <w:r>
        <w:t xml:space="preserve"/>
      </w:r>
    </w:p>
    <w:p>
      <w:pPr>
        <w:pStyle w:val="Heading2"/>
      </w:pPr>
      <w:r>
        <w:rPr>
          <w:rFonts w:ascii="Arial" w:cs="Arial" w:eastAsia="Arial" w:hAnsi="Arial"/>
          <w:b/>
          <w:bCs/>
          <w:sz w:val="26"/>
          <w:szCs w:val="26"/>
        </w:rPr>
        <w:t xml:space="preserve">1.5 Top-5 Features by |Coefficient|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400"/>
      </w:tblGrid>
      <w:t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Coefficient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|Coeff|</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NumberOfTime60-89DaysPastDueNotWorse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-3.7978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3.7978</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NumberOfTime30-59DaysPastDueNotWorse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1.9976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1.9976</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NumberOfTimes90DaysLate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1.9571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1.9571</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-0.3992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0.3992</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MonthlyIncome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-0.3533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0.3533</w:t>
            </w:r>
          </w:p>
        </w:tc>
      </w:tr>
    </w:tbl>
    <w:p>
      <w:r>
        <w:t xml:space="preserve"/>
      </w:r>
    </w:p>
    <w:p>
      <w:pPr>
        <w:pStyle w:val="Heading2"/>
      </w:pPr>
      <w:r>
        <w:rPr>
          <w:rFonts w:ascii="Arial" w:cs="Arial" w:eastAsia="Arial" w:hAnsi="Arial"/>
          <w:b/>
          <w:bCs/>
          <w:sz w:val="26"/>
          <w:szCs w:val="26"/>
        </w:rPr>
        <w:t xml:space="preserve">1.6 Written Interpretation</w:t>
      </w:r>
    </w:p>
    <w:p>
      <w:pPr>
        <w:spacing w:after="120"/>
      </w:pPr>
      <w:r>
        <w:rPr>
          <w:rFonts w:ascii="Arial" w:cs="Arial" w:eastAsia="Arial" w:hAnsi="Arial"/>
          <w:sz w:val="22"/>
          <w:szCs w:val="22"/>
        </w:rPr>
        <w:t xml:space="preserve">The five most influential features in our logistic regression model are NumberOfTime60-89DaysPastDueNotWorse, NumberOfTime30-59DaysPastDueNotWorse, NumberOfTimes90DaysLate, age, and MonthlyIncome. The three past-due count features have the largest absolute coefficients, meaning they are the strongest predictors of serious financial distress. NumberOfTime60-89DaysPastDueNotWorse has a large negative coefficient (-3.79), which may seem surprising but reflects the model's internal balancing with the other correlated past-due features. Age has a negative coefficient (-0.40), meaning older borrowers are slightly less likely to default — this aligns with the intuition that older individuals tend to have more financial stability and experience managing debt. MonthlyIncome also has a negative coefficient (-0.35), confirming that higher income reduces the probability of default, which makes strong financial sense in a credit scoring context.</w:t>
      </w:r>
    </w:p>
    <w:p>
      <w:r>
        <w:br w:type="page"/>
      </w:r>
    </w:p>
    <w:p>
      <w:pPr>
        <w:pStyle w:val="Heading1"/>
      </w:pPr>
      <w:r>
        <w:rPr>
          <w:rFonts w:ascii="Arial" w:cs="Arial" w:eastAsia="Arial" w:hAnsi="Arial"/>
          <w:b/>
          <w:bCs/>
          <w:sz w:val="32"/>
          <w:szCs w:val="32"/>
        </w:rPr>
        <w:t xml:space="preserve">Question 2: Decision Tree Classifier with Pruning for Heart Disease [Medium]</w:t>
      </w:r>
    </w:p>
    <w:p>
      <w:pPr>
        <w:spacing w:after="120"/>
      </w:pPr>
      <w:r>
        <w:rPr>
          <w:rFonts w:ascii="Arial" w:cs="Arial" w:eastAsia="Arial" w:hAnsi="Arial"/>
          <w:sz w:val="22"/>
          <w:szCs w:val="22"/>
        </w:rPr>
        <w:t xml:space="preserve">Dataset: Heart Disease UCI (heart.csv) — 1,025 records, 13 features, binary target.</w:t>
      </w:r>
    </w:p>
    <w:p>
      <w:r>
        <w:t xml:space="preserve"/>
      </w:r>
    </w:p>
    <w:p>
      <w:pPr>
        <w:pStyle w:val="Heading2"/>
      </w:pPr>
      <w:r>
        <w:rPr>
          <w:rFonts w:ascii="Arial" w:cs="Arial" w:eastAsia="Arial" w:hAnsi="Arial"/>
          <w:b/>
          <w:bCs/>
          <w:sz w:val="26"/>
          <w:szCs w:val="26"/>
        </w:rPr>
        <w:t xml:space="preserve">2.1 Summary</w:t>
      </w:r>
    </w:p>
    <w:p>
      <w:pPr>
        <w:spacing w:after="120"/>
      </w:pPr>
      <w:r>
        <w:rPr>
          <w:rFonts w:ascii="Arial" w:cs="Arial" w:eastAsia="Arial" w:hAnsi="Arial"/>
          <w:sz w:val="22"/>
          <w:szCs w:val="22"/>
        </w:rPr>
        <w:t xml:space="preserve">Decision trees are highly interpretable — a doctor or regulator can follow the exact decision path. This question explores how depth and post-pruning affect generalisation. We compare pre-pruning (depth limiting) against cost-complexity pruning (post-pruning).</w:t>
      </w:r>
    </w:p>
    <w:p>
      <w:r>
        <w:t xml:space="preserve"/>
      </w:r>
    </w:p>
    <w:p>
      <w:pPr>
        <w:pStyle w:val="Heading2"/>
      </w:pPr>
      <w:r>
        <w:rPr>
          <w:rFonts w:ascii="Arial" w:cs="Arial" w:eastAsia="Arial" w:hAnsi="Arial"/>
          <w:b/>
          <w:bCs/>
          <w:sz w:val="26"/>
          <w:szCs w:val="26"/>
        </w:rPr>
        <w:t xml:space="preserve">2.2 Unpruned Tree</w:t>
      </w:r>
    </w:p>
    <w:p>
      <w:pPr>
        <w:spacing w:after="120"/>
      </w:pPr>
      <w:r>
        <w:rPr>
          <w:rFonts w:ascii="Arial" w:cs="Arial" w:eastAsia="Arial" w:hAnsi="Arial"/>
          <w:sz w:val="22"/>
          <w:szCs w:val="22"/>
        </w:rPr>
        <w:t xml:space="preserve">Depth: 9 | Train Accuracy: 1.0000 | Test Accuracy: 0.9805. The perfect training accuracy and lower test accuracy is a clear sign of overfitting — the unpruned tree has memorised the training data.</w:t>
      </w:r>
    </w:p>
    <w:p>
      <w:r>
        <w:t xml:space="preserve"/>
      </w:r>
    </w:p>
    <w:p>
      <w:pPr>
        <w:pStyle w:val="Heading2"/>
      </w:pPr>
      <w:r>
        <w:rPr>
          <w:rFonts w:ascii="Arial" w:cs="Arial" w:eastAsia="Arial" w:hAnsi="Arial"/>
          <w:b/>
          <w:bCs/>
          <w:sz w:val="26"/>
          <w:szCs w:val="26"/>
        </w:rPr>
        <w:t xml:space="preserve">2.3 Depth vs. Accuracy</w:t>
      </w:r>
    </w:p>
    <w:p>
      <w:pPr>
        <w:spacing w:after="120"/>
      </w:pPr>
      <w:r>
        <w:rPr>
          <w:rFonts w:ascii="Arial" w:cs="Arial" w:eastAsia="Arial" w:hAnsi="Arial"/>
          <w:sz w:val="22"/>
          <w:szCs w:val="22"/>
        </w:rPr>
        <w:t xml:space="preserve">Best validation accuracy = 0.9805 at max_depth = 10.</w:t>
      </w:r>
    </w:p>
    <w:p>
      <w:r>
        <w:t xml:space="preserve"/>
      </w:r>
    </w:p>
    <w:p>
      <w:pPr>
        <w:pStyle w:val="Heading2"/>
      </w:pPr>
      <w:r>
        <w:rPr>
          <w:rFonts w:ascii="Arial" w:cs="Arial" w:eastAsia="Arial" w:hAnsi="Arial"/>
          <w:b/>
          <w:bCs/>
          <w:sz w:val="26"/>
          <w:szCs w:val="26"/>
        </w:rPr>
        <w:t xml:space="preserve">2.4 Comparison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AUC-ROC</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Tree Depth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Unpruned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0.9810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0.9806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Depth-limited (d=10)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0.9810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0.9806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Cost-Complexity Pruned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0.9810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0.9806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r>
    </w:tbl>
    <w:p>
      <w:r>
        <w:t xml:space="preserve"/>
      </w:r>
    </w:p>
    <w:p>
      <w:pPr>
        <w:pStyle w:val="Heading2"/>
      </w:pPr>
      <w:r>
        <w:rPr>
          <w:rFonts w:ascii="Arial" w:cs="Arial" w:eastAsia="Arial" w:hAnsi="Arial"/>
          <w:b/>
          <w:bCs/>
          <w:sz w:val="26"/>
          <w:szCs w:val="26"/>
        </w:rPr>
        <w:t xml:space="preserve">2.5 Written Analysis</w:t>
      </w:r>
    </w:p>
    <w:p>
      <w:pPr>
        <w:spacing w:after="120"/>
      </w:pPr>
      <w:r>
        <w:rPr>
          <w:rFonts w:ascii="Arial" w:cs="Arial" w:eastAsia="Arial" w:hAnsi="Arial"/>
          <w:sz w:val="22"/>
          <w:szCs w:val="22"/>
        </w:rPr>
        <w:t xml:space="preserve">Cost-complexity pruning achieved the same test AUC-ROC as depth-limited pre-pruning in our experiment — both achieved 0.9810. This dataset is small (1,025 records) and relatively clean, so even the unpruned tree generalises well. Pre-pruning stops the tree early and can miss useful splits further down (the horizon effect), while cost-complexity pruning grows the full tree first and prunes back — giving it a more complete view of the data before making any pruning decisions.</w:t>
      </w:r>
    </w:p>
    <w:p>
      <w:r>
        <w:br w:type="page"/>
      </w:r>
    </w:p>
    <w:p>
      <w:pPr>
        <w:pStyle w:val="Heading1"/>
      </w:pPr>
      <w:r>
        <w:rPr>
          <w:rFonts w:ascii="Arial" w:cs="Arial" w:eastAsia="Arial" w:hAnsi="Arial"/>
          <w:b/>
          <w:bCs/>
          <w:sz w:val="32"/>
          <w:szCs w:val="32"/>
        </w:rPr>
        <w:t xml:space="preserve">Question 3: Regularised Regression for House Price Prediction [Medium]</w:t>
      </w:r>
    </w:p>
    <w:p>
      <w:pPr>
        <w:spacing w:after="120"/>
      </w:pPr>
      <w:r>
        <w:rPr>
          <w:rFonts w:ascii="Arial" w:cs="Arial" w:eastAsia="Arial" w:hAnsi="Arial"/>
          <w:sz w:val="22"/>
          <w:szCs w:val="22"/>
        </w:rPr>
        <w:t xml:space="preserve">Dataset: House Prices Advanced Regression (train.csv) — 1,460 records, 79 features, target: SalePrice.</w:t>
      </w:r>
    </w:p>
    <w:p>
      <w:r>
        <w:t xml:space="preserve"/>
      </w:r>
    </w:p>
    <w:p>
      <w:pPr>
        <w:pStyle w:val="Heading2"/>
      </w:pPr>
      <w:r>
        <w:rPr>
          <w:rFonts w:ascii="Arial" w:cs="Arial" w:eastAsia="Arial" w:hAnsi="Arial"/>
          <w:b/>
          <w:bCs/>
          <w:sz w:val="26"/>
          <w:szCs w:val="26"/>
        </w:rPr>
        <w:t xml:space="preserve">3.1 Summary</w:t>
      </w:r>
    </w:p>
    <w:p>
      <w:pPr>
        <w:spacing w:after="120"/>
      </w:pPr>
      <w:r>
        <w:rPr>
          <w:rFonts w:ascii="Arial" w:cs="Arial" w:eastAsia="Arial" w:hAnsi="Arial"/>
          <w:sz w:val="22"/>
          <w:szCs w:val="22"/>
        </w:rPr>
        <w:t xml:space="preserve">With 79 correlated features, ordinary least squares is unstable. We applied a log-transform to SalePrice, dropped 6 columns with &gt;40% missing values, imputed remaining NaNs, one-hot encoded categoricals (resulting in 229 features), and standardised numerics. Ridge, Lasso, and Elastic Net add a penalty term that shrinks coefficients and prevents overfitting.</w:t>
      </w:r>
    </w:p>
    <w:p>
      <w:r>
        <w:t xml:space="preserve"/>
      </w:r>
    </w:p>
    <w:p>
      <w:pPr>
        <w:pStyle w:val="Heading2"/>
      </w:pPr>
      <w:r>
        <w:rPr>
          <w:rFonts w:ascii="Arial" w:cs="Arial" w:eastAsia="Arial" w:hAnsi="Arial"/>
          <w:b/>
          <w:bCs/>
          <w:sz w:val="26"/>
          <w:szCs w:val="26"/>
        </w:rPr>
        <w:t xml:space="preserve">3.2 Results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2000"/>
        <w:gridCol w:w="14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λ</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Non-zero Coeffs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RMSE (£)</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R²</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25,883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0.7679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429.1934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27,393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0.8878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Lasso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0.0054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26,721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0.8917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Elastic Net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0.0687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0.8877</w:t>
            </w:r>
          </w:p>
        </w:tc>
      </w:tr>
    </w:tbl>
    <w:p>
      <w:r>
        <w:t xml:space="preserve"/>
      </w:r>
    </w:p>
    <w:p>
      <w:pPr>
        <w:pStyle w:val="Heading2"/>
      </w:pPr>
      <w:r>
        <w:rPr>
          <w:rFonts w:ascii="Arial" w:cs="Arial" w:eastAsia="Arial" w:hAnsi="Arial"/>
          <w:b/>
          <w:bCs/>
          <w:sz w:val="26"/>
          <w:szCs w:val="26"/>
        </w:rPr>
        <w:t xml:space="preserve">3.3 Written Discussion: Why Lasso Produces Sparse Solutions</w:t>
      </w:r>
    </w:p>
    <w:p>
      <w:pPr>
        <w:spacing w:after="120"/>
      </w:pPr>
      <w:r>
        <w:rPr>
          <w:rFonts w:ascii="Arial" w:cs="Arial" w:eastAsia="Arial" w:hAnsi="Arial"/>
          <w:sz w:val="22"/>
          <w:szCs w:val="22"/>
        </w:rPr>
        <w:t xml:space="preserve">Lasso produces sparse solutions because of the geometry of its L1 penalty region, which is shaped like a diamond (or hyperdiamond in higher dimensions) with corners sitting exactly on the coordinate axes. When the elliptical loss contours expand outward from the OLS solution, they are very likely to first touch this diamond at one of its corners, which forces one or more coefficients to be exactly zero. Ridge regression uses an L2 penalty region that is a smooth sphere with no corners, so the loss contours typically touch it at a non-corner point, meaning coefficients are shrunk towards zero but never set exactly to zero.</w:t>
      </w:r>
    </w:p>
    <w:p>
      <w:pPr>
        <w:spacing w:after="120"/>
      </w:pPr>
      <w:r>
        <w:rPr>
          <w:rFonts w:ascii="Arial" w:cs="Arial" w:eastAsia="Arial" w:hAnsi="Arial"/>
          <w:sz w:val="22"/>
          <w:szCs w:val="22"/>
        </w:rPr>
        <w:t xml:space="preserve">In noisy financial datasets with many irrelevant features, Lasso's sparsity is extremely useful because it automatically performs feature selection — it identifies a small subset of genuinely predictive features (81 out of 229 here) and sets all other coefficients to exactly zero, making the model simpler and more interpretable.</w:t>
      </w:r>
    </w:p>
    <w:p>
      <w:r>
        <w:br w:type="page"/>
      </w:r>
    </w:p>
    <w:p>
      <w:pPr>
        <w:pStyle w:val="Heading1"/>
      </w:pPr>
      <w:r>
        <w:rPr>
          <w:rFonts w:ascii="Arial" w:cs="Arial" w:eastAsia="Arial" w:hAnsi="Arial"/>
          <w:b/>
          <w:bCs/>
          <w:sz w:val="32"/>
          <w:szCs w:val="32"/>
        </w:rPr>
        <w:t xml:space="preserve">Question 4: Locally Weighted Regression on Non-Linear Data [Medium]</w:t>
      </w:r>
    </w:p>
    <w:p>
      <w:pPr>
        <w:spacing w:after="120"/>
      </w:pPr>
      <w:r>
        <w:rPr>
          <w:rFonts w:ascii="Arial" w:cs="Arial" w:eastAsia="Arial" w:hAnsi="Arial"/>
          <w:sz w:val="22"/>
          <w:szCs w:val="22"/>
        </w:rPr>
        <w:t xml:space="preserve">Dataset: California Housing (housing.csv) — 2,000 sampled rows, feature: median_income, target: median_house_value.</w:t>
      </w:r>
    </w:p>
    <w:p>
      <w:r>
        <w:t xml:space="preserve"/>
      </w:r>
    </w:p>
    <w:p>
      <w:pPr>
        <w:pStyle w:val="Heading2"/>
      </w:pPr>
      <w:r>
        <w:rPr>
          <w:rFonts w:ascii="Arial" w:cs="Arial" w:eastAsia="Arial" w:hAnsi="Arial"/>
          <w:b/>
          <w:bCs/>
          <w:sz w:val="26"/>
          <w:szCs w:val="26"/>
        </w:rPr>
        <w:t xml:space="preserve">4.1 Summary</w:t>
      </w:r>
    </w:p>
    <w:p>
      <w:pPr>
        <w:spacing w:after="120"/>
      </w:pPr>
      <w:r>
        <w:rPr>
          <w:rFonts w:ascii="Arial" w:cs="Arial" w:eastAsia="Arial" w:hAnsi="Arial"/>
          <w:sz w:val="22"/>
          <w:szCs w:val="22"/>
        </w:rPr>
        <w:t xml:space="preserve">LWR fits a separate local linear model for each query point by weighting nearby training points more heavily using a Gaussian kernel. The bandwidth τ controls how local the fit is. The implementation uses NumPy only — no scikit-learn.</w:t>
      </w:r>
    </w:p>
    <w:p>
      <w:r>
        <w:t xml:space="preserve"/>
      </w:r>
    </w:p>
    <w:p>
      <w:pPr>
        <w:pStyle w:val="Heading2"/>
      </w:pPr>
      <w:r>
        <w:rPr>
          <w:rFonts w:ascii="Arial" w:cs="Arial" w:eastAsia="Arial" w:hAnsi="Arial"/>
          <w:b/>
          <w:bCs/>
          <w:sz w:val="26"/>
          <w:szCs w:val="26"/>
        </w:rPr>
        <w:t xml:space="preserve">4.2 Bandwidth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τ</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RMSE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86,273</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85,893</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85,471 (Best)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86,093</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86,412</w:t>
            </w:r>
          </w:p>
        </w:tc>
      </w:tr>
    </w:tbl>
    <w:p>
      <w:r>
        <w:t xml:space="preserve"/>
      </w:r>
    </w:p>
    <w:p>
      <w:pPr>
        <w:pStyle w:val="Heading2"/>
      </w:pPr>
      <w:r>
        <w:rPr>
          <w:rFonts w:ascii="Arial" w:cs="Arial" w:eastAsia="Arial" w:hAnsi="Arial"/>
          <w:b/>
          <w:bCs/>
          <w:sz w:val="26"/>
          <w:szCs w:val="26"/>
        </w:rPr>
        <w:t xml:space="preserve">4.3 LWR vs 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RMSE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LWR (τ = 0.3)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85,471</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86,476</w:t>
            </w:r>
          </w:p>
        </w:tc>
      </w:tr>
    </w:tbl>
    <w:p>
      <w:r>
        <w:t xml:space="preserve"/>
      </w:r>
    </w:p>
    <w:p>
      <w:pPr>
        <w:pStyle w:val="Heading2"/>
      </w:pPr>
      <w:r>
        <w:rPr>
          <w:rFonts w:ascii="Arial" w:cs="Arial" w:eastAsia="Arial" w:hAnsi="Arial"/>
          <w:b/>
          <w:bCs/>
          <w:sz w:val="26"/>
          <w:szCs w:val="26"/>
        </w:rPr>
        <w:t xml:space="preserve">4.4 Written Discussion</w:t>
      </w:r>
    </w:p>
    <w:p>
      <w:pPr>
        <w:spacing w:after="120"/>
      </w:pPr>
      <w:r>
        <w:rPr>
          <w:rFonts w:ascii="Arial" w:cs="Arial" w:eastAsia="Arial" w:hAnsi="Arial"/>
          <w:sz w:val="22"/>
          <w:szCs w:val="22"/>
        </w:rPr>
        <w:t xml:space="preserve">LWR most closely approximates OLS when τ is largest (τ = 3.0). As τ → ∞, the Gaussian kernel weights w_i = exp(-||x_i - xq||² / 2τ²) all approach 1, meaning every training point gets nearly equal weight, making weighted least squares identical to ordinary least squares.</w:t>
      </w:r>
    </w:p>
    <w:p>
      <w:pPr>
        <w:spacing w:after="120"/>
      </w:pPr>
      <w:r>
        <w:rPr>
          <w:rFonts w:ascii="Arial" w:cs="Arial" w:eastAsia="Arial" w:hAnsi="Arial"/>
          <w:sz w:val="22"/>
          <w:szCs w:val="22"/>
        </w:rPr>
        <w:t xml:space="preserve">Applying LWR to all numeric features introduces two major difficulties: (i) computational cost — we solve a separate linear system for every test point, scaling as O(n_test × n_train), becoming extremely slow in high dimensions; (ii) curse of dimensionality — in higher dimensions, all points become roughly equidistant and the kernel weights become nearly uniform, losing the locality benefit.</w:t>
      </w:r>
    </w:p>
    <w:p>
      <w:r>
        <w:br w:type="page"/>
      </w:r>
    </w:p>
    <w:p>
      <w:pPr>
        <w:pStyle w:val="Heading1"/>
      </w:pPr>
      <w:r>
        <w:rPr>
          <w:rFonts w:ascii="Arial" w:cs="Arial" w:eastAsia="Arial" w:hAnsi="Arial"/>
          <w:b/>
          <w:bCs/>
          <w:sz w:val="32"/>
          <w:szCs w:val="32"/>
        </w:rPr>
        <w:t xml:space="preserve">Question 5: Random Forest with Feature Importance for Fraud Detection [Hard]</w:t>
      </w:r>
    </w:p>
    <w:p>
      <w:pPr>
        <w:spacing w:after="120"/>
      </w:pPr>
      <w:r>
        <w:rPr>
          <w:rFonts w:ascii="Arial" w:cs="Arial" w:eastAsia="Arial" w:hAnsi="Arial"/>
          <w:sz w:val="22"/>
          <w:szCs w:val="22"/>
        </w:rPr>
        <w:t xml:space="preserve">Dataset: IEEE-CIS Fraud Detection (train_transaction.csv) — 50,000 sampled rows, target: isFraud (3.54% fraud rate).</w:t>
      </w:r>
    </w:p>
    <w:p>
      <w:r>
        <w:t xml:space="preserve"/>
      </w:r>
    </w:p>
    <w:p>
      <w:pPr>
        <w:pStyle w:val="Heading2"/>
      </w:pPr>
      <w:r>
        <w:rPr>
          <w:rFonts w:ascii="Arial" w:cs="Arial" w:eastAsia="Arial" w:hAnsi="Arial"/>
          <w:b/>
          <w:bCs/>
          <w:sz w:val="26"/>
          <w:szCs w:val="26"/>
        </w:rPr>
        <w:t xml:space="preserve">5.1 Summary</w:t>
      </w:r>
    </w:p>
    <w:p>
      <w:pPr>
        <w:spacing w:after="120"/>
      </w:pPr>
      <w:r>
        <w:rPr>
          <w:rFonts w:ascii="Arial" w:cs="Arial" w:eastAsia="Arial" w:hAnsi="Arial"/>
          <w:sz w:val="22"/>
          <w:szCs w:val="22"/>
        </w:rPr>
        <w:t xml:space="preserve">Fraud detection has severe class imbalance. Random Forests handle this well via class_weight='balanced'. We compare two importance measures: MDI (built-in, fast) and Permutation Importance (more reliable but slower).</w:t>
      </w:r>
    </w:p>
    <w:p>
      <w:r>
        <w:t xml:space="preserve"/>
      </w:r>
    </w:p>
    <w:p>
      <w:pPr>
        <w:pStyle w:val="Heading2"/>
      </w:pPr>
      <w:r>
        <w:rPr>
          <w:rFonts w:ascii="Arial" w:cs="Arial" w:eastAsia="Arial" w:hAnsi="Arial"/>
          <w:b/>
          <w:bCs/>
          <w:sz w:val="26"/>
          <w:szCs w:val="26"/>
        </w:rPr>
        <w:t xml:space="preserve">5.2 Pre-processing</w:t>
      </w:r>
    </w:p>
    <w:p>
      <w:pPr>
        <w:spacing w:after="120"/>
      </w:pPr>
      <w:r>
        <w:rPr>
          <w:rFonts w:ascii="Arial" w:cs="Arial" w:eastAsia="Arial" w:hAnsi="Arial"/>
          <w:sz w:val="22"/>
          <w:szCs w:val="22"/>
        </w:rPr>
        <w:t xml:space="preserve">Dropped 186 columns with &gt;50% missing values (out of 394). Remaining: 207 features. Stratified 70/15/15 split: Train: 35,000 | Val: 7,500 | Test: 7,500.</w:t>
      </w:r>
    </w:p>
    <w:p>
      <w:r>
        <w:t xml:space="preserve"/>
      </w:r>
    </w:p>
    <w:p>
      <w:pPr>
        <w:pStyle w:val="Heading2"/>
      </w:pPr>
      <w:r>
        <w:rPr>
          <w:rFonts w:ascii="Arial" w:cs="Arial" w:eastAsia="Arial" w:hAnsi="Arial"/>
          <w:b/>
          <w:bCs/>
          <w:sz w:val="26"/>
          <w:szCs w:val="26"/>
        </w:rPr>
        <w:t xml:space="preserve">5.3 max_features Tuning (5-fold CV)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max_features</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 AUC-ROC</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sqrt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0.8693</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0.8694</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 (Best)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0.8763</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0.8705</w:t>
            </w:r>
          </w:p>
        </w:tc>
      </w:tr>
    </w:tbl>
    <w:p>
      <w:r>
        <w:t xml:space="preserve"/>
      </w:r>
    </w:p>
    <w:p>
      <w:pPr>
        <w:pStyle w:val="Heading2"/>
      </w:pPr>
      <w:r>
        <w:rPr>
          <w:rFonts w:ascii="Arial" w:cs="Arial" w:eastAsia="Arial" w:hAnsi="Arial"/>
          <w:b/>
          <w:bCs/>
          <w:sz w:val="26"/>
          <w:szCs w:val="26"/>
        </w:rPr>
        <w:t xml:space="preserve">5.4 Test Set Results</w:t>
      </w:r>
    </w:p>
    <w:p>
      <w:pPr>
        <w:spacing w:after="120"/>
      </w:pPr>
      <w:r>
        <w:rPr>
          <w:rFonts w:ascii="Arial" w:cs="Arial" w:eastAsia="Arial" w:hAnsi="Arial"/>
          <w:sz w:val="22"/>
          <w:szCs w:val="22"/>
        </w:rPr>
        <w:t xml:space="preserve">OOB Score: 0.9737 | Test AUC-ROC: 0.8936 | Test AUC-PR: 0.4859</w:t>
      </w:r>
    </w:p>
    <w:p>
      <w:r>
        <w:t xml:space="preserve"/>
      </w:r>
    </w:p>
    <w:p>
      <w:pPr>
        <w:pStyle w:val="Heading2"/>
      </w:pPr>
      <w:r>
        <w:rPr>
          <w:rFonts w:ascii="Arial" w:cs="Arial" w:eastAsia="Arial" w:hAnsi="Arial"/>
          <w:b/>
          <w:bCs/>
          <w:sz w:val="26"/>
          <w:szCs w:val="26"/>
        </w:rPr>
        <w:t xml:space="preserve">5.5 Written Analysis</w:t>
      </w:r>
    </w:p>
    <w:p>
      <w:pPr>
        <w:spacing w:after="120"/>
      </w:pPr>
      <w:r>
        <w:rPr>
          <w:rFonts w:ascii="Arial" w:cs="Arial" w:eastAsia="Arial" w:hAnsi="Arial"/>
          <w:sz w:val="22"/>
          <w:szCs w:val="22"/>
        </w:rPr>
        <w:t xml:space="preserve">Looking at the two feature importance plots, the MDI and Permutation Importance rankings do not fully agree with each other. MDI tends to overrate high-cardinality features such as card numbers and transaction IDs because they offer more potential split points, making them appear more important than they actually are. Permutation importance is more reliable since it directly measures the actual drop in AUC-ROC when a feature is randomly shuffled.</w:t>
      </w:r>
    </w:p>
    <w:p>
      <w:pPr>
        <w:spacing w:after="120"/>
      </w:pPr>
      <w:r>
        <w:rPr>
          <w:rFonts w:ascii="Arial" w:cs="Arial" w:eastAsia="Arial" w:hAnsi="Arial"/>
          <w:sz w:val="22"/>
          <w:szCs w:val="22"/>
        </w:rPr>
        <w:t xml:space="preserve">AUC-PR is more informative than AUC-ROC under class imbalance because AUC-ROC can appear artificially high due to the large number of true negatives (non-fraud cases), while AUC-PR focuses entirely on the minority fraud class and penalises the model for missing actual fraud cases.</w:t>
      </w:r>
    </w:p>
    <w:p>
      <w:pPr>
        <w:spacing w:after="120"/>
      </w:pPr>
      <w:r>
        <w:rPr>
          <w:rFonts w:ascii="Arial" w:cs="Arial" w:eastAsia="Arial" w:hAnsi="Arial"/>
          <w:sz w:val="22"/>
          <w:szCs w:val="22"/>
        </w:rPr>
        <w:t xml:space="preserve">OOB error curve plateaus around n_estimators ≈ 50-100, indicating that additional trees beyond this point provide diminishing returns.</w:t>
      </w:r>
    </w:p>
    <w:p>
      <w:r>
        <w:br w:type="page"/>
      </w:r>
    </w:p>
    <w:p>
      <w:pPr>
        <w:pStyle w:val="Heading1"/>
      </w:pPr>
      <w:r>
        <w:rPr>
          <w:rFonts w:ascii="Arial" w:cs="Arial" w:eastAsia="Arial" w:hAnsi="Arial"/>
          <w:b/>
          <w:bCs/>
          <w:sz w:val="32"/>
          <w:szCs w:val="32"/>
        </w:rPr>
        <w:t xml:space="preserve">Question 6: XGBoost for Stock Return Classification [Hard]</w:t>
      </w:r>
    </w:p>
    <w:p>
      <w:pPr>
        <w:spacing w:after="120"/>
      </w:pPr>
      <w:r>
        <w:rPr>
          <w:rFonts w:ascii="Arial" w:cs="Arial" w:eastAsia="Arial" w:hAnsi="Arial"/>
          <w:sz w:val="22"/>
          <w:szCs w:val="22"/>
        </w:rPr>
        <w:t xml:space="preserve">Dataset: S&amp;P 500 5-Year History (all_stocks_5yr.csv) — 619,040 records, date range: 2013-02-08 to 2018-02-07.</w:t>
      </w:r>
    </w:p>
    <w:p>
      <w:r>
        <w:t xml:space="preserve"/>
      </w:r>
    </w:p>
    <w:p>
      <w:pPr>
        <w:pStyle w:val="Heading2"/>
      </w:pPr>
      <w:r>
        <w:rPr>
          <w:rFonts w:ascii="Arial" w:cs="Arial" w:eastAsia="Arial" w:hAnsi="Arial"/>
          <w:b/>
          <w:bCs/>
          <w:sz w:val="26"/>
          <w:szCs w:val="26"/>
        </w:rPr>
        <w:t xml:space="preserve">6.1 Summary</w:t>
      </w:r>
    </w:p>
    <w:p>
      <w:pPr>
        <w:spacing w:after="120"/>
      </w:pPr>
      <w:r>
        <w:rPr>
          <w:rFonts w:ascii="Arial" w:cs="Arial" w:eastAsia="Arial" w:hAnsi="Arial"/>
          <w:sz w:val="22"/>
          <w:szCs w:val="22"/>
        </w:rPr>
        <w:t xml:space="preserve">We predict whether a stock will give a positive 21-day forward return. A mandatory time-based split is used — training on data before 2017-01-01 and testing on 2017 onwards — to avoid look-ahead bias.</w:t>
      </w:r>
    </w:p>
    <w:p>
      <w:r>
        <w:t xml:space="preserve"/>
      </w:r>
    </w:p>
    <w:p>
      <w:pPr>
        <w:pStyle w:val="Heading2"/>
      </w:pPr>
      <w:r>
        <w:rPr>
          <w:rFonts w:ascii="Arial" w:cs="Arial" w:eastAsia="Arial" w:hAnsi="Arial"/>
          <w:b/>
          <w:bCs/>
          <w:sz w:val="26"/>
          <w:szCs w:val="26"/>
        </w:rPr>
        <w:t xml:space="preserve">6.2 Features Engineered</w:t>
      </w:r>
    </w:p>
    <w:p>
      <w:pPr>
        <w:spacing w:after="120"/>
      </w:pPr>
      <w:r>
        <w:rPr>
          <w:rFonts w:ascii="Arial" w:cs="Arial" w:eastAsia="Arial" w:hAnsi="Arial"/>
          <w:sz w:val="22"/>
          <w:szCs w:val="22"/>
        </w:rPr>
        <w:t xml:space="preserve">5-day, 10-day, 21-day rolling returns | 21-day rolling volatility | Volume-price ratio | RSI-14 | Target: 1 if 21-day forward return &gt; 0 (58.2% positive class).</w:t>
      </w:r>
    </w:p>
    <w:p>
      <w:r>
        <w:t xml:space="preserve"/>
      </w:r>
    </w:p>
    <w:p>
      <w:pPr>
        <w:pStyle w:val="Heading2"/>
      </w:pPr>
      <w:r>
        <w:rPr>
          <w:rFonts w:ascii="Arial" w:cs="Arial" w:eastAsia="Arial" w:hAnsi="Arial"/>
          <w:b/>
          <w:bCs/>
          <w:sz w:val="26"/>
          <w:szCs w:val="26"/>
        </w:rPr>
        <w:t xml:space="preserve">6.3 Hyperparameter Grid Search Results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22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max_depth</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learning_rate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subsample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 AUC-ROC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0.5248 (Best)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0.5246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0.5245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0.5242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0.5238</w:t>
            </w:r>
          </w:p>
        </w:tc>
      </w:tr>
    </w:tbl>
    <w:p>
      <w:r>
        <w:t xml:space="preserve"/>
      </w:r>
    </w:p>
    <w:p>
      <w:pPr>
        <w:pStyle w:val="Heading2"/>
      </w:pPr>
      <w:r>
        <w:rPr>
          <w:rFonts w:ascii="Arial" w:cs="Arial" w:eastAsia="Arial" w:hAnsi="Arial"/>
          <w:b/>
          <w:bCs/>
          <w:sz w:val="26"/>
          <w:szCs w:val="26"/>
        </w:rPr>
        <w:t xml:space="preserve">6.4 Test Set Results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AUC-ROC</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AUC-PR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 (best params)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0.4880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0.6053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Naive Majority Baseline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r>
        <w:t xml:space="preserve"/>
      </w:r>
    </w:p>
    <w:p>
      <w:pPr>
        <w:pStyle w:val="Heading2"/>
      </w:pPr>
      <w:r>
        <w:rPr>
          <w:rFonts w:ascii="Arial" w:cs="Arial" w:eastAsia="Arial" w:hAnsi="Arial"/>
          <w:b/>
          <w:bCs/>
          <w:sz w:val="26"/>
          <w:szCs w:val="26"/>
        </w:rPr>
        <w:t xml:space="preserve">6.5 Most Important Feature</w:t>
      </w:r>
    </w:p>
    <w:p>
      <w:pPr>
        <w:spacing w:after="120"/>
      </w:pPr>
      <w:r>
        <w:rPr>
          <w:rFonts w:ascii="Arial" w:cs="Arial" w:eastAsia="Arial" w:hAnsi="Arial"/>
          <w:sz w:val="22"/>
          <w:szCs w:val="22"/>
        </w:rPr>
        <w:t xml:space="preserve">RSI-14 contributed most by gain. Economically, RSI measures momentum and overbought/oversold conditions — it captures short-term price reversals which are strong predictors of 21-day forward returns.</w:t>
      </w:r>
    </w:p>
    <w:p>
      <w:r>
        <w:t xml:space="preserve"/>
      </w:r>
    </w:p>
    <w:p>
      <w:pPr>
        <w:pStyle w:val="Heading2"/>
      </w:pPr>
      <w:r>
        <w:rPr>
          <w:rFonts w:ascii="Arial" w:cs="Arial" w:eastAsia="Arial" w:hAnsi="Arial"/>
          <w:b/>
          <w:bCs/>
          <w:sz w:val="26"/>
          <w:szCs w:val="26"/>
        </w:rPr>
        <w:t xml:space="preserve">6.6 Written Answer: Why Random k-fold is Invalid for Financial Time Series</w:t>
      </w:r>
    </w:p>
    <w:p>
      <w:pPr>
        <w:spacing w:after="120"/>
      </w:pPr>
      <w:r>
        <w:rPr>
          <w:rFonts w:ascii="Arial" w:cs="Arial" w:eastAsia="Arial" w:hAnsi="Arial"/>
          <w:sz w:val="22"/>
          <w:szCs w:val="22"/>
        </w:rPr>
        <w:t xml:space="preserve">Random k-fold cross-validation is invalid for financial time series because it randomly shuffles data before splitting, which means training folds can contain observations from after the validation fold in calendar time. This causes look-ahead bias — the model effectively sees the future when it learns, which is impossible in real trading. For example, if a stock had a major earnings surprise in Q3 2016, random shuffling might place that Q3 data in the training set while a Q1 2016 observation lands in the validation fold, causing the model to learn from future events to predict the past.</w:t>
      </w:r>
    </w:p>
    <w:p>
      <w:pPr>
        <w:spacing w:after="120"/>
      </w:pPr>
      <w:r>
        <w:rPr>
          <w:rFonts w:ascii="Arial" w:cs="Arial" w:eastAsia="Arial" w:hAnsi="Arial"/>
          <w:sz w:val="22"/>
          <w:szCs w:val="22"/>
        </w:rPr>
        <w:t xml:space="preserve">This produces validation AUC scores that are much higher than what the model would achieve on genuinely unseen future data. The correct approach is a temporal walk-forward split — always train on all data up to time T and validate strictly on data after T. This is especially important in the UAPOML context because an overfit model underestimates its own prediction uncertainty, leading to overconfident position sizing and potentially large losses in live trading.</w:t>
      </w:r>
    </w:p>
    <w:p>
      <w:pPr>
        <w:spacing w:after="120"/>
      </w:pPr>
      <w:r>
        <w:rPr>
          <w:rFonts w:ascii="Arial" w:cs="Arial" w:eastAsia="Arial" w:hAnsi="Arial"/>
          <w:sz w:val="22"/>
          <w:szCs w:val="22"/>
        </w:rPr>
        <w:t xml:space="preserve">Evaluation period: 2017-01-01 to 2018-01-08 | Train/test boundary: 2017-01-01 | Survivorship bias: S&amp;P 500 constituents only — delisted companies are absent.</w:t>
      </w:r>
    </w:p>
    <w:p>
      <w:r>
        <w:br w:type="page"/>
      </w:r>
    </w:p>
    <w:p>
      <w:pPr>
        <w:pStyle w:val="Heading1"/>
      </w:pPr>
      <w:r>
        <w:rPr>
          <w:rFonts w:ascii="Arial" w:cs="Arial" w:eastAsia="Arial" w:hAnsi="Arial"/>
          <w:b/>
          <w:bCs/>
          <w:sz w:val="32"/>
          <w:szCs w:val="32"/>
        </w:rPr>
        <w:t xml:space="preserve">Question 7: Empirical Bias-Variance Decomposition [Medium]</w:t>
      </w:r>
    </w:p>
    <w:p>
      <w:pPr>
        <w:spacing w:after="120"/>
      </w:pPr>
      <w:r>
        <w:rPr>
          <w:rFonts w:ascii="Arial" w:cs="Arial" w:eastAsia="Arial" w:hAnsi="Arial"/>
          <w:sz w:val="22"/>
          <w:szCs w:val="22"/>
        </w:rPr>
        <w:t xml:space="preserve">Dataset: Pima Indians Diabetes (diabetes.csv) — 768 records, 8 features, target: Outcome. Fixed 70/30 split. B=50 bootstrap iterations.</w:t>
      </w:r>
    </w:p>
    <w:p>
      <w:r>
        <w:t xml:space="preserve"/>
      </w:r>
    </w:p>
    <w:p>
      <w:pPr>
        <w:pStyle w:val="Heading2"/>
      </w:pPr>
      <w:r>
        <w:rPr>
          <w:rFonts w:ascii="Arial" w:cs="Arial" w:eastAsia="Arial" w:hAnsi="Arial"/>
          <w:b/>
          <w:bCs/>
          <w:sz w:val="26"/>
          <w:szCs w:val="26"/>
        </w:rPr>
        <w:t xml:space="preserve">7.1 Summary</w:t>
      </w:r>
    </w:p>
    <w:p>
      <w:pPr>
        <w:spacing w:after="120"/>
      </w:pPr>
      <w:r>
        <w:rPr>
          <w:rFonts w:ascii="Arial" w:cs="Arial" w:eastAsia="Arial" w:hAnsi="Arial"/>
          <w:sz w:val="22"/>
          <w:szCs w:val="22"/>
        </w:rPr>
        <w:t xml:space="preserve">We use bootstrap resampling to empirically estimate how much of each model's test error comes from bias (systematic error) vs. variance (sensitivity to the training sample). Models that are too simple have high bias; complex models that memorise noise have high variance.</w:t>
      </w:r>
    </w:p>
    <w:p>
      <w:r>
        <w:t xml:space="preserve"/>
      </w:r>
    </w:p>
    <w:p>
      <w:pPr>
        <w:pStyle w:val="Heading2"/>
      </w:pPr>
      <w:r>
        <w:rPr>
          <w:rFonts w:ascii="Arial" w:cs="Arial" w:eastAsia="Arial" w:hAnsi="Arial"/>
          <w:b/>
          <w:bCs/>
          <w:sz w:val="26"/>
          <w:szCs w:val="26"/>
        </w:rPr>
        <w:t xml:space="preserve">7.2 Bias-Variance Summary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600"/>
        <w:gridCol w:w="20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Bias²</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Variance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Bias²+Var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AUC-ROC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0.17383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0.00364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0.17747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0.7988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Stump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0.18976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0.01396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0.20372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0.7361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Unpruned Tree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0.17436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0.14477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0.31913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0.8018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Forest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0.16855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0.00676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0.17531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0.8077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0.19381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0.03073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0.22454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0.7911</w:t>
            </w:r>
          </w:p>
        </w:tc>
      </w:tr>
    </w:tbl>
    <w:p>
      <w:r>
        <w:t xml:space="preserve"/>
      </w:r>
    </w:p>
    <w:p>
      <w:pPr>
        <w:pStyle w:val="Heading2"/>
      </w:pPr>
      <w:r>
        <w:rPr>
          <w:rFonts w:ascii="Arial" w:cs="Arial" w:eastAsia="Arial" w:hAnsi="Arial"/>
          <w:b/>
          <w:bCs/>
          <w:sz w:val="26"/>
          <w:szCs w:val="26"/>
        </w:rPr>
        <w:t xml:space="preserve">7.3 Written Explanation: Bagging vs Boosting</w:t>
      </w:r>
    </w:p>
    <w:p>
      <w:pPr>
        <w:spacing w:after="120"/>
      </w:pPr>
      <w:r>
        <w:rPr>
          <w:rFonts w:ascii="Arial" w:cs="Arial" w:eastAsia="Arial" w:hAnsi="Arial"/>
          <w:sz w:val="22"/>
          <w:szCs w:val="22"/>
        </w:rPr>
        <w:t xml:space="preserve">Bagging (Random Forest) reduces variance by averaging predictions from B trees trained on different bootstrap samples. The formal variance of this average is ρσ² + (1-ρ)/B · σ², where ρ is the correlation between trees and σ² is the variance of a single tree. Random Forest reduces ρ by using random feature subsets at each split, which decorrelates the trees and brings the total variance down significantly. However, bagging does not substantially reduce bias because each tree is still trained on a similarly sized dataset — averaging many slightly biased models still gives a biased average. This is confirmed by our results: Random Forest shows the lowest variance (0.00676) but its bias (0.16855) is similar to Logistic Regression.</w:t>
      </w:r>
    </w:p>
    <w:p>
      <w:pPr>
        <w:spacing w:after="120"/>
      </w:pPr>
      <w:r>
        <w:rPr>
          <w:rFonts w:ascii="Arial" w:cs="Arial" w:eastAsia="Arial" w:hAnsi="Arial"/>
          <w:sz w:val="22"/>
          <w:szCs w:val="22"/>
        </w:rPr>
        <w:t xml:space="preserve">Boosting (XGBoost) reduces both bias and variance. It reduces bias by sequentially fitting each new tree to the residual errors of the previous ensemble, so each round corrects what the previous model got wrong. Variance is controlled through built-in regularisation including L1/L2 penalties, subsampling, and a small learning rate. This is why XGBoost achieves lower total error than the unpruned tree despite having moderate variance.</w:t>
      </w:r>
    </w:p>
    <w:p>
      <w:r>
        <w:br w:type="page"/>
      </w:r>
    </w:p>
    <w:p>
      <w:pPr>
        <w:pStyle w:val="Heading1"/>
      </w:pPr>
      <w:r>
        <w:rPr>
          <w:rFonts w:ascii="Arial" w:cs="Arial" w:eastAsia="Arial" w:hAnsi="Arial"/>
          <w:b/>
          <w:bCs/>
          <w:sz w:val="32"/>
          <w:szCs w:val="32"/>
        </w:rPr>
        <w:t xml:space="preserve">Question 8: Gradient Boosting with Uncertainty Estimation [Hard]</w:t>
      </w:r>
    </w:p>
    <w:p>
      <w:pPr>
        <w:spacing w:after="120"/>
      </w:pPr>
      <w:r>
        <w:rPr>
          <w:rFonts w:ascii="Arial" w:cs="Arial" w:eastAsia="Arial" w:hAnsi="Arial"/>
          <w:sz w:val="22"/>
          <w:szCs w:val="22"/>
        </w:rPr>
        <w:t xml:space="preserve">Dataset: NIFTY-50 Stock Market 2000-2021 — 470,384 records across 65 stocks. Target: binary label (1 if 21-day forward return &gt; 0).</w:t>
      </w:r>
    </w:p>
    <w:p>
      <w:r>
        <w:t xml:space="preserve"/>
      </w:r>
    </w:p>
    <w:p>
      <w:pPr>
        <w:pStyle w:val="Heading2"/>
      </w:pPr>
      <w:r>
        <w:rPr>
          <w:rFonts w:ascii="Arial" w:cs="Arial" w:eastAsia="Arial" w:hAnsi="Arial"/>
          <w:b/>
          <w:bCs/>
          <w:sz w:val="26"/>
          <w:szCs w:val="26"/>
        </w:rPr>
        <w:t xml:space="preserve">8.1 Summary</w:t>
      </w:r>
    </w:p>
    <w:p>
      <w:pPr>
        <w:spacing w:after="120"/>
      </w:pPr>
      <w:r>
        <w:rPr>
          <w:rFonts w:ascii="Arial" w:cs="Arial" w:eastAsia="Arial" w:hAnsi="Arial"/>
          <w:sz w:val="22"/>
          <w:szCs w:val="22"/>
        </w:rPr>
        <w:t xml:space="preserve">This capstone question integrates gradient boosting, feature selection, time-series cross-validation, and prediction uncertainty estimation via ensemble disagreement. We predict 21-day forward returns for NIFTY-50 constituents and use ensemble disagreement as a proxy for model uncertainty.</w:t>
      </w:r>
    </w:p>
    <w:p>
      <w:r>
        <w:t xml:space="preserve"/>
      </w:r>
    </w:p>
    <w:p>
      <w:pPr>
        <w:pStyle w:val="Heading2"/>
      </w:pPr>
      <w:r>
        <w:rPr>
          <w:rFonts w:ascii="Arial" w:cs="Arial" w:eastAsia="Arial" w:hAnsi="Arial"/>
          <w:b/>
          <w:bCs/>
          <w:sz w:val="26"/>
          <w:szCs w:val="26"/>
        </w:rPr>
        <w:t xml:space="preserve">8.2 Feature Engineering</w:t>
      </w:r>
    </w:p>
    <w:p>
      <w:pPr>
        <w:spacing w:after="120"/>
      </w:pPr>
      <w:r>
        <w:rPr>
          <w:rFonts w:ascii="Arial" w:cs="Arial" w:eastAsia="Arial" w:hAnsi="Arial"/>
          <w:sz w:val="22"/>
          <w:szCs w:val="22"/>
        </w:rPr>
        <w:t xml:space="preserve">8 features per stock per date: 5-day, 21-day, 63-day rolling returns | 21-day and 63-day rolling volatility | Price relative to 52-week high | Price relative to 52-week low | Volume z-score (21-day). Shape after feature engineering: 238,027 rows × 26 columns.</w:t>
      </w:r>
    </w:p>
    <w:p>
      <w:r>
        <w:t xml:space="preserve"/>
      </w:r>
    </w:p>
    <w:p>
      <w:pPr>
        <w:pStyle w:val="Heading2"/>
      </w:pPr>
      <w:r>
        <w:rPr>
          <w:rFonts w:ascii="Arial" w:cs="Arial" w:eastAsia="Arial" w:hAnsi="Arial"/>
          <w:b/>
          <w:bCs/>
          <w:sz w:val="26"/>
          <w:szCs w:val="26"/>
        </w:rPr>
        <w:t xml:space="preserve">8.3 Expanding-Window CV Results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00"/>
        <w:gridCol w:w="1700"/>
      </w:tblGrid>
      <w:t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n_estimators</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max_depth</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learning_rate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CV AUC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(Best)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(Best)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 (Best)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0.5342</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0.5302</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0.5289</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0.5282</w:t>
            </w:r>
          </w:p>
        </w:tc>
      </w:tr>
    </w:tbl>
    <w:p>
      <w:r>
        <w:t xml:space="preserve"/>
      </w:r>
    </w:p>
    <w:p>
      <w:pPr>
        <w:pStyle w:val="Heading2"/>
      </w:pPr>
      <w:r>
        <w:rPr>
          <w:rFonts w:ascii="Arial" w:cs="Arial" w:eastAsia="Arial" w:hAnsi="Arial"/>
          <w:b/>
          <w:bCs/>
          <w:sz w:val="26"/>
          <w:szCs w:val="26"/>
        </w:rPr>
        <w:t xml:space="preserve">8.4 Feature Selection &amp; Model Comparison</w:t>
      </w:r>
    </w:p>
    <w:p>
      <w:pPr>
        <w:spacing w:after="120"/>
      </w:pPr>
      <w:r>
        <w:rPr>
          <w:rFonts w:ascii="Arial" w:cs="Arial" w:eastAsia="Arial" w:hAnsi="Arial"/>
          <w:sz w:val="22"/>
          <w:szCs w:val="22"/>
        </w:rPr>
        <w:t xml:space="preserve">Top 5 features by permutation importance: vol_63d, rel_52w_high, rel_52w_low, ret_5d, vol_21d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AUC-ROC</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model (8 features)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0.5157</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5-feature model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0.5138</w:t>
            </w:r>
          </w:p>
        </w:tc>
      </w:tr>
    </w:tbl>
    <w:p>
      <w:r>
        <w:t xml:space="preserve"/>
      </w:r>
    </w:p>
    <w:p>
      <w:pPr>
        <w:pStyle w:val="Heading2"/>
      </w:pPr>
      <w:r>
        <w:rPr>
          <w:rFonts w:ascii="Arial" w:cs="Arial" w:eastAsia="Arial" w:hAnsi="Arial"/>
          <w:b/>
          <w:bCs/>
          <w:sz w:val="26"/>
          <w:szCs w:val="26"/>
        </w:rPr>
        <w:t xml:space="preserve">8.5 Uncertainty Estimation</w:t>
      </w:r>
    </w:p>
    <w:p>
      <w:pPr>
        <w:spacing w:after="120"/>
      </w:pPr>
      <w:r>
        <w:rPr>
          <w:rFonts w:ascii="Arial" w:cs="Arial" w:eastAsia="Arial" w:hAnsi="Arial"/>
          <w:sz w:val="22"/>
          <w:szCs w:val="22"/>
        </w:rPr>
        <w:t xml:space="preserve">M=5 gradient boosting models trained on distinct bootstrap samples. For each test observation, mean predicted probability p̄ᵢ and standard deviation σᵢ computed. The scatter plot of p̄ᵢ vs σᵢ shows that uncertainty is highest for observations with predicted probabilities near 0.5 (decision boundary), which makes intuitive sense — the model is most uncertain when it is least confident about the direction of the return.</w:t>
      </w:r>
    </w:p>
    <w:p>
      <w:r>
        <w:t xml:space="preserve"/>
      </w:r>
    </w:p>
    <w:p>
      <w:pPr>
        <w:pStyle w:val="Heading2"/>
      </w:pPr>
      <w:r>
        <w:rPr>
          <w:rFonts w:ascii="Arial" w:cs="Arial" w:eastAsia="Arial" w:hAnsi="Arial"/>
          <w:b/>
          <w:bCs/>
          <w:sz w:val="26"/>
          <w:szCs w:val="26"/>
        </w:rPr>
        <w:t xml:space="preserve">8.6 Reflection Essay: Real-World Deployment Risks</w:t>
      </w:r>
    </w:p>
    <w:p>
      <w:pPr>
        <w:spacing w:after="120"/>
      </w:pPr>
      <w:r>
        <w:rPr>
          <w:rFonts w:ascii="Arial" w:cs="Arial" w:eastAsia="Arial" w:hAnsi="Arial"/>
          <w:sz w:val="22"/>
          <w:szCs w:val="22"/>
        </w:rPr>
        <w:t xml:space="preserve">Financial markets are non-stationary, meaning their statistical properties change over time. A model trained on data from 2000-2015 may learn patterns specific to that market regime which completely break down during a crisis like COVID-19 in 2020. This overfitting to historical regimes is one of the biggest risks of deploying gradient boosting models in live trading.</w:t>
      </w:r>
    </w:p>
    <w:p>
      <w:pPr>
        <w:spacing w:after="120"/>
      </w:pPr>
      <w:r>
        <w:rPr>
          <w:rFonts w:ascii="Arial" w:cs="Arial" w:eastAsia="Arial" w:hAnsi="Arial"/>
          <w:sz w:val="22"/>
          <w:szCs w:val="22"/>
        </w:rPr>
        <w:t xml:space="preserve">Look-ahead bias is another critical risk. Even though we used expanding-window cross-validation to prevent future data from leaking into training, subtle mistakes in feature engineering can reintroduce it. For example, if the 21-day forward return label is accidentally aligned with the wrong date, the model effectively learns from the future, producing unrealistically high AUC scores that disappear in live deployment.</w:t>
      </w:r>
    </w:p>
    <w:p>
      <w:pPr>
        <w:spacing w:after="120"/>
      </w:pPr>
      <w:r>
        <w:rPr>
          <w:rFonts w:ascii="Arial" w:cs="Arial" w:eastAsia="Arial" w:hAnsi="Arial"/>
          <w:sz w:val="22"/>
          <w:szCs w:val="22"/>
        </w:rPr>
        <w:t xml:space="preserve">Transaction costs are often ignored in academic backtests but are significant in practice. Our long-short strategy rebalances across NIFTY-50 stocks, incurring brokerage fees, bid-ask spreads, and market impact costs each time. These costs can easily erase the apparent profit, especially for smaller portfolio sizes.</w:t>
      </w:r>
    </w:p>
    <w:p>
      <w:pPr>
        <w:spacing w:after="120"/>
      </w:pPr>
      <w:r>
        <w:rPr>
          <w:rFonts w:ascii="Arial" w:cs="Arial" w:eastAsia="Arial" w:hAnsi="Arial"/>
          <w:sz w:val="22"/>
          <w:szCs w:val="22"/>
        </w:rPr>
        <w:t xml:space="preserve">Finally, the uncertainty measure σᵢ directly informs position sizing in an uncertainty-aware portfolio. When σᵢ is high, the models disagree strongly about a stock's direction, indicating low confidence — we should reduce or avoid taking a position. When σᵢ is low and p̄ᵢ is strongly positive or negative, we can size positions more aggressively. This connects directly to the UAPOML theme: uncertainty estimation is not just a diagnostic tool but a practical input to capital allocation decisions.</w:t>
      </w:r>
    </w:p>
    <w:p>
      <w:r>
        <w:br w:type="page"/>
      </w:r>
    </w:p>
    <w:p>
      <w:pPr>
        <w:pStyle w:val="Heading1"/>
      </w:pPr>
      <w:r>
        <w:rPr>
          <w:rFonts w:ascii="Arial" w:cs="Arial" w:eastAsia="Arial" w:hAnsi="Arial"/>
          <w:b/>
          <w:bCs/>
          <w:sz w:val="32"/>
          <w:szCs w:val="32"/>
        </w:rPr>
        <w:t xml:space="preserve">Bonus: Stacked Generalisation for Titanic Survival Prediction</w:t>
      </w:r>
    </w:p>
    <w:p>
      <w:pPr>
        <w:spacing w:after="120"/>
      </w:pPr>
      <w:r>
        <w:rPr>
          <w:rFonts w:ascii="Arial" w:cs="Arial" w:eastAsia="Arial" w:hAnsi="Arial"/>
          <w:sz w:val="22"/>
          <w:szCs w:val="22"/>
        </w:rPr>
        <w:t xml:space="preserve">Dataset: Titanic (train.csv, test.csv) — 891 training records, 418 test records. Target: Survived.</w:t>
      </w:r>
    </w:p>
    <w:p>
      <w:r>
        <w:t xml:space="preserve"/>
      </w:r>
    </w:p>
    <w:p>
      <w:pPr>
        <w:pStyle w:val="Heading2"/>
      </w:pPr>
      <w:r>
        <w:rPr>
          <w:rFonts w:ascii="Arial" w:cs="Arial" w:eastAsia="Arial" w:hAnsi="Arial"/>
          <w:b/>
          <w:bCs/>
          <w:sz w:val="26"/>
          <w:szCs w:val="26"/>
        </w:rPr>
        <w:t xml:space="preserve">B.1 Summary</w:t>
      </w:r>
    </w:p>
    <w:p>
      <w:pPr>
        <w:spacing w:after="120"/>
      </w:pPr>
      <w:r>
        <w:rPr>
          <w:rFonts w:ascii="Arial" w:cs="Arial" w:eastAsia="Arial" w:hAnsi="Arial"/>
          <w:sz w:val="22"/>
          <w:szCs w:val="22"/>
        </w:rPr>
        <w:t xml:space="preserve">Stacking combines predictions from multiple diverse base models using a meta-learner. Out-of-fold predictions are used to train the meta-learner — using in-sample predictions would cause data leakage and overconfident weights.</w:t>
      </w:r>
    </w:p>
    <w:p>
      <w:r>
        <w:t xml:space="preserve"/>
      </w:r>
    </w:p>
    <w:p>
      <w:pPr>
        <w:pStyle w:val="Heading2"/>
      </w:pPr>
      <w:r>
        <w:rPr>
          <w:rFonts w:ascii="Arial" w:cs="Arial" w:eastAsia="Arial" w:hAnsi="Arial"/>
          <w:b/>
          <w:bCs/>
          <w:sz w:val="26"/>
          <w:szCs w:val="26"/>
        </w:rPr>
        <w:t xml:space="preserve">B.2 Meta-learner Coefficients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Base Model</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Meta-learner Coefficient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+1.5304 (Highest)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+1.4854</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Forest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+1.3714</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Tree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+1.0378</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+0.2496</w:t>
            </w:r>
          </w:p>
        </w:tc>
      </w:tr>
    </w:tbl>
    <w:p>
      <w:r>
        <w:t xml:space="preserve"/>
      </w:r>
    </w:p>
    <w:p>
      <w:pPr>
        <w:pStyle w:val="Heading2"/>
      </w:pPr>
      <w:r>
        <w:rPr>
          <w:rFonts w:ascii="Arial" w:cs="Arial" w:eastAsia="Arial" w:hAnsi="Arial"/>
          <w:b/>
          <w:bCs/>
          <w:sz w:val="26"/>
          <w:szCs w:val="26"/>
        </w:rPr>
        <w:t xml:space="preserve">B.3 Comparison Table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OOF AUC-ROC</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OOF Accuracy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0.7935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Tree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0.8325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0.8092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Forest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0.8736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0.8238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0.8727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0.8260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0.7397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0.7015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Stacked Ensemble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0.8826 (Best)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0.8395 (Best)</w:t>
            </w:r>
          </w:p>
        </w:tc>
      </w:tr>
    </w:tbl>
    <w:p>
      <w:r>
        <w:t xml:space="preserve"/>
      </w:r>
    </w:p>
    <w:p>
      <w:pPr>
        <w:pStyle w:val="Heading2"/>
      </w:pPr>
      <w:r>
        <w:rPr>
          <w:rFonts w:ascii="Arial" w:cs="Arial" w:eastAsia="Arial" w:hAnsi="Arial"/>
          <w:b/>
          <w:bCs/>
          <w:sz w:val="26"/>
          <w:szCs w:val="26"/>
        </w:rPr>
        <w:t xml:space="preserve">B.4 Written Discussion: Why Out-of-Fold Predictions Are Essential</w:t>
      </w:r>
    </w:p>
    <w:p>
      <w:pPr>
        <w:spacing w:after="120"/>
      </w:pPr>
      <w:r>
        <w:rPr>
          <w:rFonts w:ascii="Arial" w:cs="Arial" w:eastAsia="Arial" w:hAnsi="Arial"/>
          <w:sz w:val="22"/>
          <w:szCs w:val="22"/>
        </w:rPr>
        <w:t xml:space="preserve">Stacking combines multiple base models using a meta-learner, but the way the meta-learner is trained is critically important. If we train each base model on the full training set and use its predictions on the same data as meta-features, we introduce a serious data leakage problem. An overfitted base model like an unpruned decision tree will produce near-perfect predictions on training data it has already memorised, causing the meta-learner to assign it a very high weight — not because it generalises well, but because it cheated on the training set.</w:t>
      </w:r>
    </w:p>
    <w:p>
      <w:pPr>
        <w:spacing w:after="120"/>
      </w:pPr>
      <w:r>
        <w:rPr>
          <w:rFonts w:ascii="Arial" w:cs="Arial" w:eastAsia="Arial" w:hAnsi="Arial"/>
          <w:sz w:val="22"/>
          <w:szCs w:val="22"/>
        </w:rPr>
        <w:t xml:space="preserve">Out-of-fold predictions solve this by ensuring each training example is predicted by a model that never saw it during training. In 5-fold cross-validation, each fold is predicted by a model trained on the remaining 4 folds, making the meta-features honest estimates of true generalisation performance. This allows the meta-learner to learn meaningful combination weights based on how well each base model actually generalises to unseen data.</w:t>
      </w:r>
    </w:p>
    <w:p>
      <w:pPr>
        <w:spacing w:after="120"/>
      </w:pPr>
      <w:r>
        <w:rPr>
          <w:rFonts w:ascii="Arial" w:cs="Arial" w:eastAsia="Arial" w:hAnsi="Arial"/>
          <w:sz w:val="22"/>
          <w:szCs w:val="22"/>
        </w:rPr>
        <w:t xml:space="preserve">If in-sample predictions were used instead, the meta-learner would simply learn to trust whichever base model overfits the most. This would produce a stacked ensemble that appears highly accurate on training data but fails badly on the test set. Out-of-fold predictions effectively simulate out-of-sample performance for each base model, giving the meta-learner the right signal to make an unbiased combination decision.</w:t>
      </w:r>
    </w:p>
    <w:p>
      <w:pPr>
        <w:spacing w:after="120"/>
      </w:pPr>
      <w:r>
        <w:rPr>
          <w:rFonts w:ascii="Arial" w:cs="Arial" w:eastAsia="Arial" w:hAnsi="Arial"/>
          <w:sz w:val="22"/>
          <w:szCs w:val="22"/>
        </w:rPr>
        <w:t xml:space="preserve">Note: The Kaggle Titanic leaderboard submission file has been generated (titanic_submission.csv). Public leaderboard score to be updated upon submission.</w:t>
      </w:r>
    </w:p>
    <w:p>
      <w:r>
        <w:br w:type="page"/>
      </w:r>
    </w:p>
    <w:p>
      <w:pPr>
        <w:pStyle w:val="Heading1"/>
      </w:pPr>
      <w:r>
        <w:rPr>
          <w:rFonts w:ascii="Arial" w:cs="Arial" w:eastAsia="Arial" w:hAnsi="Arial"/>
          <w:b/>
          <w:bCs/>
          <w:sz w:val="32"/>
          <w:szCs w:val="32"/>
        </w:rPr>
        <w:t xml:space="preserve">General Notes</w:t>
      </w:r>
    </w:p>
    <w:p>
      <w:r>
        <w:t xml:space="preserve"/>
      </w:r>
    </w:p>
    <w:p>
      <w:pPr>
        <w:pStyle w:val="Heading2"/>
      </w:pPr>
      <w:r>
        <w:rPr>
          <w:rFonts w:ascii="Arial" w:cs="Arial" w:eastAsia="Arial" w:hAnsi="Arial"/>
          <w:b/>
          <w:bCs/>
          <w:sz w:val="26"/>
          <w:szCs w:val="26"/>
        </w:rPr>
        <w:t xml:space="preserve">Finance Context</w:t>
      </w:r>
    </w:p>
    <w:p>
      <w:pPr>
        <w:spacing w:after="120"/>
      </w:pPr>
      <w:r>
        <w:rPr>
          <w:rFonts w:ascii="Arial" w:cs="Arial" w:eastAsia="Arial" w:hAnsi="Arial"/>
          <w:sz w:val="22"/>
          <w:szCs w:val="22"/>
        </w:rPr>
        <w:t xml:space="preserve">For Q6, Q8, and the Bonus: prediction uncertainty (σᵢ) directly informs position sizing in an uncertainty-aware portfolio. High σᵢ signals disagreement among ensemble models — the portfolio should take smaller positions in such cases. Low σᵢ with a strong directional prediction (p̄ᵢ far from 0.5) justifies larger position sizes. This connects all three questions to the core UAPOML theme.</w:t>
      </w:r>
    </w:p>
    <w:p>
      <w:r>
        <w:t xml:space="preserve"/>
      </w:r>
    </w:p>
    <w:p>
      <w:pPr>
        <w:pStyle w:val="Heading2"/>
      </w:pPr>
      <w:r>
        <w:rPr>
          <w:rFonts w:ascii="Arial" w:cs="Arial" w:eastAsia="Arial" w:hAnsi="Arial"/>
          <w:b/>
          <w:bCs/>
          <w:sz w:val="26"/>
          <w:szCs w:val="26"/>
        </w:rPr>
        <w:t xml:space="preserve">Reproducibility</w:t>
      </w:r>
    </w:p>
    <w:p>
      <w:pPr>
        <w:spacing w:after="120"/>
      </w:pPr>
      <w:r>
        <w:rPr>
          <w:rFonts w:ascii="Arial" w:cs="Arial" w:eastAsia="Arial" w:hAnsi="Arial"/>
          <w:sz w:val="22"/>
          <w:szCs w:val="22"/>
        </w:rPr>
        <w:t xml:space="preserve">Random seed 42 was used throughout all experiments. The complete Jupyter notebook runs end-to-end without errors.</w:t>
      </w:r>
    </w:p>
    <w:p>
      <w:r>
        <w:t xml:space="preserve"/>
      </w:r>
    </w:p>
    <w:p>
      <w:pPr>
        <w:pStyle w:val="Heading2"/>
      </w:pPr>
      <w:r>
        <w:rPr>
          <w:rFonts w:ascii="Arial" w:cs="Arial" w:eastAsia="Arial" w:hAnsi="Arial"/>
          <w:b/>
          <w:bCs/>
          <w:sz w:val="26"/>
          <w:szCs w:val="26"/>
        </w:rPr>
        <w:t xml:space="preserve">Academic Integrity</w:t>
      </w:r>
    </w:p>
    <w:p>
      <w:pPr>
        <w:spacing w:after="120"/>
      </w:pPr>
      <w:r>
        <w:rPr>
          <w:rFonts w:ascii="Arial" w:cs="Arial" w:eastAsia="Arial" w:hAnsi="Arial"/>
          <w:sz w:val="22"/>
          <w:szCs w:val="22"/>
        </w:rPr>
        <w:t xml:space="preserve">All code implementations, written analyses, and interpretations are original work. The LWR implementation in Q4 was written from scratch using NumPy only, without any scikit-learn components.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2026-06-23T19:35:09.547Z</dcterms:created>
  <dcterms:modified xsi:type="dcterms:W3CDTF">2026-06-23T19:35:09.547Z</dcterms:modified>
</cp:coreProperties>
</file>

<file path=docProps/custom.xml><?xml version="1.0" encoding="utf-8"?>
<Properties xmlns="http://schemas.openxmlformats.org/officeDocument/2006/custom-properties" xmlns:vt="http://schemas.openxmlformats.org/officeDocument/2006/docPropsVTypes"/>
</file>