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OpenDC-LCA: boundary-aware evidence synthesis for data-center cooling under grid decarbonization</w:t>
      </w:r>
    </w:p>
    <w:p>
      <w:pPr>
        <w:spacing w:after="60"/>
        <w:jc w:val="center"/>
      </w:pPr>
      <w:r>
        <w:rPr>
          <w:rFonts w:ascii="Calibri" w:hAnsi="Calibri"/>
          <w:b/>
          <w:i w:val="0"/>
          <w:color w:val="17324D"/>
          <w:sz w:val="22"/>
        </w:rPr>
        <w:t>Han Hu and Darin W. Nutter</w:t>
      </w:r>
    </w:p>
    <w:p>
      <w:pPr>
        <w:spacing w:after="60"/>
        <w:jc w:val="center"/>
      </w:pPr>
      <w:r>
        <w:rPr>
          <w:rFonts w:ascii="Calibri" w:hAnsi="Calibri"/>
          <w:b/>
          <w:i w:val="0"/>
          <w:color w:val="17324D"/>
          <w:sz w:val="22"/>
        </w:rPr>
        <w:t>Department of Mechanical Engineering, University of Arkansas, Fayetteville, Arkansas, USA</w:t>
      </w:r>
    </w:p>
    <w:p>
      <w:pPr>
        <w:spacing w:after="240"/>
        <w:jc w:val="center"/>
      </w:pPr>
      <w:r>
        <w:rPr>
          <w:rFonts w:ascii="Calibri" w:hAnsi="Calibri"/>
          <w:b w:val="0"/>
          <w:i/>
          <w:color w:val="60758A"/>
          <w:sz w:val="19"/>
        </w:rPr>
        <w:t>Draft for coauthor review. Authorship, order, contributions, target journal, and corresponding-author information must be confirmed before submission.</w:t>
      </w:r>
    </w:p>
    <w:p>
      <w:pPr>
        <w:spacing w:before="100" w:after="160"/>
        <w:pBdr>
          <w:bottom w:val="single" w:sz="10" w:space="1" w:color="1F4E79"/>
        </w:pBdr>
      </w:pPr>
    </w:p>
    <w:p>
      <w:pPr>
        <w:pStyle w:val="Heading1"/>
      </w:pPr>
      <w:r>
        <w:t>Abstract</w:t>
      </w:r>
    </w:p>
    <w:p>
      <w:r>
        <w:rPr>
          <w:rFonts w:ascii="Calibri" w:hAnsi="Calibri"/>
          <w:sz w:val="21"/>
        </w:rPr>
        <w:t>Cooling life-cycle assessments (LCAs) are reported as technology rankings even though electricity accounting, useful-computation equivalence, system boundaries, and foreground data vary among studies. We present OpenDC-LCA, an open-source evidence layer connecting data-center cooling engineering to LCA tools while retaining source identity, functional unit, transformation limits, and claim status. We reconciled all 24 normalized totals released with a Microsoft/WSP hyperscale cooling study, reconstructed nine U.S. EPA eGRID years to a common AR5 GWP100 basis, and evaluated anchor coverage, boundary mismatch, functional-unit sensitivity, and joint assumption stress. The harmonized U.S. generation rate declined 32.46%, from 517.73 kg CO2e/MWh in 2012 to 349.67 kg CO2e/MWh in 2023; changing historical GWP bases altered any annual national rate by at most 0.248 kg CO2e/MWh. In contrast, 137 of 459 state-year rates lay outside the two released electricity anchors. The cold-plate/single-phase-immersion crossover occurred at 96.7 kg CO2e/MWh, but the sole 2023 state below it disappeared when a transparent 75 kg CO2e/MWh upstream-boundary allowance was applied. Two-phase immersion ranked first in every deterministic state-year screen, yet its U.S. first-rank frequency fell from 99.3% to 56.2% across narrow-to-wide declared stress envelopes. A median 5.50% adverse correction to its impact per equivalent useful computation erased first rank. These frequencies are sensitivity diagnostics, not probabilities. The results show that the national decarbonization trend is robust, whereas local cooling rankings depend on boundary and service-equivalence evidence. OpenDC-LCA converts those dependencies into explicit data-acquisition priorities rather than hiding them inside a universal league table.</w:t>
      </w:r>
    </w:p>
    <w:p>
      <w:r>
        <w:rPr>
          <w:rFonts w:ascii="Calibri" w:hAnsi="Calibri"/>
          <w:b/>
          <w:sz w:val="21"/>
        </w:rPr>
        <w:t>Keywords:</w:t>
      </w:r>
      <w:r>
        <w:rPr>
          <w:rFonts w:ascii="Calibri" w:hAnsi="Calibri"/>
          <w:sz w:val="21"/>
        </w:rPr>
        <w:t xml:space="preserve"> data center; life-cycle assessment; immersion cooling; grid decarbonization; uncertainty; functional unit; open-source software</w:t>
      </w:r>
    </w:p>
    <w:p>
      <w:pPr>
        <w:pStyle w:val="Heading1"/>
      </w:pPr>
      <w:r>
        <w:t>1. Introduction</w:t>
      </w:r>
    </w:p>
    <w:p>
      <w:pPr>
        <w:pStyle w:val="Heading2"/>
      </w:pPr>
      <w:r>
        <w:t>1.1. Cooling is an energy-system and lifecycle decision</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artificial-intelligence workloads make energy efficiency and supply decarbonization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alternatives are not interchangeable heat exchangers. They alter server fans, pumps, coolant distribution units, heat-rejection temperature, fluid inventory, rack or tank construction, packing density, repair procedures, and sometimes achievable clock rate. System experiments have reported materially different coefficient of performance and cost behavior for single- and two-phase immersion over load [6], while recent single-phase tests show that flow direction, coolant viscosity, and water temperature affect chip temperature, thermal resistance, and PUE [7]. Two-phase experiments similarly show that boiling, pressure stability, and condenser performance must be evaluated at server and system levels [8]. A comparison at equal rack count, equal IT electricity, or equal nameplate capacity can therefore compare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therefore an energy-system decision with lifecycle consequences, not a single-metric efficiency contest.</w:t>
      </w:r>
    </w:p>
    <w:p>
      <w:pPr>
        <w:pStyle w:val="Heading2"/>
      </w:pPr>
      <w:r>
        <w:t>1.2. What existing data-center LCAs establish</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comprehensive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LCA work confirms that electricity decarbonization and cooling efficiency are complementary but can shift impacts among categories [16]. Manufacturer and ICT studies also show wide dispersion in embodied server impacts [17,18]. Together, these studies establish the need for lifecycle assessment while exposing a transferability problem: a static result at one grid, one performance assumption, and one database system cannot be treated as a universal cooling ranking.</w:t>
      </w:r>
    </w:p>
    <w:p>
      <w:pPr>
        <w:pStyle w:val="Heading2"/>
      </w:pPr>
      <w:r>
        <w:t>1.3. Electricity accounting, time, and geography</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[19,20]. Average rates can also fail to represent the effect of workload shifting; Dandres et al. found that average and marginal electricity signals can lead to different real-time data-center decisions [21].</w:t>
      </w:r>
    </w:p>
    <w:p>
      <w:r>
        <w:rPr>
          <w:rFonts w:ascii="Calibri" w:hAnsi="Calibri"/>
          <w:sz w:val="21"/>
        </w:rPr>
        <w:t>Time enters at several levels: cooling performance varies with load and weather; grid composition varies hourly and over years; equipment is replaced at discrete times; and background technologies evolve. Dynamic-LCA reviews distinguish temporal inventory, characterization, and prospective background change [22,23]. Open tools such as Temporalis and, more recently, bw_timex show how temporal information can be propagated through process networks [24-26]. For cooling, hourly operation is necessary but insufficient: the grid method, geography, and upstream boundary must also be aligned. A weather file cannot repair an incompatible electricity inventory.</w:t>
      </w:r>
    </w:p>
    <w:p>
      <w:pPr>
        <w:pStyle w:val="Heading2"/>
      </w:pPr>
      <w:r>
        <w:t>1.4. Data quality, uncertainty, and the decision value of evidence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Reviews recommend separating variability from uncertainty and using sensitivity analysis to identify influential assumptions [27]. Pedigree matrices can communicate reliability, temporal, geographic, and technological representativeness, but the conversion from qualitative scores to uncertainty is itself a modeling choice [28,29].</w:t>
      </w:r>
    </w:p>
    <w:p>
      <w:r>
        <w:rPr>
          <w:rFonts w:ascii="Calibri" w:hAnsi="Calibri"/>
          <w:sz w:val="21"/>
        </w:rPr>
        <w:t>Data-quality assessment is therefore not a decorative appendix. EPA guidance emphasizes reproducible documentation at flow and process levels [29]. Decision analysis goes further: value-of-information methods prioritize data whose resolution is expected to change a decision, rather than simply improving every weak input [30]. This distinction is important for electronics-cooling laboratories. A parameter may have poor pedigree but negligible decision leverage; a seemingly precise PUE difference may be decisive if two lifecycle alternatives are nearly tied.</w:t>
      </w:r>
    </w:p>
    <w:p>
      <w:pPr>
        <w:pStyle w:val="Heading2"/>
      </w:pPr>
      <w:r>
        <w:t>1.5. Research gap and contribution</w:t>
      </w:r>
    </w:p>
    <w:p>
      <w:r>
        <w:rPr>
          <w:rFonts w:ascii="Calibri" w:hAnsi="Calibri"/>
          <w:sz w:val="21"/>
        </w:rPr>
        <w:t>General engines such as openLCA and Brightway calculate process networks, exchange inventories, and apply LCIA methods [31,32].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w:t>
      </w:r>
    </w:p>
    <w:p>
      <w:r>
        <w:rPr>
          <w:rFonts w:ascii="Calibri" w:hAnsi="Calibri"/>
          <w:sz w:val="21"/>
        </w:rPr>
        <w:t>Five gaps remain at the intersection of cooling engineering and LCA:</w:t>
      </w:r>
    </w:p>
    <w:p>
      <w:pPr>
        <w:spacing w:after="60"/>
        <w:ind w:left="374" w:hanging="288"/>
      </w:pPr>
      <w:r>
        <w:rPr>
          <w:rFonts w:ascii="Calibri" w:hAnsi="Calibri"/>
          <w:sz w:val="21"/>
        </w:rPr>
        <w:t>1. published normalized totals cannot be transparently updated when foreground</w:t>
      </w:r>
    </w:p>
    <w:p>
      <w:r>
        <w:rPr>
          <w:rFonts w:ascii="Calibri" w:hAnsi="Calibri"/>
          <w:sz w:val="21"/>
        </w:rPr>
        <w:t>quantities and licensed process mappings are incomplete;</w:t>
      </w:r>
    </w:p>
    <w:p>
      <w:pPr>
        <w:spacing w:after="60"/>
        <w:ind w:left="374" w:hanging="288"/>
      </w:pPr>
      <w:r>
        <w:rPr>
          <w:rFonts w:ascii="Calibri" w:hAnsi="Calibri"/>
          <w:sz w:val="21"/>
        </w:rPr>
        <w:t>2. annual, static results hide grid, weather, and load transferability;</w:t>
      </w:r>
    </w:p>
    <w:p>
      <w:pPr>
        <w:spacing w:after="60"/>
        <w:ind w:left="374" w:hanging="288"/>
      </w:pPr>
      <w:r>
        <w:rPr>
          <w:rFonts w:ascii="Calibri" w:hAnsi="Calibri"/>
          <w:sz w:val="21"/>
        </w:rPr>
        <w:t>3. common-unit electricity factors can retain incompatible characterization</w:t>
      </w:r>
    </w:p>
    <w:p>
      <w:r>
        <w:rPr>
          <w:rFonts w:ascii="Calibri" w:hAnsi="Calibri"/>
          <w:sz w:val="21"/>
        </w:rPr>
        <w:t>methods and system boundaries;</w:t>
      </w:r>
    </w:p>
    <w:p>
      <w:pPr>
        <w:spacing w:after="60"/>
        <w:ind w:left="374" w:hanging="288"/>
      </w:pPr>
      <w:r>
        <w:rPr>
          <w:rFonts w:ascii="Calibri" w:hAnsi="Calibri"/>
          <w:sz w:val="21"/>
        </w:rPr>
        <w:t>4. qualitative data-quality scores do not directly show which measurement</w:t>
      </w:r>
    </w:p>
    <w:p>
      <w:r>
        <w:rPr>
          <w:rFonts w:ascii="Calibri" w:hAnsi="Calibri"/>
          <w:sz w:val="21"/>
        </w:rPr>
        <w:t>could change the technology decision; and</w:t>
      </w:r>
    </w:p>
    <w:p>
      <w:pPr>
        <w:spacing w:after="60"/>
        <w:ind w:left="374" w:hanging="288"/>
      </w:pPr>
      <w:r>
        <w:rPr>
          <w:rFonts w:ascii="Calibri" w:hAnsi="Calibri"/>
          <w:sz w:val="21"/>
        </w:rPr>
        <w:t>5. software often produces a number without preserving whether it is</w:t>
      </w:r>
    </w:p>
    <w:p>
      <w:r>
        <w:rPr>
          <w:rFonts w:ascii="Calibri" w:hAnsi="Calibri"/>
          <w:sz w:val="21"/>
        </w:rPr>
        <w:t>reconstructed, screened, empirically supported, or suitable for a comparative claim.</w:t>
      </w:r>
    </w:p>
    <w:p>
      <w:r>
        <w:rPr>
          <w:rFonts w:ascii="Calibri" w:hAnsi="Calibri"/>
          <w:sz w:val="21"/>
        </w:rPr>
        <w:t>This study addresses those gaps with a boundary-aware evidence layer and a secondary analysis of the released Microsoft/WSP case. The specific contributions are:</w:t>
      </w:r>
    </w:p>
    <w:p>
      <w:pPr>
        <w:spacing w:after="60"/>
        <w:ind w:left="374" w:hanging="288"/>
      </w:pPr>
      <w:r>
        <w:rPr>
          <w:rFonts w:ascii="Calibri" w:hAnsi="Calibri"/>
          <w:sz w:val="21"/>
        </w:rPr>
        <w:t>1. exact arithmetic reconstruction of 24 released architecture-scenario-impact</w:t>
      </w:r>
    </w:p>
    <w:p>
      <w:r>
        <w:rPr>
          <w:rFonts w:ascii="Calibri" w:hAnsi="Calibri"/>
          <w:sz w:val="21"/>
        </w:rPr>
        <w:t>totals;</w:t>
      </w:r>
    </w:p>
    <w:p>
      <w:pPr>
        <w:spacing w:after="60"/>
        <w:ind w:left="374" w:hanging="288"/>
      </w:pPr>
      <w:r>
        <w:rPr>
          <w:rFonts w:ascii="Calibri" w:hAnsi="Calibri"/>
          <w:sz w:val="21"/>
        </w:rPr>
        <w:t>2. a common-basis reconstruction of nine eGRID releases from gas-specific</w:t>
      </w:r>
    </w:p>
    <w:p>
      <w:r>
        <w:rPr>
          <w:rFonts w:ascii="Calibri" w:hAnsi="Calibri"/>
          <w:sz w:val="21"/>
        </w:rPr>
        <w:t>emissions rather than comparison of provider CO2e fields with changing GWP conventions;</w:t>
      </w:r>
    </w:p>
    <w:p>
      <w:pPr>
        <w:spacing w:after="60"/>
        <w:ind w:left="374" w:hanging="288"/>
      </w:pPr>
      <w:r>
        <w:rPr>
          <w:rFonts w:ascii="Calibri" w:hAnsi="Calibri"/>
          <w:sz w:val="21"/>
        </w:rPr>
        <w:t>3. explicit diagnostics for anchor extrapolation, electricity-boundary</w:t>
      </w:r>
    </w:p>
    <w:p>
      <w:r>
        <w:rPr>
          <w:rFonts w:ascii="Calibri" w:hAnsi="Calibri"/>
          <w:sz w:val="21"/>
        </w:rPr>
        <w:t>mismatch, useful-computation equivalence, and joint assumption stress;</w:t>
      </w:r>
    </w:p>
    <w:p>
      <w:pPr>
        <w:spacing w:after="60"/>
        <w:ind w:left="374" w:hanging="288"/>
      </w:pPr>
      <w:r>
        <w:rPr>
          <w:rFonts w:ascii="Calibri" w:hAnsi="Calibri"/>
          <w:sz w:val="21"/>
        </w:rPr>
        <w:t>4. transparent use of Boavizta, ÖKOBAUDAT, USLCI, GLAD, NOAA, and USGS data</w:t>
      </w:r>
    </w:p>
    <w:p>
      <w:r>
        <w:rPr>
          <w:rFonts w:ascii="Calibri" w:hAnsi="Calibri"/>
          <w:sz w:val="21"/>
        </w:rPr>
        <w:t>according to their supported numerical role; and</w:t>
      </w:r>
    </w:p>
    <w:p>
      <w:pPr>
        <w:spacing w:after="60"/>
        <w:ind w:left="374" w:hanging="288"/>
      </w:pPr>
      <w:r>
        <w:rPr>
          <w:rFonts w:ascii="Calibri" w:hAnsi="Calibri"/>
          <w:sz w:val="21"/>
        </w:rPr>
        <w:t>5. an open package that emits both results and an evidence/claim classification.</w:t>
      </w:r>
    </w:p>
    <w:p>
      <w:r>
        <w:rPr>
          <w:rFonts w:ascii="Calibri" w:hAnsi="Calibri"/>
          <w:sz w:val="21"/>
        </w:rPr>
        <w:t>The aim is not to independently reproduce a proprietary product system or declare a winning cooling technology. It is to determine which conclusions survive disclosed transformations and which require new measurements.</w:t>
      </w:r>
    </w:p>
    <w:p>
      <w:pPr>
        <w:pStyle w:val="Heading1"/>
      </w:pPr>
      <w:r>
        <w:t>2. Framework and methods</w:t>
      </w:r>
    </w:p>
    <w:p>
      <w:pPr>
        <w:pStyle w:val="Heading2"/>
      </w:pPr>
      <w:r>
        <w:t>2.1. Evidence-to-decision architecture</w:t>
      </w:r>
    </w:p>
    <w:p>
      <w:r>
        <w:rPr>
          <w:rFonts w:ascii="Calibri" w:hAnsi="Calibri"/>
          <w:sz w:val="21"/>
        </w:rPr>
        <w:t>Figure 1 shows the OpenDC-LCA workflow. Every source is registered with provider, version, persistent identifier or URL, geography, reference year, declared unit, boundary, license or redistribution constraint, evidence class, and checksum. The harmonization stage then asks, in order: are the alternatives functionally equivalent; are the units, characterization methods, time, and geography aligned; is the required transformation interpolation or extrapolation; and are uncertainty, correlation, and review status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w:t>
      </w:r>
    </w:p>
    <w:p>
      <w:r>
        <w:rPr>
          <w:rFonts w:ascii="Calibri" w:hAnsi="Calibri"/>
          <w:sz w:val="21"/>
        </w:rPr>
        <w:t>OpenDC-LCA is implemented in Python 3.10 or later and distributed under the MIT License [33]. Version 1.1.0 provides a command-line interface, Python API, local browser GUI, scenario and performance-map schemas, reliability and replacement models, openLCA JSON-LD and Brightway mappings, evidence audits, and human- and machine-readable reports.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pPr>
        <w:pStyle w:val="Heading2"/>
      </w:pPr>
      <w:r>
        <w:t>2.3. Dataset roles and inclusion logic</w:t>
      </w:r>
    </w:p>
    <w:p>
      <w:r>
        <w:rPr>
          <w:rFonts w:ascii="Calibri" w:hAnsi="Calibri"/>
          <w:sz w:val="21"/>
        </w:rPr>
        <w:t>Table 1 states how each downloaded source enters this study. This is an important methodological control: being readable by the software does not make a dataset compatible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1300"/>
        <w:gridCol w:w="1150"/>
        <w:gridCol w:w="2300"/>
        <w:gridCol w:w="3000"/>
        <w:gridCol w:w="1610"/>
      </w:tblGrid>
      <w:tr>
        <w:trPr>
          <w:tblHeader w:val="true"/>
          <w:cantSplit w:val="true"/>
        </w:trPr>
        <w:tc>
          <w:tcPr>
            <w:tcW w:type="dxa" w:w="130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w:t>
            </w:r>
          </w:p>
        </w:tc>
        <w:tc>
          <w:tcPr>
            <w:tcW w:type="dxa" w:w="11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Records used</w:t>
            </w:r>
          </w:p>
        </w:tc>
        <w:tc>
          <w:tcPr>
            <w:tcW w:type="dxa" w:w="230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300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Why not used more broadly</w:t>
            </w:r>
          </w:p>
        </w:tc>
        <w:tc>
          <w:tcPr>
            <w:tcW w:type="dxa" w:w="161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Evidence class</w:t>
            </w:r>
          </w:p>
        </w:tc>
      </w:tr>
      <w:tr>
        <w:trPr>
          <w:cantSplit w:val="true"/>
        </w:trPr>
        <w:tc>
          <w:tcPr>
            <w:tcW w:type="dxa" w:w="1300"/>
            <w:vAlign w:val="center"/>
            <w:tcMar>
              <w:top w:w="80" w:type="dxa"/>
              <w:start w:w="120" w:type="dxa"/>
              <w:bottom w:w="80" w:type="dxa"/>
              <w:end w:w="120" w:type="dxa"/>
            </w:tcMar>
          </w:tcPr>
          <w:p>
            <w:pPr>
              <w:spacing w:after="0" w:line="240" w:lineRule="auto"/>
              <w:jc w:val="left"/>
            </w:pPr>
            <w:r>
              <w:rPr>
                <w:rFonts w:ascii="Calibri" w:hAnsi="Calibri"/>
                <w:sz w:val="18"/>
              </w:rPr>
              <w:t>Microsoft/WSP Nature archive [14,15]</w:t>
            </w:r>
          </w:p>
        </w:tc>
        <w:tc>
          <w:tcPr>
            <w:tcW w:type="dxa" w:w="1150"/>
            <w:vAlign w:val="center"/>
            <w:tcMar>
              <w:top w:w="80" w:type="dxa"/>
              <w:start w:w="120" w:type="dxa"/>
              <w:bottom w:w="80" w:type="dxa"/>
              <w:end w:w="120" w:type="dxa"/>
            </w:tcMar>
          </w:tcPr>
          <w:p>
            <w:pPr>
              <w:spacing w:after="0" w:line="240" w:lineRule="auto"/>
              <w:jc w:val="left"/>
            </w:pPr>
            <w:r>
              <w:rPr>
                <w:rFonts w:ascii="Calibri" w:hAnsi="Calibri"/>
                <w:sz w:val="18"/>
              </w:rPr>
              <w:t>24 normalized totals; component tables; 2 electricity anchors; pedigree records</w:t>
            </w:r>
          </w:p>
        </w:tc>
        <w:tc>
          <w:tcPr>
            <w:tcW w:type="dxa" w:w="230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analysis</w:t>
            </w:r>
          </w:p>
        </w:tc>
        <w:tc>
          <w:tcPr>
            <w:tcW w:type="dxa" w:w="300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161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1300"/>
            <w:vAlign w:val="center"/>
            <w:tcMar>
              <w:top w:w="80" w:type="dxa"/>
              <w:start w:w="120" w:type="dxa"/>
              <w:bottom w:w="80" w:type="dxa"/>
              <w:end w:w="120" w:type="dxa"/>
            </w:tcMar>
          </w:tcPr>
          <w:p>
            <w:pPr>
              <w:spacing w:after="0" w:line="240" w:lineRule="auto"/>
              <w:jc w:val="left"/>
            </w:pPr>
            <w:r>
              <w:rPr>
                <w:rFonts w:ascii="Calibri" w:hAnsi="Calibri"/>
                <w:sz w:val="18"/>
              </w:rPr>
              <w:t>EPA eGRID 2012-2023 [34,35]</w:t>
            </w:r>
          </w:p>
        </w:tc>
        <w:tc>
          <w:tcPr>
            <w:tcW w:type="dxa" w:w="1150"/>
            <w:vAlign w:val="center"/>
            <w:tcMar>
              <w:top w:w="80" w:type="dxa"/>
              <w:start w:w="120" w:type="dxa"/>
              <w:bottom w:w="80" w:type="dxa"/>
              <w:end w:w="120" w:type="dxa"/>
            </w:tcMar>
          </w:tcPr>
          <w:p>
            <w:pPr>
              <w:spacing w:after="0" w:line="240" w:lineRule="auto"/>
              <w:jc w:val="left"/>
            </w:pPr>
            <w:r>
              <w:rPr>
                <w:rFonts w:ascii="Calibri" w:hAnsi="Calibri"/>
                <w:sz w:val="18"/>
              </w:rPr>
              <w:t>459 state/DC-year rows; 9 U.S. aggregates</w:t>
            </w:r>
          </w:p>
        </w:tc>
        <w:tc>
          <w:tcPr>
            <w:tcW w:type="dxa" w:w="2300"/>
            <w:vAlign w:val="center"/>
            <w:tcMar>
              <w:top w:w="80" w:type="dxa"/>
              <w:start w:w="120" w:type="dxa"/>
              <w:bottom w:w="80" w:type="dxa"/>
              <w:end w:w="120" w:type="dxa"/>
            </w:tcMar>
          </w:tcPr>
          <w:p>
            <w:pPr>
              <w:spacing w:after="0" w:line="240" w:lineRule="auto"/>
              <w:jc w:val="left"/>
            </w:pPr>
            <w:r>
              <w:rPr>
                <w:rFonts w:ascii="Calibri" w:hAnsi="Calibri"/>
                <w:sz w:val="18"/>
              </w:rPr>
              <w:t>Harmonized generation-rate scenarios and historical trend</w:t>
            </w:r>
          </w:p>
        </w:tc>
        <w:tc>
          <w:tcPr>
            <w:tcW w:type="dxa" w:w="300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161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1300"/>
            <w:vAlign w:val="center"/>
            <w:tcMar>
              <w:top w:w="80" w:type="dxa"/>
              <w:start w:w="120" w:type="dxa"/>
              <w:bottom w:w="80" w:type="dxa"/>
              <w:end w:w="120" w:type="dxa"/>
            </w:tcMar>
          </w:tcPr>
          <w:p>
            <w:pPr>
              <w:spacing w:after="0" w:line="240" w:lineRule="auto"/>
              <w:jc w:val="left"/>
            </w:pPr>
            <w:r>
              <w:rPr>
                <w:rFonts w:ascii="Calibri" w:hAnsi="Calibri"/>
                <w:sz w:val="18"/>
              </w:rPr>
              <w:t>Boavizta [36]</w:t>
            </w:r>
          </w:p>
        </w:tc>
        <w:tc>
          <w:tcPr>
            <w:tcW w:type="dxa" w:w="1150"/>
            <w:vAlign w:val="center"/>
            <w:tcMar>
              <w:top w:w="80" w:type="dxa"/>
              <w:start w:w="120" w:type="dxa"/>
              <w:bottom w:w="80" w:type="dxa"/>
              <w:end w:w="120" w:type="dxa"/>
            </w:tcMar>
          </w:tcPr>
          <w:p>
            <w:pPr>
              <w:spacing w:after="0" w:line="240" w:lineRule="auto"/>
              <w:jc w:val="left"/>
            </w:pPr>
            <w:r>
              <w:rPr>
                <w:rFonts w:ascii="Calibri" w:hAnsi="Calibri"/>
                <w:sz w:val="18"/>
              </w:rPr>
              <w:t>48 server PCF records</w:t>
            </w:r>
          </w:p>
        </w:tc>
        <w:tc>
          <w:tcPr>
            <w:tcW w:type="dxa" w:w="2300"/>
            <w:vAlign w:val="center"/>
            <w:tcMar>
              <w:top w:w="80" w:type="dxa"/>
              <w:start w:w="120" w:type="dxa"/>
              <w:bottom w:w="80" w:type="dxa"/>
              <w:end w:w="120" w:type="dxa"/>
            </w:tcMar>
          </w:tcPr>
          <w:p>
            <w:pPr>
              <w:spacing w:after="0" w:line="240" w:lineRule="auto"/>
              <w:jc w:val="left"/>
            </w:pPr>
            <w:r>
              <w:rPr>
                <w:rFonts w:ascii="Calibri" w:hAnsi="Calibri"/>
                <w:sz w:val="18"/>
              </w:rPr>
              <w:t>Empirical scale for server-manufacturing stress and dispersion</w:t>
            </w:r>
          </w:p>
        </w:tc>
        <w:tc>
          <w:tcPr>
            <w:tcW w:type="dxa" w:w="3000"/>
            <w:vAlign w:val="center"/>
            <w:tcMar>
              <w:top w:w="80" w:type="dxa"/>
              <w:start w:w="120" w:type="dxa"/>
              <w:bottom w:w="80" w:type="dxa"/>
              <w:end w:w="120" w:type="dxa"/>
            </w:tcMar>
          </w:tcPr>
          <w:p>
            <w:pPr>
              <w:spacing w:after="0" w:line="240" w:lineRule="auto"/>
              <w:jc w:val="left"/>
            </w:pPr>
            <w:r>
              <w:rPr>
                <w:rFonts w:ascii="Calibri" w:hAnsi="Calibri"/>
                <w:sz w:val="18"/>
              </w:rPr>
              <w:t>Heterogeneous products, configurations, PCRs, lifetimes, and functional performance</w:t>
            </w:r>
          </w:p>
        </w:tc>
        <w:tc>
          <w:tcPr>
            <w:tcW w:type="dxa" w:w="161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1300"/>
            <w:vAlign w:val="center"/>
            <w:tcMar>
              <w:top w:w="80" w:type="dxa"/>
              <w:start w:w="120" w:type="dxa"/>
              <w:bottom w:w="80" w:type="dxa"/>
              <w:end w:w="120" w:type="dxa"/>
            </w:tcMar>
          </w:tcPr>
          <w:p>
            <w:pPr>
              <w:spacing w:after="0" w:line="240" w:lineRule="auto"/>
              <w:jc w:val="left"/>
            </w:pPr>
            <w:r>
              <w:rPr>
                <w:rFonts w:ascii="Calibri" w:hAnsi="Calibri"/>
                <w:sz w:val="18"/>
              </w:rPr>
              <w:t>ÖKOBAUDAT 2024-II [37]</w:t>
            </w:r>
          </w:p>
        </w:tc>
        <w:tc>
          <w:tcPr>
            <w:tcW w:type="dxa" w:w="1150"/>
            <w:vAlign w:val="center"/>
            <w:tcMar>
              <w:top w:w="80" w:type="dxa"/>
              <w:start w:w="120" w:type="dxa"/>
              <w:bottom w:w="80" w:type="dxa"/>
              <w:end w:w="120" w:type="dxa"/>
            </w:tcMar>
          </w:tcPr>
          <w:p>
            <w:pPr>
              <w:spacing w:after="0" w:line="240" w:lineRule="auto"/>
              <w:jc w:val="left"/>
            </w:pPr>
            <w:r>
              <w:rPr>
                <w:rFonts w:ascii="Calibri" w:hAnsi="Calibri"/>
                <w:sz w:val="18"/>
              </w:rPr>
              <w:t>6 selected A1-A3 processes</w:t>
            </w:r>
          </w:p>
        </w:tc>
        <w:tc>
          <w:tcPr>
            <w:tcW w:type="dxa" w:w="2300"/>
            <w:vAlign w:val="center"/>
            <w:tcMar>
              <w:top w:w="80" w:type="dxa"/>
              <w:start w:w="120" w:type="dxa"/>
              <w:bottom w:w="80" w:type="dxa"/>
              <w:end w:w="120" w:type="dxa"/>
            </w:tcMar>
          </w:tcPr>
          <w:p>
            <w:pPr>
              <w:spacing w:after="0" w:line="240" w:lineRule="auto"/>
              <w:jc w:val="left"/>
            </w:pPr>
            <w:r>
              <w:rPr>
                <w:rFonts w:ascii="Calibri" w:hAnsi="Calibri"/>
                <w:sz w:val="18"/>
              </w:rPr>
              <w:t>Matched steel and cement procurement levers</w:t>
            </w:r>
          </w:p>
        </w:tc>
        <w:tc>
          <w:tcPr>
            <w:tcW w:type="dxa" w:w="3000"/>
            <w:vAlign w:val="center"/>
            <w:tcMar>
              <w:top w:w="80" w:type="dxa"/>
              <w:start w:w="120" w:type="dxa"/>
              <w:bottom w:w="80" w:type="dxa"/>
              <w:end w:w="120" w:type="dxa"/>
            </w:tcMar>
          </w:tcPr>
          <w:p>
            <w:pPr>
              <w:spacing w:after="0" w:line="240" w:lineRule="auto"/>
              <w:jc w:val="left"/>
            </w:pPr>
            <w:r>
              <w:rPr>
                <w:rFonts w:ascii="Calibri" w:hAnsi="Calibri"/>
                <w:sz w:val="18"/>
              </w:rPr>
              <w:t>German generic factors cannot be propagated without an architecture-specific bill of quantities</w:t>
            </w:r>
          </w:p>
        </w:tc>
        <w:tc>
          <w:tcPr>
            <w:tcW w:type="dxa" w:w="161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1300"/>
            <w:vAlign w:val="center"/>
            <w:tcMar>
              <w:top w:w="80" w:type="dxa"/>
              <w:start w:w="120" w:type="dxa"/>
              <w:bottom w:w="80" w:type="dxa"/>
              <w:end w:w="120" w:type="dxa"/>
            </w:tcMar>
          </w:tcPr>
          <w:p>
            <w:pPr>
              <w:spacing w:after="0" w:line="240" w:lineRule="auto"/>
              <w:jc w:val="left"/>
            </w:pPr>
            <w:r>
              <w:rPr>
                <w:rFonts w:ascii="Calibri" w:hAnsi="Calibri"/>
                <w:sz w:val="18"/>
              </w:rPr>
              <w:t>NOAA TMY [38]</w:t>
            </w:r>
          </w:p>
        </w:tc>
        <w:tc>
          <w:tcPr>
            <w:tcW w:type="dxa" w:w="1150"/>
            <w:vAlign w:val="center"/>
            <w:tcMar>
              <w:top w:w="80" w:type="dxa"/>
              <w:start w:w="120" w:type="dxa"/>
              <w:bottom w:w="80" w:type="dxa"/>
              <w:end w:w="120" w:type="dxa"/>
            </w:tcMar>
          </w:tcPr>
          <w:p>
            <w:pPr>
              <w:spacing w:after="0" w:line="240" w:lineRule="auto"/>
              <w:jc w:val="left"/>
            </w:pPr>
            <w:r>
              <w:rPr>
                <w:rFonts w:ascii="Calibri" w:hAnsi="Calibri"/>
                <w:sz w:val="18"/>
              </w:rPr>
              <w:t>8,760 hourly weather rows for Fayetteville example</w:t>
            </w:r>
          </w:p>
        </w:tc>
        <w:tc>
          <w:tcPr>
            <w:tcW w:type="dxa" w:w="2300"/>
            <w:vAlign w:val="center"/>
            <w:tcMar>
              <w:top w:w="80" w:type="dxa"/>
              <w:start w:w="120" w:type="dxa"/>
              <w:bottom w:w="80" w:type="dxa"/>
              <w:end w:w="120" w:type="dxa"/>
            </w:tcMar>
          </w:tcPr>
          <w:p>
            <w:pPr>
              <w:spacing w:after="0" w:line="240" w:lineRule="auto"/>
              <w:jc w:val="left"/>
            </w:pPr>
            <w:r>
              <w:rPr>
                <w:rFonts w:ascii="Calibri" w:hAnsi="Calibri"/>
                <w:sz w:val="18"/>
              </w:rPr>
              <w:t>Software and performance-map integration test</w:t>
            </w:r>
          </w:p>
        </w:tc>
        <w:tc>
          <w:tcPr>
            <w:tcW w:type="dxa" w:w="3000"/>
            <w:vAlign w:val="center"/>
            <w:tcMar>
              <w:top w:w="80" w:type="dxa"/>
              <w:start w:w="120" w:type="dxa"/>
              <w:bottom w:w="80" w:type="dxa"/>
              <w:end w:w="120" w:type="dxa"/>
            </w:tcMar>
          </w:tcPr>
          <w:p>
            <w:pPr>
              <w:spacing w:after="0" w:line="240" w:lineRule="auto"/>
              <w:jc w:val="left"/>
            </w:pPr>
            <w:r>
              <w:rPr>
                <w:rFonts w:ascii="Calibri" w:hAnsi="Calibri"/>
                <w:sz w:val="18"/>
              </w:rPr>
              <w:t>No measured architecture-specific cooling surface is available</w:t>
            </w:r>
          </w:p>
        </w:tc>
        <w:tc>
          <w:tcPr>
            <w:tcW w:type="dxa" w:w="161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1300"/>
            <w:vAlign w:val="center"/>
            <w:tcMar>
              <w:top w:w="80" w:type="dxa"/>
              <w:start w:w="120" w:type="dxa"/>
              <w:bottom w:w="80" w:type="dxa"/>
              <w:end w:w="120" w:type="dxa"/>
            </w:tcMar>
          </w:tcPr>
          <w:p>
            <w:pPr>
              <w:spacing w:after="0" w:line="240" w:lineRule="auto"/>
              <w:jc w:val="left"/>
            </w:pPr>
            <w:r>
              <w:rPr>
                <w:rFonts w:ascii="Calibri" w:hAnsi="Calibri"/>
                <w:sz w:val="18"/>
              </w:rPr>
              <w:t>USLCI, seven GLAD hydrogen archives [39,40]</w:t>
            </w:r>
          </w:p>
        </w:tc>
        <w:tc>
          <w:tcPr>
            <w:tcW w:type="dxa" w:w="1150"/>
            <w:vAlign w:val="center"/>
            <w:tcMar>
              <w:top w:w="80" w:type="dxa"/>
              <w:start w:w="120" w:type="dxa"/>
              <w:bottom w:w="80" w:type="dxa"/>
              <w:end w:w="120" w:type="dxa"/>
            </w:tcMar>
          </w:tcPr>
          <w:p>
            <w:pPr>
              <w:spacing w:after="0" w:line="240" w:lineRule="auto"/>
              <w:jc w:val="left"/>
            </w:pPr>
            <w:r>
              <w:rPr>
                <w:rFonts w:ascii="Calibri" w:hAnsi="Calibri"/>
                <w:sz w:val="18"/>
              </w:rPr>
              <w:t>Registered/exchange-tested inventories</w:t>
            </w:r>
          </w:p>
        </w:tc>
        <w:tc>
          <w:tcPr>
            <w:tcW w:type="dxa" w:w="2300"/>
            <w:vAlign w:val="center"/>
            <w:tcMar>
              <w:top w:w="80" w:type="dxa"/>
              <w:start w:w="120" w:type="dxa"/>
              <w:bottom w:w="80" w:type="dxa"/>
              <w:end w:w="120" w:type="dxa"/>
            </w:tcMar>
          </w:tcPr>
          <w:p>
            <w:pPr>
              <w:spacing w:after="0" w:line="240" w:lineRule="auto"/>
              <w:jc w:val="left"/>
            </w:pPr>
            <w:r>
              <w:rPr>
                <w:rFonts w:ascii="Calibri" w:hAnsi="Calibri"/>
                <w:sz w:val="18"/>
              </w:rPr>
              <w:t>Interoperability and future backup-power/equipment mapping</w:t>
            </w:r>
          </w:p>
        </w:tc>
        <w:tc>
          <w:tcPr>
            <w:tcW w:type="dxa" w:w="3000"/>
            <w:vAlign w:val="center"/>
            <w:tcMar>
              <w:top w:w="80" w:type="dxa"/>
              <w:start w:w="120" w:type="dxa"/>
              <w:bottom w:w="80" w:type="dxa"/>
              <w:end w:w="120" w:type="dxa"/>
            </w:tcMar>
          </w:tcPr>
          <w:p>
            <w:pPr>
              <w:spacing w:after="0" w:line="240" w:lineRule="auto"/>
              <w:jc w:val="left"/>
            </w:pPr>
            <w:r>
              <w:rPr>
                <w:rFonts w:ascii="Calibri" w:hAnsi="Calibri"/>
                <w:sz w:val="18"/>
              </w:rPr>
              <w:t>Provider linking, common product system, allocation, and LCIA method are unresolved</w:t>
            </w:r>
          </w:p>
        </w:tc>
        <w:tc>
          <w:tcPr>
            <w:tcW w:type="dxa" w:w="161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1300"/>
            <w:vAlign w:val="center"/>
            <w:tcMar>
              <w:top w:w="80" w:type="dxa"/>
              <w:start w:w="120" w:type="dxa"/>
              <w:bottom w:w="80" w:type="dxa"/>
              <w:end w:w="120" w:type="dxa"/>
            </w:tcMar>
          </w:tcPr>
          <w:p>
            <w:pPr>
              <w:spacing w:after="0" w:line="240" w:lineRule="auto"/>
              <w:jc w:val="left"/>
            </w:pPr>
            <w:r>
              <w:rPr>
                <w:rFonts w:ascii="Calibri" w:hAnsi="Calibri"/>
                <w:sz w:val="18"/>
              </w:rPr>
              <w:t>USGS watershed boundary [41]</w:t>
            </w:r>
          </w:p>
        </w:tc>
        <w:tc>
          <w:tcPr>
            <w:tcW w:type="dxa" w:w="1150"/>
            <w:vAlign w:val="center"/>
            <w:tcMar>
              <w:top w:w="80" w:type="dxa"/>
              <w:start w:w="120" w:type="dxa"/>
              <w:bottom w:w="80" w:type="dxa"/>
              <w:end w:w="120" w:type="dxa"/>
            </w:tcMar>
          </w:tcPr>
          <w:p>
            <w:pPr>
              <w:spacing w:after="0" w:line="240" w:lineRule="auto"/>
              <w:jc w:val="left"/>
            </w:pPr>
            <w:r>
              <w:rPr>
                <w:rFonts w:ascii="Calibri" w:hAnsi="Calibri"/>
                <w:sz w:val="18"/>
              </w:rPr>
              <w:t>HU12 geometry</w:t>
            </w:r>
          </w:p>
        </w:tc>
        <w:tc>
          <w:tcPr>
            <w:tcW w:type="dxa" w:w="230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300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161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Derived tables retain filenames, worksheets, fields, units, and checksums.</w:t>
      </w:r>
    </w:p>
    <w:p>
      <w:pPr>
        <w:pStyle w:val="Heading2"/>
      </w:pPr>
      <w:r>
        <w:t>2.4. Static energy, equipment, fluid, and replacement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I_k^fluid,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I_k^fluid;   GHG_direct = m_loss GWP_direct   (6)</w:t>
      </w:r>
    </w:p>
    <w:p>
      <w:r>
        <w:rPr>
          <w:rFonts w:ascii="Calibri" w:hAnsi="Calibri"/>
          <w:sz w:val="21"/>
        </w:rPr>
        <w:t>These equations are part of the software engine. The secondary Microsoft/WSP analysis uses the normalized component values released by the authors rather than inventing missing quantities.</w:t>
      </w:r>
    </w:p>
    <w:p>
      <w:pPr>
        <w:pStyle w:val="Heading2"/>
      </w:pPr>
      <w:r>
        <w:t>2.5. Released-model reconstruction and electricity-intensity index</w:t>
      </w:r>
    </w:p>
    <w:p>
      <w:r>
        <w:rPr>
          <w:rFonts w:ascii="Calibri" w:hAnsi="Calibri"/>
          <w:sz w:val="21"/>
        </w:rPr>
        <w:t>For each of four cooling architectures, two electricity cases, and three impact metrics, the released total was recomputed as the sum of use phase, building, compute server, storage server, networking server, rack or tank, cable, support equipment, and cooling-fluid contributions. This 24-cell test is an arithmetic-consistency audit. It does not validate confidential quantities, licensed LCA for Experts or ecoinvent processes, allocation, performance, or field operation.</w:t>
      </w:r>
    </w:p>
    <w:p>
      <w:r>
        <w:rPr>
          <w:rFonts w:ascii="Calibri" w:hAnsi="Calibri"/>
          <w:sz w:val="21"/>
        </w:rPr>
        <w:t>The detailed archive identifies the electricity anchors as 524.893 kg CO2e/MWh for U.S. average electricity and 6.133 kg CO2e/MWh for U.S. average wind under IPCC AR5 GTP100 excluding biogenic carbon. We define a numerical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Equations (7)-(8) reproduce both released endpoints exactly. They are not a background-process substitution. The Microsoft anchors are lifecycle GTP100 results; eGRID rates are direct power-sector GWP100 results. Common units do not remove the characterization and upstream-boundary mismatch. We therefore refer to g_s as a screening index, count all extrapolations, and perform a separate boundary-mismatch stress.</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Common-basis eGRID reconstruction</w:t>
      </w:r>
    </w:p>
    <w:p>
      <w:r>
        <w:rPr>
          <w:rFonts w:ascii="Calibri" w:hAnsi="Calibri"/>
          <w:sz w:val="21"/>
        </w:rPr>
        <w:t>EPA changed the GWP values used by eGRID: releases before 2018 used IPCC SAR, 2018-2022 used AR4, and 2023 used AR5 without climate-carbon feedback [34,35]. To remove this avoidable discontinuity, every state and U.S. factor was reconstructed from net generation and gas-specific annual emissions: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panel;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Extrapolation, boundary, and functional-unit diagnostics</w:t>
      </w:r>
    </w:p>
    <w:p>
      <w:r>
        <w:rPr>
          <w:rFonts w:ascii="Calibri" w:hAnsi="Calibri"/>
          <w:sz w:val="21"/>
        </w:rPr>
        <w:t>Each of the 459 state-year rates was classified as below, between, or above the two released electricity anchors. Equation (8) is interpolation only for the middle class.</w:t>
      </w:r>
    </w:p>
    <w:p>
      <w:r>
        <w:rPr>
          <w:rFonts w:ascii="Calibri" w:hAnsi="Calibri"/>
          <w:sz w:val="21"/>
        </w:rPr>
        <w:t>Because an upstream lifecycle difference between eGRID and the GaBi anchors cannot be estimated from the released files, we did not assign a best value. Instead, we added transparent allowances of 0, 25, 50, 75, and 100 kg CO2e/MWh to every 2023 eGRID rate and recomputed architecture order. This is a boundary-mismatch stress, not an uncertainty distribution or estimate of upstream emissions.</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2.8. Joint assumption-stress ensembles</w:t>
      </w:r>
    </w:p>
    <w:p>
      <w:r>
        <w:rPr>
          <w:rFonts w:ascii="Calibri" w:hAnsi="Calibri"/>
          <w:sz w:val="21"/>
        </w:rPr>
        <w:t>Deterministic break-even values do not propagate interacting assumptions. We therefore ran seeded, 20,000-iteration triangular stress ensembles for the 2023 U.S. generation factor and the lowest-carbon 2023 state. A shared grid multiplier was drawn for each iteration. Technology-specific multipliers were then drawn for use phase, embodied contribution, and impact per equivalent service. Three declared envelopes were used (Table 2).</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1450"/>
        <w:gridCol w:w="1750"/>
        <w:gridCol w:w="1650"/>
        <w:gridCol w:w="1650"/>
        <w:gridCol w:w="1850"/>
        <w:gridCol w:w="1010"/>
      </w:tblGrid>
      <w:tr>
        <w:trPr>
          <w:tblHeader w:val="true"/>
          <w:cantSplit w:val="true"/>
        </w:trPr>
        <w:tc>
          <w:tcPr>
            <w:tcW w:type="dxa" w:w="14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Envelope</w:t>
            </w:r>
          </w:p>
        </w:tc>
        <w:tc>
          <w:tcPr>
            <w:tcW w:type="dxa" w:w="17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Grid rate</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Use phase</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Embodied</w:t>
            </w:r>
          </w:p>
        </w:tc>
        <w:tc>
          <w:tcPr>
            <w:tcW w:type="dxa" w:w="18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Service equivalence</w:t>
            </w:r>
          </w:p>
        </w:tc>
        <w:tc>
          <w:tcPr>
            <w:tcW w:type="dxa" w:w="101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Interpretation</w:t>
            </w:r>
          </w:p>
        </w:tc>
      </w:tr>
      <w:tr>
        <w:trPr>
          <w:cantSplit w:val="true"/>
        </w:trP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Narrow</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±2%</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±2%</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±20%</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±2%</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Numerical stability near released values</w:t>
            </w:r>
          </w:p>
        </w:tc>
      </w:tr>
      <w:tr>
        <w:trPr>
          <w:cantSplit w:val="true"/>
        </w:trP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Screening</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±5%</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±5%</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±50%</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±5%</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Plausible engineering/model stress without fitted distributions</w:t>
            </w:r>
          </w:p>
        </w:tc>
      </w:tr>
      <w:tr>
        <w:trPr>
          <w:cantSplit w:val="true"/>
        </w:trP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Wide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±10%</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±10%</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±100%</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±10%</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Deliberately severe robustness test</w:t>
            </w:r>
          </w:p>
        </w:tc>
      </w:tr>
    </w:tbl>
    <w:p>
      <w:pPr>
        <w:spacing w:after="40"/>
      </w:pPr>
    </w:p>
    <w:p>
      <w:r>
        <w:rPr>
          <w:rFonts w:ascii="Calibri" w:hAnsi="Calibri"/>
          <w:sz w:val="21"/>
        </w:rPr>
        <w:t>The triangular mode was 1.0 and the random seed was 20250730. The resulting rank frequencies describe the declared perturbation design. They are not posterior probabilities, confidence levels, or a substitute for empirical uncertainty distributions and correlations.</w:t>
      </w:r>
    </w:p>
    <w:p>
      <w:pPr>
        <w:pStyle w:val="Heading2"/>
      </w:pPr>
      <w:r>
        <w:t>2.9.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2.10. Temporal performance, reliability, interoperability, and claims</w:t>
      </w:r>
    </w:p>
    <w:p>
      <w:r>
        <w:rPr>
          <w:rFonts w:ascii="Calibri" w:hAnsi="Calibri"/>
          <w:sz w:val="21"/>
        </w:rPr>
        <w:t>The package can bilinearly interpolate bounded load-weather performance maps and integrate hourly PUE and grid factors. It rejects uncovered operating points unless extrapolation is explicitly enabled.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therefore test exchange, not case-model completeness.</w:t>
      </w:r>
    </w:p>
    <w:p>
      <w:r>
        <w:rPr>
          <w:rFonts w:ascii="Calibri" w:hAnsi="Calibri"/>
          <w:sz w:val="21"/>
        </w:rPr>
        <w:t>The audit checks source identity, duplicate identifiers, physical values, functional unit, boundary, uncertainty disclosure, evidence class, and intent to make a comparative assertion. Synthetic results cannot pass a public-claim gate. A public comparison additionally requires consistent boundaries, quantified uncertainty, and critical review consistent with ISO 14040 and 14044 [42]. Automated checks assist but do not constitute ISO conformity or independent review.</w:t>
      </w:r>
    </w:p>
    <w:p>
      <w:pPr>
        <w:pStyle w:val="Heading1"/>
      </w:pPr>
      <w:r>
        <w:t>3. Results</w:t>
      </w:r>
    </w:p>
    <w:p>
      <w:pPr>
        <w:pStyle w:val="Heading2"/>
      </w:pPr>
      <w:r>
        <w:t>3.1. Released totals were arithmetically reproducible</w:t>
      </w:r>
    </w:p>
    <w:p>
      <w:r>
        <w:rPr>
          <w:rFonts w:ascii="Calibri" w:hAnsi="Calibri"/>
          <w:sz w:val="21"/>
        </w:rPr>
        <w:t>All 24 released combinations of architecture, electricity scenario, and impact metric reconciled to the sum of the published contributions at workbook precision. Under the released U.S. grid case, two-phase immersion reduced GHG 20.66%, primary energy 20.00%, and blue water 46.78% relative to air cooling. The arithmetic result establishes that the public normalized table is internally reusable. It does not establish that the original inventories, quantities, or performance assumptions are independently valid.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reductions versus air cooling obtained by summing the released Microsoft/WSP normalized contributions. All 24 totals were reconciled at workbook precision. This figure reproduces released arithmetic; it does not validate proprietary inventories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reductions versus air cooling obtained by summing the released Microsoft/WSP normalized contributions. All 24 totals were reconciled at workbook precision. This figure reproduces released arithmetic; it does not validate proprietary inventories or field performance.</w:t>
      </w:r>
    </w:p>
    <w:p>
      <w:pPr>
        <w:pStyle w:val="Heading2"/>
      </w:pPr>
      <w:r>
        <w:t>3.2. Historical grid decarbonization is robust to the eGRID GWP update</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Thus, the long-run decline is not an artifact of switching from SAR to AR4 and AR5. The direct CO2-only rate was 348.000 kg/MWh in 2023, confirming that CO2 dominates the eGRID total.</w:t>
      </w:r>
    </w:p>
    <w:p>
      <w:r>
        <w:rPr>
          <w:rFonts w:ascii="Calibri" w:hAnsi="Calibri"/>
          <w:sz w:val="21"/>
        </w:rPr>
        <w:t>The 50-state-plus-DC reconstruction matched the official national total through 2018. From 2019 onward it was 0.32-0.43% lower because the panel covered 99.55-99.58% of the provider U.S. generation after excluding Puerto Rico. This scope audit supports use of the provider U.S. aggregate for the national series.</w:t>
      </w:r>
    </w:p>
    <w:p>
      <w:r>
        <w:rPr>
          <w:rFonts w:ascii="Calibri" w:hAnsi="Calibri"/>
          <w:sz w:val="21"/>
        </w:rPr>
        <w:t>Applying the fixed released foreground model reduced the national air-cooled screen from 36.230 to 25.613 kg CO2e/Vcore-year and the two-phase screen from 28.746 to 20.333. The absolute two-phase-versus-air difference contracted 29.45%, from 7.484 to 5.280 kg CO2e/Vcore-year, while the air-cooled embodied share rose from 9.69% to 13.71%.</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Orange denotes the provider U.S. aggregate. Blue points fall below the released-model cold-plate/single-phase crossover. The panel shows generation-rate scenarios, not consumption-based lifecycle electricity or independent state LCA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Orange denotes the provider U.S. aggregate. Blue points fall below the released-model cold-plate/single-phase crossover. The panel shows generation-rate scenarios, not consumption-based lifecycle electricity or independent state LCAs.</w:t>
      </w:r>
    </w:p>
    <w:p>
      <w:pPr>
        <w:pStyle w:val="Heading2"/>
      </w:pPr>
      <w:r>
        <w:t>3.3. The local crossover is more sensitive to boundary than to historical GWP convention</w:t>
      </w:r>
    </w:p>
    <w:p>
      <w:r>
        <w:rPr>
          <w:rFonts w:ascii="Calibri" w:hAnsi="Calibri"/>
          <w:sz w:val="21"/>
        </w:rPr>
        <w:t>The cold-plate/single-phase crossover calculated from the two released endpoints was 96.704 kg CO2e/MWh. At unadjusted 2023 eGRID rates, Vermont (23.695 kg CO2e/MWh) was the only state below the crossover; the other 50 state/DC records favored single-phase over cold plate. Arkansas (452.873 kg CO2e/MWh) was well above it. Two-phase remained the deterministic first-ranked architecture in all 51 records.</w:t>
      </w:r>
    </w:p>
    <w:p>
      <w:r>
        <w:rPr>
          <w:rFonts w:ascii="Calibri" w:hAnsi="Calibri"/>
          <w:sz w:val="21"/>
        </w:rPr>
        <w:t>However, the transformation was not interpolation for much of the panel. Across 459 state-years, 322 rates were between the released anchors, one below the wind anchor, and 136 above the grid anchor. Thus 137 records, or 29.85%, required extrapolation. In 2023, 9 of 51 rates (17.65%) exceeded the released grid anchor.</w:t>
      </w:r>
    </w:p>
    <w:p>
      <w:r>
        <w:rPr>
          <w:rFonts w:ascii="Calibri" w:hAnsi="Calibri"/>
          <w:sz w:val="21"/>
        </w:rPr>
        <w:t>The boundary allowance revealed a sharper limitation. The Vermont cold-plate/single-phase result persisted with 25 and 50 kg CO2e/MWh added to the direct generation rate, but disappeared at 75 and 100 kg CO2e/MWh. Two-phase remained first in 51/51 states across all five allowance levels. This does not estimate the missing upstream inventory. It shows that the headline “one state below the crossover” is conditional on treating methodologically different electricity results as a common numerical index.</w:t>
      </w:r>
    </w:p>
    <w:p>
      <w:pPr>
        <w:pStyle w:val="Heading2"/>
      </w:pPr>
      <w:r>
        <w:t>3.4. Joint stress weakens a deterministic first rank</w:t>
      </w:r>
    </w:p>
    <w:p>
      <w:r>
        <w:rPr>
          <w:rFonts w:ascii="Calibri" w:hAnsi="Calibri"/>
          <w:sz w:val="21"/>
        </w:rPr>
        <w:t>Figure 4 consolidates the extrapolation, boundary, joint-stress, and functional-unit diagnostics. Under the 2023 U.S. generation context, two-phase first-rank frequency was 99.33% in the narrow envelope, 75.97% in the screening envelope, and 56.16% in the wide envelope. Cold plate and single-phase gained 18.86% and 24.63%, respectively, in the wide envelope; air cooling gained 0.35%.</w:t>
      </w:r>
    </w:p>
    <w:p>
      <w:r>
        <w:rPr>
          <w:rFonts w:ascii="Calibri" w:hAnsi="Calibri"/>
          <w:sz w:val="21"/>
        </w:rPr>
        <w:t>Sensitivity was greater at the lowest-carbon state. Two-phase first-rank frequency was 63.19%, 42.55%, and 33.90% in the narrow, screening, and wide envelopes. Even a narrow perturbation matters when use-phase burdens contract and the alternatives are close. These values are not technology-success probabilities. They quantify how frequently a ranking survives a specified assumption design.</w:t>
      </w:r>
    </w:p>
    <w:p>
      <w:r>
        <w:rPr>
          <w:rFonts w:ascii="Calibri" w:hAnsi="Calibri"/>
          <w:sz w:val="21"/>
        </w:rPr>
        <w:t>The deterministic functional-unit diagnostic reached the same conclusion from another direction. Across 2023 states, the median adverse correction to two-phase impact per equivalent useful computation required to equal the runner-up was 5.503%; the range was 5.236-6.042%. Across all 459 state-years, the median was 5.436%. A useful-computation correction of this magnitude is small enough that server count, throughput, throttling, reliability, and lifetime must be measured rather than assumed for a decision-grade claim.</w:t>
      </w:r>
    </w:p>
    <w:p>
      <w:pPr>
        <w:keepNext/>
        <w:spacing w:before="120" w:after="40"/>
        <w:jc w:val="center"/>
      </w:pPr>
      <w:r>
        <w:drawing>
          <wp:inline xmlns:a="http://schemas.openxmlformats.org/drawingml/2006/main" xmlns:pic="http://schemas.openxmlformats.org/drawingml/2006/picture">
            <wp:extent cx="5897880" cy="3735324"/>
            <wp:docPr id="4" name="Picture 4" descr="Figure 4. Robustness diagnostics. (A) Anchor interpolation and extrapolation counts. (B) Cold-plate/single-phase order under a transparent electricity-boundary allowance. (C) U.S. first-rank frequencies under declared joint stress envelopes. (D) two-phase impact-per-service correction required to erase first rank. Stress frequencies are not confidence levels." title="OpenDC-LCA Figure 4"/>
            <wp:cNvGraphicFramePr>
              <a:graphicFrameLocks noChangeAspect="1"/>
            </wp:cNvGraphicFramePr>
            <a:graphic>
              <a:graphicData uri="http://schemas.openxmlformats.org/drawingml/2006/picture">
                <pic:pic>
                  <pic:nvPicPr>
                    <pic:cNvPr id="0" name="figure8_scope_uncertainty.png"/>
                    <pic:cNvPicPr/>
                  </pic:nvPicPr>
                  <pic:blipFill>
                    <a:blip r:embed="rId14"/>
                    <a:stretch>
                      <a:fillRect/>
                    </a:stretch>
                  </pic:blipFill>
                  <pic:spPr>
                    <a:xfrm>
                      <a:off x="0" y="0"/>
                      <a:ext cx="5897880" cy="3735324"/>
                    </a:xfrm>
                    <a:prstGeom prst="rect"/>
                  </pic:spPr>
                </pic:pic>
              </a:graphicData>
            </a:graphic>
          </wp:inline>
        </w:drawing>
      </w:r>
    </w:p>
    <w:p>
      <w:pPr>
        <w:pStyle w:val="Caption"/>
      </w:pPr>
      <w:r>
        <w:rPr>
          <w:rFonts w:ascii="Calibri" w:hAnsi="Calibri"/>
          <w:sz w:val="18"/>
        </w:rPr>
        <w:t>Figure 4. Robustness diagnostics. (A) Anchor interpolation and extrapolation counts. (B) Cold-plate/single-phase order under a transparent electricity-boundary allowance. (C) U.S. first-rank frequencies under declared joint stress envelopes. (D) two-phase impact-per-service correction required to erase first rank. Stress frequencies are not confidence levels.</w:t>
      </w:r>
    </w:p>
    <w:p>
      <w:pPr>
        <w:pStyle w:val="Heading2"/>
      </w:pPr>
      <w:r>
        <w:t>3.5. Server and construction data reveal leverage but not architecture totals</w:t>
      </w:r>
    </w:p>
    <w:p>
      <w:r>
        <w:rPr>
          <w:rFonts w:ascii="Calibri" w:hAnsi="Calibri"/>
          <w:sz w:val="21"/>
        </w:rPr>
        <w:t>The 48 Boavizta server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result is a structural stress only: it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rank is useful but not invariant</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was in the top three in all nine;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[30].</w:t>
      </w:r>
    </w:p>
    <w:p>
      <w:pPr>
        <w:keepNext/>
        <w:spacing w:before="120" w:after="40"/>
        <w:jc w:val="center"/>
      </w:pPr>
      <w:r>
        <w:drawing>
          <wp:inline xmlns:a="http://schemas.openxmlformats.org/drawingml/2006/main" xmlns:pic="http://schemas.openxmlformats.org/drawingml/2006/picture">
            <wp:extent cx="5897880" cy="3371621"/>
            <wp:docPr id="5" name="Picture 5" descr="Figure 5. Contribution-weighted pedigree diagnostic from the released Microsoft/WSP model. Use phase leads under the base index, but rank robustness is evaluated separately because the index is heuristic." title="OpenDC-LCA Figure 5"/>
            <wp:cNvGraphicFramePr>
              <a:graphicFrameLocks noChangeAspect="1"/>
            </wp:cNvGraphicFramePr>
            <a:graphic>
              <a:graphicData uri="http://schemas.openxmlformats.org/drawingml/2006/picture">
                <pic:pic>
                  <pic:nvPicPr>
                    <pic:cNvPr id="0" name="figure3_data_priority.png"/>
                    <pic:cNvPicPr/>
                  </pic:nvPicPr>
                  <pic:blipFill>
                    <a:blip r:embed="rId15"/>
                    <a:stretch>
                      <a:fillRect/>
                    </a:stretch>
                  </pic:blipFill>
                  <pic:spPr>
                    <a:xfrm>
                      <a:off x="0" y="0"/>
                      <a:ext cx="5897880" cy="3371621"/>
                    </a:xfrm>
                    <a:prstGeom prst="rect"/>
                  </pic:spPr>
                </pic:pic>
              </a:graphicData>
            </a:graphic>
          </wp:inline>
        </w:drawing>
      </w:r>
    </w:p>
    <w:p>
      <w:pPr>
        <w:pStyle w:val="Caption"/>
      </w:pPr>
      <w:r>
        <w:rPr>
          <w:rFonts w:ascii="Calibri" w:hAnsi="Calibri"/>
          <w:sz w:val="18"/>
        </w:rPr>
        <w:t>Figure 5. Contribution-weighted pedigree diagnostic from the released Microsoft/WSP model. Use phase leads under the base index, but rank robustness is evaluated separately because the index is heuristic.</w:t>
      </w:r>
    </w:p>
    <w:p>
      <w:pPr>
        <w:pStyle w:val="Heading2"/>
      </w:pPr>
      <w:r>
        <w:t>3.7. Software consistency and practitioner outputs</w:t>
      </w:r>
    </w:p>
    <w:p>
      <w:r>
        <w:rPr>
          <w:rFonts w:ascii="Calibri" w:hAnsi="Calibri"/>
          <w:sz w:val="21"/>
        </w:rPr>
        <w:t>The current test suite contains 46 passing tests covering calculation, interoperability, reliability, public-data parsing, practitioner workflow, research analysis, GUI/API parity, endpoint reproduction, eGRID harmonization, extrapolation counts, boundary stress, and functional-unit sensitivity. The package was also installed in a clean environment and run from template creation through report generation.</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or make a screening result decision-grade.</w:t>
      </w:r>
    </w:p>
    <w:p>
      <w:pPr>
        <w:pStyle w:val="Heading1"/>
      </w:pPr>
      <w:r>
        <w:t>4. Discussion</w:t>
      </w:r>
    </w:p>
    <w:p>
      <w:pPr>
        <w:pStyle w:val="Heading2"/>
      </w:pPr>
      <w:r>
        <w:t>4.1. A cooling ranking should be a decision surface, not a league table</w:t>
      </w:r>
    </w:p>
    <w:p>
      <w:r>
        <w:rPr>
          <w:rFonts w:ascii="Calibri" w:hAnsi="Calibri"/>
          <w:sz w:val="21"/>
        </w:rPr>
        <w:t>The released model produces a clear deterministic ranking at its U.S. grid endpoint, and two-phase remains first in every unperturbed state-year screen. If the analysis ended there, the natural conclusion would be that the ranking is broadly transferable. The robustness diagnostics show why that conclusion is too strong.</w:t>
      </w:r>
    </w:p>
    <w:p>
      <w:r>
        <w:rPr>
          <w:rFonts w:ascii="Calibri" w:hAnsi="Calibri"/>
          <w:sz w:val="21"/>
        </w:rPr>
        <w:t>Cold plate and single-phase cross because their electricity-dependent slopes and non-use-phase intercepts differ. The 96.7 kg CO2e/MWh crossover is a useful engineering result: it identifies where a small operational advantage changes the lifecycle order. It is not a site recommendation because eGRID does not replace the released GaBi electricity process. Similarly, two-phase has a 5-6% deterministic margin in impact per equivalent service, but its first-rank frequency falls sharply once use, embodied, grid, and service assumptions vary together. A decision surface should therefore report at least the base order, crossover, anchor coverage, boundary sensitivity, functional-unit sensitivity, and evidence class.</w:t>
      </w:r>
    </w:p>
    <w:p>
      <w:pPr>
        <w:pStyle w:val="Heading2"/>
      </w:pPr>
      <w:r>
        <w:t>4.2. Characterization harmonization solves a smaller problem than boundary alignment</w:t>
      </w:r>
    </w:p>
    <w:p>
      <w:r>
        <w:rPr>
          <w:rFonts w:ascii="Calibri" w:hAnsi="Calibri"/>
          <w:sz w:val="21"/>
        </w:rPr>
        <w:t>Reconstructing the nine eGRID releases to AR5 GWP100 was necessary and reproducible. It also demonstrated that the historical GWP changes have a small numerical effect because power-sector CO2 dominates CH4 and N2O. The 32.46% national decline is robust to this methodological change.</w:t>
      </w:r>
    </w:p>
    <w:p>
      <w:r>
        <w:rPr>
          <w:rFonts w:ascii="Calibri" w:hAnsi="Calibri"/>
          <w:sz w:val="21"/>
        </w:rPr>
        <w:t>The boundary mismatch is qualitatively different. eGRID total-output rates omit upstream fuel supply, infrastructure, imports and transmission, while the GaBi anchors are lifecycle results. The two also use GWP100 and GTP100, respectively. No algebra can make them equivalent without a linked inventory and common LCIA method. The 75 kg CO2e/MWh stress is valuable precisely because it does not pretend to know the missing value: it shows that the local crossover claim is fragile to a plausible scale of unrepresented lifecycle burden, whereas the deterministic two-phase first rank is less sensitive within this single dimension.</w:t>
      </w:r>
    </w:p>
    <w:p>
      <w:r>
        <w:rPr>
          <w:rFonts w:ascii="Calibri" w:hAnsi="Calibri"/>
          <w:sz w:val="21"/>
        </w:rPr>
        <w:t>For a decision-grade extension, the correct next step is to replace the intensity index with consumption-based, lifecycle electricity processes calculated under the same LCIA method as the foreground. Location- and market-based cases should be modeled consistently throughout the product system to avoid renewable double counting [19,20].</w:t>
      </w:r>
    </w:p>
    <w:p>
      <w:pPr>
        <w:pStyle w:val="Heading2"/>
      </w:pPr>
      <w:r>
        <w:t>4.3. Joint uncertainty changes the epistemic status of the result</w:t>
      </w:r>
    </w:p>
    <w:p>
      <w:r>
        <w:rPr>
          <w:rFonts w:ascii="Calibri" w:hAnsi="Calibri"/>
          <w:sz w:val="21"/>
        </w:rPr>
        <w:t>One-at-a-time break-even analysis is easy to interpret but can overstate robustness when inputs co-vary. The joint stress result does not provide probability because the envelopes are not fitted. It does establish an important negative finding: deterministic survival across 459 grid factors does not imply survival under interacting foreground and functional-unit assumptions. The grid panel explores one dimension repeatedly; it is not 459 replicates of the cooling technologies.</w:t>
      </w:r>
    </w:p>
    <w:p>
      <w:r>
        <w:rPr>
          <w:rFonts w:ascii="Calibri" w:hAnsi="Calibri"/>
          <w:sz w:val="21"/>
        </w:rPr>
        <w:t>This distinction should guide future experiments. Measured distributions are needed for load-dependent fan, pump, coolant-distribution, and heat-rejection power; server throughput and power; fluid loss; component life; and architecture-specific quantities. Correlations matter: a higher coolant temperature may reduce compressor energy while changing chip leakage, performance, and reliability; higher density may reduce building burden per Vcore while increasing local pumping or repair complexity. Empirical joint distributions would convert the present stress frequency into a defensible probability of rank and enable expected-value-of-information analysis.</w:t>
      </w:r>
    </w:p>
    <w:p>
      <w:pPr>
        <w:pStyle w:val="Heading2"/>
      </w:pPr>
      <w:r>
        <w:t>4.4. Useful computation is the decisive experimental bridge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median 5.50% functional-unit threshold is therefore a central result, not merely a limitation. It defines the resolution required of a comparative experiment.</w:t>
      </w:r>
    </w:p>
    <w:p>
      <w:r>
        <w:rPr>
          <w:rFonts w:ascii="Calibri" w:hAnsi="Calibri"/>
          <w:sz w:val="21"/>
        </w:rPr>
        <w:t>A shared protocol should measure, for every architecture, completed workload or benchmark output; IT and cooling power; inlet and component temperatures; flow and pressure drop; fan, pump, CDU and heat-rejection power; onsite water; failure and maintenance events; and uncertainty/calibration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Decarbonization changes the value of evidence</w:t>
      </w:r>
    </w:p>
    <w:p>
      <w:r>
        <w:rPr>
          <w:rFonts w:ascii="Calibri" w:hAnsi="Calibri"/>
          <w:sz w:val="21"/>
        </w:rPr>
        <w:t>The national analysis shows a dual effect. Cleaner generation lowers every electricity-dependent cooling result and contracts the absolute value of operational efficiency, while increasing the fraction supplied by embodied terms. Percentage savings alone hide this transition: the absolute modeled two-phase-versus-air benefit fell 29.45% between the 2012 and 2023 generation conditions.</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impactful research contribution is therefore a linked foreground dataset: useful computation, server configuration and lifetime, cooling BOM, material route, and measured operation under one functional unit.</w:t>
      </w:r>
    </w:p>
    <w:p>
      <w:pPr>
        <w:pStyle w:val="Heading2"/>
      </w:pPr>
      <w:r>
        <w:t>4.6. Role relative to openLCA, Brightway, and dynamic-LCA tools</w:t>
      </w:r>
    </w:p>
    <w:p>
      <w:r>
        <w:rPr>
          <w:rFonts w:ascii="Calibri" w:hAnsi="Calibri"/>
          <w:sz w:val="21"/>
        </w:rPr>
        <w:t>OpenDC-LCA does not compete with openLCA, Brightway, Temporalis, premise, or bw_timex. Those tools provide process-network calculation, database management, prospective backgrounds, or time-explicit LCA [24-26,31,32]. The contribution here is the cooling-domain contract around them:</w:t>
      </w:r>
    </w:p>
    <w:p>
      <w:pPr>
        <w:spacing w:after="60"/>
        <w:ind w:left="374" w:hanging="288"/>
      </w:pPr>
      <w:r>
        <w:rPr>
          <w:rFonts w:ascii="Calibri" w:hAnsi="Calibri"/>
          <w:sz w:val="21"/>
        </w:rPr>
        <w:t>1. a functional-equivalence check tied to useful computation;</w:t>
      </w:r>
    </w:p>
    <w:p>
      <w:pPr>
        <w:spacing w:after="60"/>
        <w:ind w:left="374" w:hanging="288"/>
      </w:pPr>
      <w:r>
        <w:rPr>
          <w:rFonts w:ascii="Calibri" w:hAnsi="Calibri"/>
          <w:sz w:val="21"/>
        </w:rPr>
        <w:t>2. load-weather cooling performance and bounded annual integration;</w:t>
      </w:r>
    </w:p>
    <w:p>
      <w:pPr>
        <w:spacing w:after="60"/>
        <w:ind w:left="374" w:hanging="288"/>
      </w:pPr>
      <w:r>
        <w:rPr>
          <w:rFonts w:ascii="Calibri" w:hAnsi="Calibri"/>
          <w:sz w:val="21"/>
        </w:rPr>
        <w:t>3. reliability, replacement, and cooling-fluid representations;</w:t>
      </w:r>
    </w:p>
    <w:p>
      <w:pPr>
        <w:spacing w:after="60"/>
        <w:ind w:left="374" w:hanging="288"/>
      </w:pPr>
      <w:r>
        <w:rPr>
          <w:rFonts w:ascii="Calibri" w:hAnsi="Calibri"/>
          <w:sz w:val="21"/>
        </w:rPr>
        <w:t>4. explicit separation of lifecycle electricity, direct generation rates,</w:t>
      </w:r>
    </w:p>
    <w:p>
      <w:r>
        <w:rPr>
          <w:rFonts w:ascii="Calibri" w:hAnsi="Calibri"/>
          <w:sz w:val="21"/>
        </w:rPr>
        <w:t>market instruments, and marginal signals;</w:t>
      </w:r>
    </w:p>
    <w:p>
      <w:pPr>
        <w:spacing w:after="60"/>
        <w:ind w:left="374" w:hanging="288"/>
      </w:pPr>
      <w:r>
        <w:rPr>
          <w:rFonts w:ascii="Calibri" w:hAnsi="Calibri"/>
          <w:sz w:val="21"/>
        </w:rPr>
        <w:t>5. source and transformation provenance; and</w:t>
      </w:r>
    </w:p>
    <w:p>
      <w:pPr>
        <w:spacing w:after="60"/>
        <w:ind w:left="374" w:hanging="288"/>
      </w:pPr>
      <w:r>
        <w:rPr>
          <w:rFonts w:ascii="Calibri" w:hAnsi="Calibri"/>
          <w:sz w:val="21"/>
        </w:rPr>
        <w:t>6. a claim gate that prevents exchange success from being mistaken for case</w:t>
      </w:r>
    </w:p>
    <w:p>
      <w:r>
        <w:rPr>
          <w:rFonts w:ascii="Calibri" w:hAnsi="Calibri"/>
          <w:sz w:val="21"/>
        </w:rPr>
        <w:t>compatibility.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Implications for hyperscale practitioners and the Microsoft study</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Four additions would be particularly valuable:</w:t>
      </w:r>
    </w:p>
    <w:p>
      <w:pPr>
        <w:spacing w:after="60"/>
        <w:ind w:left="374" w:hanging="288"/>
      </w:pPr>
      <w:r>
        <w:rPr>
          <w:rFonts w:ascii="Calibri" w:hAnsi="Calibri"/>
          <w:sz w:val="21"/>
        </w:rPr>
        <w:t>1. architecture-specific, anonymized bills of quantities and service lives;</w:t>
      </w:r>
    </w:p>
    <w:p>
      <w:pPr>
        <w:spacing w:after="60"/>
        <w:ind w:left="374" w:hanging="288"/>
      </w:pPr>
      <w:r>
        <w:rPr>
          <w:rFonts w:ascii="Calibri" w:hAnsi="Calibri"/>
          <w:sz w:val="21"/>
        </w:rPr>
        <w:t>2. measured performance surfaces for IT output, server power, facility</w:t>
      </w:r>
    </w:p>
    <w:p>
      <w:r>
        <w:rPr>
          <w:rFonts w:ascii="Calibri" w:hAnsi="Calibri"/>
          <w:sz w:val="21"/>
        </w:rPr>
        <w:t>parasitics, and onsite water across load and weather;</w:t>
      </w:r>
    </w:p>
    <w:p>
      <w:pPr>
        <w:spacing w:after="60"/>
        <w:ind w:left="374" w:hanging="288"/>
      </w:pPr>
      <w:r>
        <w:rPr>
          <w:rFonts w:ascii="Calibri" w:hAnsi="Calibri"/>
          <w:sz w:val="21"/>
        </w:rPr>
        <w:t>3. a provider-linked lifecycle electricity model under one LCIA method,</w:t>
      </w:r>
    </w:p>
    <w:p>
      <w:r>
        <w:rPr>
          <w:rFonts w:ascii="Calibri" w:hAnsi="Calibri"/>
          <w:sz w:val="21"/>
        </w:rPr>
        <w:t>reported alongside location-, market-, and marginal operational signals;</w:t>
      </w:r>
    </w:p>
    <w:p>
      <w:pPr>
        <w:spacing w:after="60"/>
        <w:ind w:left="374" w:hanging="288"/>
      </w:pPr>
      <w:r>
        <w:rPr>
          <w:rFonts w:ascii="Calibri" w:hAnsi="Calibri"/>
          <w:sz w:val="21"/>
        </w:rPr>
        <w:t>4. empirical uncertainty and correlation information sufficient for rank</w:t>
      </w:r>
    </w:p>
    <w:p>
      <w:r>
        <w:rPr>
          <w:rFonts w:ascii="Calibri" w:hAnsi="Calibri"/>
          <w:sz w:val="21"/>
        </w:rPr>
        <w:t>probability and value-of-information analysis.</w:t>
      </w:r>
    </w:p>
    <w:p>
      <w:r>
        <w:rPr>
          <w:rFonts w:ascii="Calibri" w:hAnsi="Calibri"/>
          <w:sz w:val="21"/>
        </w:rPr>
        <w:t>OpenDC-LCA supplies schemas, transformations, tests, and claim boundaries for that collaboration. The present results should interest hyperscale authors because they identify exactly which published conclusions are robust: the released arithmetic and national decarbonization trend. They also identify which are conditional: state-level crossovers, deterministic first rank, and the magnitude of embodied leverage.</w:t>
      </w:r>
    </w:p>
    <w:p>
      <w:pPr>
        <w:pStyle w:val="Heading2"/>
      </w:pPr>
      <w:r>
        <w:t>4.8. Limitations and submission-grade evidence needs</w:t>
      </w:r>
    </w:p>
    <w:p>
      <w:r>
        <w:rPr>
          <w:rFonts w:ascii="Calibri" w:hAnsi="Calibri"/>
          <w:sz w:val="21"/>
        </w:rPr>
        <w:t>The analysis remains secondary. It does not recreate proprietary background inventories, confidential bills of quantities, the full virtual-core model, or measured hyperscale operation. Equation (8) uses a numerical index across different electricity boundaries and climate metrics. The additive boundary allowance and triangular stress envelopes are diagnostics, not estimates. State total-output rates represent generation rather than consumption and omit imports, contracts, transmission, hourly dispatch, and marginal effects.</w:t>
      </w:r>
    </w:p>
    <w:p>
      <w:r>
        <w:rPr>
          <w:rFonts w:ascii="Calibri" w:hAnsi="Calibri"/>
          <w:sz w:val="21"/>
        </w:rPr>
        <w:t>The Boavizta sample mixes products and methods.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Before a public decision-grade comparative assertion, the study needs reviewed primary performance and useful-computation data, architecture bills of quantities, lifecycle-consistent electricity inventories, water-scarcity characterization, empirically supported uncertainty/correlation, and an external critical reviewer. These needs are recorded in the repository rather than obscured by additional proxy scenarios.</w:t>
      </w:r>
    </w:p>
    <w:p>
      <w:pPr>
        <w:pStyle w:val="Heading1"/>
      </w:pPr>
      <w:r>
        <w:t>5. Conclusions</w:t>
      </w:r>
    </w:p>
    <w:p>
      <w:r>
        <w:rPr>
          <w:rFonts w:ascii="Calibri" w:hAnsi="Calibri"/>
          <w:sz w:val="21"/>
        </w:rPr>
        <w:t>OpenDC-LCA reframes data-center cooling LCA as an evidence-bounded decision problem. It reconciled 24 released Microsoft/WSP totals, reconstructed nine eGRID releases to a common AR5 GWP100 basis, and quantified extrapolation, electricity-boundary, functional-unit, and joint assumption sensitivity.</w:t>
      </w:r>
    </w:p>
    <w:p>
      <w:r>
        <w:rPr>
          <w:rFonts w:ascii="Calibri" w:hAnsi="Calibri"/>
          <w:sz w:val="21"/>
        </w:rPr>
        <w:t>Three findings are consequential. First, the U.S. generation-rate decline of 32.46% from 2012 to 2023 is robust to historical eGRID GWP changes; the largest common-basis correction was only 0.248 kg CO2e/MWh. Second, local cooling rankings are less robust: 29.85% of state-year rates fall outside the released anchors, and the sole 2023 cold-plate/single-phase reversal vanishes under a 75 kg CO2e/MWh boundary allowance. Third, deterministic first rank is not uncertainty robustness. Two-phase ranked first in all 459 unperturbed screens, but its U.S. first-rank frequency fell from 99.33% to 56.16% across declared narrow-to-wide stress envelopes, and a median 5.50% adverse useful-computation correction erased first rank.</w:t>
      </w:r>
    </w:p>
    <w:p>
      <w:r>
        <w:rPr>
          <w:rFonts w:ascii="Calibri" w:hAnsi="Calibri"/>
          <w:sz w:val="21"/>
        </w:rPr>
        <w:t>The practical implication is straightforward: publish cooling comparisons with their functional unit, electricity boundary, anchor coverage, crossover, stress envelope, and evidence class. As grids decarbonize, useful computation, server manufacturing and lifetime, cooling-system quantities, and material routes become first-order research data. The package makes those requirements executable through open schemas, source lineage, engineering models, interoperability, and machine-readable claim gates. The next advance must come from linked primary measurements and inventories, not more precise interpretation of incompatible secondary factors.</w:t>
      </w:r>
    </w:p>
    <w:p>
      <w:pPr>
        <w:pStyle w:val="Heading1"/>
      </w:pPr>
      <w:r>
        <w:t>Data and code availability</w:t>
      </w:r>
    </w:p>
    <w:p>
      <w:r>
        <w:rPr>
          <w:rFonts w:ascii="Calibri" w:hAnsi="Calibri"/>
          <w:sz w:val="21"/>
        </w:rPr>
        <w:t>OpenDC-LCA version 1.1.0 source code, examples, documentation, tests, derived tables, and manuscript figures are available at https://github.com/UARK-NED3/OpenDC-LCA. Installable wheel and source archives are available from https://github.com/UARK-NED3/OpenDC-LCA/releases/tag/v1.1.0. A DOI-bearing, immutable archive containing the accepted code commit, derived tables, figures, configuration, and reproducibility manifest will be minted before submission. Provider-native raw files remain local when redistribution permission has not been established. The Microsoft/Nature archive is available from Zenodo [15]; eGRID and NOAA data are available from their public portals [34,35,38].</w:t>
      </w:r>
    </w:p>
    <w:p>
      <w:pPr>
        <w:pStyle w:val="Heading1"/>
      </w:pPr>
      <w:r>
        <w:t>Author contributions</w:t>
      </w:r>
    </w:p>
    <w:p>
      <w:r>
        <w:rPr>
          <w:rFonts w:ascii="Calibri" w:hAnsi="Calibri"/>
          <w:b/>
          <w:sz w:val="21"/>
        </w:rPr>
        <w:t>Draft taxonomy for confirmation:</w:t>
      </w:r>
      <w:r>
        <w:rPr>
          <w:rFonts w:ascii="Calibri" w:hAnsi="Calibri"/>
          <w:sz w:val="21"/>
        </w:rPr>
        <w:t xml:space="preserve"> Han Hu: conceptualization, methodology, software supervision, thermal-management analysis, writing, and visualization. Darin W. Nutter: LCA methodology, validation strategy, critical review, and manuscript revision. Contributions must be confirmed before submission.</w:t>
      </w:r>
    </w:p>
    <w:p>
      <w:pPr>
        <w:pStyle w:val="Heading1"/>
      </w:pPr>
      <w:r>
        <w:t>Competing interests</w:t>
      </w:r>
    </w:p>
    <w:p>
      <w:r>
        <w:rPr>
          <w:rFonts w:ascii="Calibri" w:hAnsi="Calibri"/>
          <w:sz w:val="21"/>
        </w:rPr>
        <w:t>The authors must complete and approve the journal-specific competing-interest statement before submission.</w:t>
      </w:r>
    </w:p>
    <w:p>
      <w:pPr>
        <w:pStyle w:val="Heading1"/>
      </w:pPr>
      <w:r>
        <w:t>Acknowledgments</w:t>
      </w:r>
    </w:p>
    <w:p>
      <w:r>
        <w:rPr>
          <w:rFonts w:ascii="Calibri" w:hAnsi="Calibri"/>
          <w:sz w:val="21"/>
        </w:rPr>
        <w:t>Funding, facility, student-contributor, and data-provider acknowledgments must be confirmed before submission.</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17.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18.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19.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20.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21.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22.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23.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24.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25.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26.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27.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28.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29.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30.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31. GreenDelta. openLCA: open source life cycle assessment software.</w:t>
      </w:r>
    </w:p>
    <w:p>
      <w:r>
        <w:rPr>
          <w:rFonts w:ascii="Calibri" w:hAnsi="Calibri"/>
          <w:sz w:val="21"/>
        </w:rPr>
        <w:t>https://www.openlca.org/</w:t>
      </w:r>
    </w:p>
    <w:p>
      <w:pPr>
        <w:spacing w:after="60"/>
        <w:ind w:left="374" w:hanging="288"/>
      </w:pPr>
      <w:r>
        <w:rPr>
          <w:rFonts w:ascii="Calibri" w:hAnsi="Calibri"/>
          <w:sz w:val="21"/>
        </w:rPr>
        <w:t>32.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33. UARK-NED3. OpenDC-LCA version 1.1.0.</w:t>
      </w:r>
    </w:p>
    <w:p>
      <w:r>
        <w:rPr>
          <w:rFonts w:ascii="Calibri" w:hAnsi="Calibri"/>
          <w:sz w:val="21"/>
        </w:rPr>
        <w:t>https://github.com/UARK-NED3/OpenDC-LCA</w:t>
      </w:r>
    </w:p>
    <w:p>
      <w:pPr>
        <w:spacing w:after="60"/>
        <w:ind w:left="374" w:hanging="288"/>
      </w:pPr>
      <w:r>
        <w:rPr>
          <w:rFonts w:ascii="Calibri" w:hAnsi="Calibri"/>
          <w:sz w:val="21"/>
        </w:rPr>
        <w:t>34. U.S. Environmental Protection Agency. Emissions &amp; Generation Resource</w:t>
      </w:r>
    </w:p>
    <w:p>
      <w:r>
        <w:rPr>
          <w:rFonts w:ascii="Calibri" w:hAnsi="Calibri"/>
          <w:sz w:val="21"/>
        </w:rPr>
        <w:t>Integrated Database (eGRID), detailed data. https://www.epa.gov/egrid/detailed-data</w:t>
      </w:r>
    </w:p>
    <w:p>
      <w:pPr>
        <w:spacing w:after="60"/>
        <w:ind w:left="374" w:hanging="288"/>
      </w:pPr>
      <w:r>
        <w:rPr>
          <w:rFonts w:ascii="Calibri" w:hAnsi="Calibri"/>
          <w:sz w:val="21"/>
        </w:rPr>
        <w:t>35. U.S. Environmental Protection Agency. Frequent questions about eGRID:</w:t>
      </w:r>
    </w:p>
    <w:p>
      <w:r>
        <w:rPr>
          <w:rFonts w:ascii="Calibri" w:hAnsi="Calibri"/>
          <w:sz w:val="21"/>
        </w:rPr>
        <w:t>global warming potentials and methodology changes. https://www.epa.gov/egrid/frequent-questions-about-egrid</w:t>
      </w:r>
    </w:p>
    <w:p>
      <w:pPr>
        <w:spacing w:after="60"/>
        <w:ind w:left="374" w:hanging="288"/>
      </w:pPr>
      <w:r>
        <w:rPr>
          <w:rFonts w:ascii="Calibri" w:hAnsi="Calibri"/>
          <w:sz w:val="21"/>
        </w:rPr>
        <w:t>36. Boavizta. BoaviztAPI data repository.</w:t>
      </w:r>
    </w:p>
    <w:p>
      <w:r>
        <w:rPr>
          <w:rFonts w:ascii="Calibri" w:hAnsi="Calibri"/>
          <w:sz w:val="21"/>
        </w:rPr>
        <w:t>https://github.com/Boavizta/boaviztapi</w:t>
      </w:r>
    </w:p>
    <w:p>
      <w:pPr>
        <w:spacing w:after="60"/>
        <w:ind w:left="374" w:hanging="288"/>
      </w:pPr>
      <w:r>
        <w:rPr>
          <w:rFonts w:ascii="Calibri" w:hAnsi="Calibri"/>
          <w:sz w:val="21"/>
        </w:rPr>
        <w:t>37. Bundesinstitut für Bau-, Stadt- und Raumforschung. ÖKOBAUDAT 2024-II.</w:t>
      </w:r>
    </w:p>
    <w:p>
      <w:r>
        <w:rPr>
          <w:rFonts w:ascii="Calibri" w:hAnsi="Calibri"/>
          <w:sz w:val="21"/>
        </w:rPr>
        <w:t>https://www.oekobaudat.de/</w:t>
      </w:r>
    </w:p>
    <w:p>
      <w:pPr>
        <w:spacing w:after="60"/>
        <w:ind w:left="374" w:hanging="288"/>
      </w:pPr>
      <w:r>
        <w:rPr>
          <w:rFonts w:ascii="Calibri" w:hAnsi="Calibri"/>
          <w:sz w:val="21"/>
        </w:rPr>
        <w:t>38. National Centers for Environmental Information. Typical Meteorological</w:t>
      </w:r>
    </w:p>
    <w:p>
      <w:r>
        <w:rPr>
          <w:rFonts w:ascii="Calibri" w:hAnsi="Calibri"/>
          <w:sz w:val="21"/>
        </w:rPr>
        <w:t>Year data. https://www.ncei.noaa.gov/access/typical-meteorological-year/</w:t>
      </w:r>
    </w:p>
    <w:p>
      <w:pPr>
        <w:spacing w:after="60"/>
        <w:ind w:left="374" w:hanging="288"/>
      </w:pPr>
      <w:r>
        <w:rPr>
          <w:rFonts w:ascii="Calibri" w:hAnsi="Calibri"/>
          <w:sz w:val="21"/>
        </w:rPr>
        <w:t>39. National Renewable Energy Laboratory. U.S. Life Cycle Inventory Database,</w:t>
      </w:r>
    </w:p>
    <w:p>
      <w:r>
        <w:rPr>
          <w:rFonts w:ascii="Calibri" w:hAnsi="Calibri"/>
          <w:sz w:val="21"/>
        </w:rPr>
        <w:t>version 1.2026-06.0. Federal LCA Commons. https://www.lcacommons.gov/</w:t>
      </w:r>
    </w:p>
    <w:p>
      <w:pPr>
        <w:spacing w:after="60"/>
        <w:ind w:left="374" w:hanging="288"/>
      </w:pPr>
      <w:r>
        <w:rPr>
          <w:rFonts w:ascii="Calibri" w:hAnsi="Calibri"/>
          <w:sz w:val="21"/>
        </w:rPr>
        <w:t>40. United Nations Environment Programme. Global LCA Data Access network.</w:t>
      </w:r>
    </w:p>
    <w:p>
      <w:r>
        <w:rPr>
          <w:rFonts w:ascii="Calibri" w:hAnsi="Calibri"/>
          <w:sz w:val="21"/>
        </w:rPr>
        <w:t>https://www.globallcadataaccess.org/</w:t>
      </w:r>
    </w:p>
    <w:p>
      <w:pPr>
        <w:spacing w:after="60"/>
        <w:ind w:left="374" w:hanging="288"/>
      </w:pPr>
      <w:r>
        <w:rPr>
          <w:rFonts w:ascii="Calibri" w:hAnsi="Calibri"/>
          <w:sz w:val="21"/>
        </w:rPr>
        <w:t>41. U.S. Geological Survey. Watershed Boundary Dataset.</w:t>
      </w:r>
    </w:p>
    <w:p>
      <w:r>
        <w:rPr>
          <w:rFonts w:ascii="Calibri" w:hAnsi="Calibri"/>
          <w:sz w:val="21"/>
        </w:rPr>
        <w:t>https://www.usgs.gov/national-hydrography/watershed-boundary-dataset</w:t>
      </w:r>
    </w:p>
    <w:p>
      <w:pPr>
        <w:spacing w:after="60"/>
        <w:ind w:left="374" w:hanging="288"/>
      </w:pPr>
      <w:r>
        <w:rPr>
          <w:rFonts w:ascii="Calibri" w:hAnsi="Calibri"/>
          <w:sz w:val="21"/>
        </w:rPr>
        <w:t>42. International Organization for Standardization. ISO 14040:2006 and ISO</w:t>
      </w:r>
    </w:p>
    <w:p>
      <w:r>
        <w:rPr>
          <w:rFonts w:ascii="Calibri" w:hAnsi="Calibri"/>
          <w:sz w:val="21"/>
        </w:rPr>
        <w:t>14044:2006, Environmental management - Life cycle assessment.</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Han Hu; Darin W. Nutter</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