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Transferability audit of data-center cooling life-cycle assessment: lifecycle electricity, functional equivalence, and rank robustness</w:t>
      </w:r>
    </w:p>
    <w:p>
      <w:pPr>
        <w:spacing w:after="60"/>
        <w:jc w:val="center"/>
      </w:pPr>
      <w:r>
        <w:rPr>
          <w:rFonts w:ascii="Calibri" w:hAnsi="Calibri"/>
          <w:b/>
          <w:i w:val="0"/>
          <w:color w:val="17324D"/>
          <w:sz w:val="22"/>
        </w:rPr>
        <w:t>Braden Stevens (1, 3), Pengjiang Xiang (1, 3), Yimin Chen (2), Darin Nutter (1), and Han Hu (1)</w:t>
      </w:r>
    </w:p>
    <w:p>
      <w:pPr>
        <w:spacing w:after="60"/>
        <w:jc w:val="center"/>
      </w:pPr>
      <w:r>
        <w:rPr>
          <w:rFonts w:ascii="Calibri" w:hAnsi="Calibri"/>
          <w:b/>
          <w:i w:val="0"/>
          <w:color w:val="17324D"/>
          <w:sz w:val="22"/>
        </w:rPr>
        <w:t>(1) Department of Mechanical Engineering, University of Arkansas, Fayetteville, AR 72701, U.S.</w:t>
      </w:r>
    </w:p>
    <w:p>
      <w:pPr>
        <w:spacing w:after="60"/>
        <w:jc w:val="center"/>
      </w:pPr>
      <w:r>
        <w:rPr>
          <w:rFonts w:ascii="Calibri" w:hAnsi="Calibri"/>
          <w:b/>
          <w:i w:val="0"/>
          <w:color w:val="17324D"/>
          <w:sz w:val="22"/>
        </w:rPr>
        <w:t>(2) Building Technologies Research and Integration Center, Oak Ridge National Laboratory, Oak Ridge, TN 37830, U.S.</w:t>
      </w:r>
    </w:p>
    <w:p>
      <w:pPr>
        <w:spacing w:after="60"/>
        <w:jc w:val="center"/>
      </w:pPr>
      <w:r>
        <w:rPr>
          <w:rFonts w:ascii="Calibri" w:hAnsi="Calibri"/>
          <w:b/>
          <w:i w:val="0"/>
          <w:color w:val="17324D"/>
          <w:sz w:val="22"/>
        </w:rPr>
        <w:t>(3) Harrison French &amp; Associates Ltd., Bentonville, AR 72712, U.S.</w:t>
      </w:r>
    </w:p>
    <w:p>
      <w:pPr>
        <w:spacing w:after="240"/>
        <w:jc w:val="center"/>
      </w:pPr>
      <w:r>
        <w:rPr>
          <w:rFonts w:ascii="Calibri" w:hAnsi="Calibri"/>
          <w:b w:val="0"/>
          <w:i/>
          <w:color w:val="60758A"/>
          <w:sz w:val="19"/>
        </w:rPr>
        <w:t>Corresponding author: Han Hu (hanhu@uark.edu).</w:t>
      </w:r>
    </w:p>
    <w:p>
      <w:pPr>
        <w:spacing w:before="100" w:after="160"/>
        <w:pBdr>
          <w:bottom w:val="single" w:sz="10" w:space="1" w:color="1F4E79"/>
        </w:pBdr>
      </w:pPr>
    </w:p>
    <w:p>
      <w:pPr>
        <w:pStyle w:val="Heading1"/>
      </w:pPr>
      <w:r>
        <w:t>Abstract</w:t>
      </w:r>
    </w:p>
    <w:p>
      <w:r>
        <w:rPr>
          <w:rFonts w:ascii="Calibri" w:hAnsi="Calibri"/>
          <w:sz w:val="21"/>
        </w:rPr>
        <w:t>Published data-center cooling life-cycle assessments (LCAs) are difficult to transfer because electricity boundaries, climate methods, useful-computation equivalence, and foreground inventories differ. This Technology Assessment uses OpenDC-LCA, an open-source evidence-audit and comparison-validation tool, to test which conclusions from the released Microsoft/WSP comparison remain supportable. We reconstructed 24 totals, harmonized nine U.S. Environmental Protection Agency Emissions &amp; Generation Resource Integrated Database (eGRID) releases to the Intergovernmental Panel on Climate Change Fifth Assessment Report 100-year global warming potential (AR5 GWP100), and calculated 71 non-residual 2023 Federal LCA Commons electricity-consumption systems. The article reports AR5 GWP100, but its archived workbook places the numeric electricity endpoints in 100-year global temperature-change-potential (GTP100) cells while the corresponding GWP100 cells are blank; formulas point to those blank cells. We therefore retain cooling totals only as numerical transferability screens. The harmonized national direct-generation factor declined 32.46%, from 517.73 to 349.67 kg carbon dioxide equivalent per megawatt-hour between 2012 and 2023. The partial linked national consumption system yielded 422.93 kg carbon dioxide equivalent per megawatt-hour but retained 287 unlinked technosphere inputs. Under equal relative bounds, the first-rank screen failed at a 1.32% all-block half-width; service-equivalence and use-phase thresholds were 2.64% and 2.99%, compared with 22.15% for embodied burden. This result reverses an earlier attribution of rank sensitivity to embodied variation. The audit supports the decline in generation-related greenhouse-gas intensity and identifies decision-critical data, but it does not identify a universally preferable cooling architecture.</w:t>
      </w:r>
    </w:p>
    <w:p>
      <w:r>
        <w:rPr>
          <w:rFonts w:ascii="Calibri" w:hAnsi="Calibri"/>
          <w:b/>
          <w:sz w:val="21"/>
        </w:rPr>
        <w:t>Keywords:</w:t>
      </w:r>
      <w:r>
        <w:rPr>
          <w:rFonts w:ascii="Calibri" w:hAnsi="Calibri"/>
          <w:sz w:val="21"/>
        </w:rPr>
        <w:t xml:space="preserve"> data center; life-cycle assessment; energy efficiency; lifecycle electricity; functional equivalence; sensitivity analysis; open-source software</w:t>
      </w:r>
    </w:p>
    <w:p>
      <w:pPr>
        <w:pStyle w:val="Heading1"/>
      </w:pPr>
      <w:r>
        <w:t>1. Introduction</w:t>
      </w:r>
    </w:p>
    <w:p>
      <w:pPr>
        <w:pStyle w:val="Heading2"/>
      </w:pPr>
      <w:r>
        <w:t>1.1. Cooling-system lifecycle context</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 intelligence (AI) workloads make energy efficiency and electricity-supply emissions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alternatives are not interchangeable heat exchangers. They alter server fans, pumps, coolant distribution units, heat-rejection temperature, fluid inventory, rack or tank construction, packing density, repair procedures, and sometimes achievable clock rate. System experiments have reported materially different coefficient of performance and cost behavior for single- and two-phase immersion over load [6], while recent single-phase tests show that flow direction, coolant viscosity, and water temperature affect chip temperature, thermal resistance, and power usage effectiveness (PUE) [7]. Two-phase experiments similarly show that boiling, pressure stability, and condenser performance must be evaluated at server and system levels [8]. A comparison at equal rack count, equal IT electricity, or equal nameplate capacity risks comparing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an energy-system decision with lifecycle consequences, not a single-metric efficiency contest.</w:t>
      </w:r>
    </w:p>
    <w:p>
      <w:pPr>
        <w:pStyle w:val="Heading2"/>
      </w:pPr>
      <w:r>
        <w:t>1.2. Data-center LCA literature</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detailed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work has moved closer to architecture- and service-level assessment. d'Orgeval et al. modeled complete data-center configurations and reported performance-normalized results for GPU-based subsets [16]. Wu et al. released and validated a cooling-plant virtual testbed against three months of operating data, with 7.62% mean absolute percentage error for power [17]. These studies provide performance and architecture evidence that a secondary normalized table cannot supply. ITU-T L.1410 likewise treats the functional unit and the rules for comparative ICT analysis as explicit study choices [18].</w:t>
      </w:r>
    </w:p>
    <w:p>
      <w:r>
        <w:rPr>
          <w:rFonts w:ascii="Calibri" w:hAnsi="Calibri"/>
          <w:sz w:val="21"/>
        </w:rPr>
        <w:t>Other LCA work confirms that changes in electricity-generation emissions and cooling efficiency are complementary but can shift impacts among categories [19]. Manufacturer and ICT studies also show wide dispersion in embodied server impacts [20,21]. Together, this literature exposes a specific gap: available primary studies do not provide a reusable audit for determining whether a published cooling comparison can be transferred to a different electricity system without changing its method, boundary, or computational service.</w:t>
      </w:r>
    </w:p>
    <w:p>
      <w:pPr>
        <w:pStyle w:val="Heading2"/>
      </w:pPr>
      <w:r>
        <w:t>1.3. Temporal and geographic electricity accounting</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[22,23]. Average rates can also fail to represent the effect of workload shifting; Dandres et al. found that average and marginal electricity signals can lead to different real-time data-center decisions [24].</w:t>
      </w:r>
    </w:p>
    <w:p>
      <w:r>
        <w:rPr>
          <w:rFonts w:ascii="Calibri" w:hAnsi="Calibri"/>
          <w:sz w:val="21"/>
        </w:rPr>
        <w:t>Time enters at several levels: cooling performance varies with load and weather; grid composition varies hourly and over years; equipment is replaced at discrete times; and background technologies evolve. Dynamic-LCA reviews distinguish temporal inventory, characterization, and prospective background change [25,26]. Open tools such as Temporalis and, more recently, bw_timex show how temporal information can be propagated through process networks [27-29]. For cooling, hourly operation is necessary but insufficient: the grid method, geography, and upstream boundary must also be aligned. A weather file cannot repair an incompatible electricity inventory.</w:t>
      </w:r>
    </w:p>
    <w:p>
      <w:pPr>
        <w:pStyle w:val="Heading2"/>
      </w:pPr>
      <w:r>
        <w:t>1.4. Data quality, uncertainty, and decision value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Correlation can materially change propagated uncertainty and cannot be inferred from marginal ranges alone [30]. Reviews recommend separating variability from uncertainty and using sensitivity analysis to identify influential assumptions [31]. Pedigree matrices can communicate reliability, temporal, geographic, and technological representativeness, but the conversion from qualitative scores to uncertainty is itself a modeling choice [32,33].</w:t>
      </w:r>
    </w:p>
    <w:p>
      <w:r>
        <w:rPr>
          <w:rFonts w:ascii="Calibri" w:hAnsi="Calibri"/>
          <w:sz w:val="21"/>
        </w:rPr>
        <w:t>Data-quality assessment is not a decorative appendix. EPA guidance emphasizes reproducible documentation at flow and process levels [33]. Decision analysis goes further: value-of-information methods prioritize data whose resolution is expected to change a decision, rather than simply improving every weak input [34]. This distinction is important for electronics-cooling laboratories. A parameter may have poor pedigree but negligible decision leverage; a seemingly precise PUE difference may be decisive if two lifecycle alternatives are nearly tied.</w:t>
      </w:r>
    </w:p>
    <w:p>
      <w:r>
        <w:rPr>
          <w:rFonts w:ascii="Calibri" w:hAnsi="Calibri"/>
          <w:sz w:val="21"/>
        </w:rPr>
        <w:t>The review standard also depends on the claim. ISO 14040 and ISO 14044 define the LCA framework and requirements, whereas ISO 14071:2024 specifies critical review processes and reviewer competencies, with particular relevance to comparative assertions intended for public disclosure [35,36]. Code tests, data checks, and coauthor review can strengthen traceability, but none is a substitute for an independent critical review.</w:t>
      </w:r>
    </w:p>
    <w:p>
      <w:pPr>
        <w:pStyle w:val="Heading2"/>
      </w:pPr>
      <w:r>
        <w:t>1.5. Research gap and contributions</w:t>
      </w:r>
    </w:p>
    <w:p>
      <w:r>
        <w:rPr>
          <w:rFonts w:ascii="Calibri" w:hAnsi="Calibri"/>
          <w:sz w:val="21"/>
        </w:rPr>
        <w:t>General engines such as openLCA and Brightway calculate process networks, exchange inventories, and apply life-cycle impact assessment (LCIA) methods [37,38].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 Conversely, cooling-plant models can validate operational power without closing lifecycle inventories or comparative-review requirements [17].</w:t>
      </w:r>
    </w:p>
    <w:p>
      <w:r>
        <w:rPr>
          <w:rFonts w:ascii="Calibri" w:hAnsi="Calibri"/>
          <w:sz w:val="21"/>
        </w:rPr>
        <w:t>Four gaps remain at the intersection of cooling engineering and LCA:</w:t>
      </w:r>
    </w:p>
    <w:p>
      <w:pPr>
        <w:spacing w:after="60"/>
        <w:ind w:left="374" w:hanging="288"/>
      </w:pPr>
      <w:r>
        <w:rPr>
          <w:rFonts w:ascii="Calibri" w:hAnsi="Calibri"/>
          <w:sz w:val="21"/>
        </w:rPr>
        <w:t>1. published normalized totals cannot be transparently updated when foreground</w:t>
      </w:r>
    </w:p>
    <w:p>
      <w:r>
        <w:rPr>
          <w:rFonts w:ascii="Calibri" w:hAnsi="Calibri"/>
          <w:sz w:val="21"/>
        </w:rPr>
        <w:t>quantities and licensed process mappings are incomplete;</w:t>
      </w:r>
    </w:p>
    <w:p>
      <w:pPr>
        <w:spacing w:after="60"/>
        <w:ind w:left="374" w:hanging="288"/>
      </w:pPr>
      <w:r>
        <w:rPr>
          <w:rFonts w:ascii="Calibri" w:hAnsi="Calibri"/>
          <w:sz w:val="21"/>
        </w:rPr>
        <w:t>2. common-unit electricity factors can retain incompatible characterization</w:t>
      </w:r>
    </w:p>
    <w:p>
      <w:r>
        <w:rPr>
          <w:rFonts w:ascii="Calibri" w:hAnsi="Calibri"/>
          <w:sz w:val="21"/>
        </w:rPr>
        <w:t>methods and system boundaries;</w:t>
      </w:r>
    </w:p>
    <w:p>
      <w:pPr>
        <w:spacing w:after="60"/>
        <w:ind w:left="374" w:hanging="288"/>
      </w:pPr>
      <w:r>
        <w:rPr>
          <w:rFonts w:ascii="Calibri" w:hAnsi="Calibri"/>
          <w:sz w:val="21"/>
        </w:rPr>
        <w:t>3. qualitative data-quality scores do not directly show which measurement</w:t>
      </w:r>
    </w:p>
    <w:p>
      <w:r>
        <w:rPr>
          <w:rFonts w:ascii="Calibri" w:hAnsi="Calibri"/>
          <w:sz w:val="21"/>
        </w:rPr>
        <w:t>could change the technology decision; and</w:t>
      </w:r>
    </w:p>
    <w:p>
      <w:pPr>
        <w:spacing w:after="60"/>
        <w:ind w:left="374" w:hanging="288"/>
      </w:pPr>
      <w:r>
        <w:rPr>
          <w:rFonts w:ascii="Calibri" w:hAnsi="Calibri"/>
          <w:sz w:val="21"/>
        </w:rPr>
        <w:t>4. software often produces a number without preserving whether it is</w:t>
      </w:r>
    </w:p>
    <w:p>
      <w:r>
        <w:rPr>
          <w:rFonts w:ascii="Calibri" w:hAnsi="Calibri"/>
          <w:sz w:val="21"/>
        </w:rPr>
        <w:t>reconstructed, screened, empirically supported, or suitable for a comparative claim.</w:t>
      </w:r>
    </w:p>
    <w:p>
      <w:r>
        <w:rPr>
          <w:rFonts w:ascii="Calibri" w:hAnsi="Calibri"/>
          <w:sz w:val="21"/>
        </w:rPr>
        <w:t>This study is a technology assessment of the transferability of the released Microsoft/WSP case. Its contributions are:</w:t>
      </w:r>
    </w:p>
    <w:p>
      <w:pPr>
        <w:spacing w:after="60"/>
        <w:ind w:left="374" w:hanging="288"/>
      </w:pPr>
      <w:r>
        <w:rPr>
          <w:rFonts w:ascii="Calibri" w:hAnsi="Calibri"/>
          <w:sz w:val="21"/>
        </w:rPr>
        <w:t>1. an exact reconstruction of 24 released totals and a cell-level audit that</w:t>
      </w:r>
    </w:p>
    <w:p>
      <w:r>
        <w:rPr>
          <w:rFonts w:ascii="Calibri" w:hAnsi="Calibri"/>
          <w:sz w:val="21"/>
        </w:rPr>
        <w:t>identifies an unresolved GTP100/GWP100 inconsistency in the public archive;</w:t>
      </w:r>
    </w:p>
    <w:p>
      <w:pPr>
        <w:spacing w:after="60"/>
        <w:ind w:left="374" w:hanging="288"/>
      </w:pPr>
      <w:r>
        <w:rPr>
          <w:rFonts w:ascii="Calibri" w:hAnsi="Calibri"/>
          <w:sz w:val="21"/>
        </w:rPr>
        <w:t>2. a common-basis reconstruction of nine eGRID releases from gas-specific</w:t>
      </w:r>
    </w:p>
    <w:p>
      <w:r>
        <w:rPr>
          <w:rFonts w:ascii="Calibri" w:hAnsi="Calibri"/>
          <w:sz w:val="21"/>
        </w:rPr>
        <w:t>emissions;</w:t>
      </w:r>
    </w:p>
    <w:p>
      <w:pPr>
        <w:spacing w:after="60"/>
        <w:ind w:left="374" w:hanging="288"/>
      </w:pPr>
      <w:r>
        <w:rPr>
          <w:rFonts w:ascii="Calibri" w:hAnsi="Calibri"/>
          <w:sz w:val="21"/>
        </w:rPr>
        <w:t>3. an openLCA-compatible JSON-LD calculation of 71 Federal LCA Commons 2023</w:t>
      </w:r>
    </w:p>
    <w:p>
      <w:r>
        <w:rPr>
          <w:rFonts w:ascii="Calibri" w:hAnsi="Calibri"/>
          <w:sz w:val="21"/>
        </w:rPr>
        <w:t>consumption systems, with process links, numerical residuals, and unlinked technosphere cutoffs reported rather than hidden;</w:t>
      </w:r>
    </w:p>
    <w:p>
      <w:pPr>
        <w:spacing w:after="60"/>
        <w:ind w:left="374" w:hanging="288"/>
      </w:pPr>
      <w:r>
        <w:rPr>
          <w:rFonts w:ascii="Calibri" w:hAnsi="Calibri"/>
          <w:sz w:val="21"/>
        </w:rPr>
        <w:t>4. exact, equal-width, deterministic rank-robustness certificates that</w:t>
      </w:r>
    </w:p>
    <w:p>
      <w:r>
        <w:rPr>
          <w:rFonts w:ascii="Calibri" w:hAnsi="Calibri"/>
          <w:sz w:val="21"/>
        </w:rPr>
        <w:t>distinguish the effects of grid, use phase, embodied burden, and service equivalence without assigning unsupported probabilities; and</w:t>
      </w:r>
    </w:p>
    <w:p>
      <w:pPr>
        <w:spacing w:after="60"/>
        <w:ind w:left="374" w:hanging="288"/>
      </w:pPr>
      <w:r>
        <w:rPr>
          <w:rFonts w:ascii="Calibri" w:hAnsi="Calibri"/>
          <w:sz w:val="21"/>
        </w:rPr>
        <w:t>5. the open-source OpenDC-LCA comparison validator, which blocks incompatible functional units,</w:t>
      </w:r>
    </w:p>
    <w:p>
      <w:r>
        <w:rPr>
          <w:rFonts w:ascii="Calibri" w:hAnsi="Calibri"/>
          <w:sz w:val="21"/>
        </w:rPr>
        <w:t>boundaries, electricity accounting, LCIA methods, or missing field-level lineage, while stating that metadata checks are not physical validation.</w:t>
      </w:r>
    </w:p>
    <w:p>
      <w:r>
        <w:rPr>
          <w:rFonts w:ascii="Calibri" w:hAnsi="Calibri"/>
          <w:sz w:val="21"/>
        </w:rPr>
        <w:t>Together, the reconstruction addresses the missing public arithmetic in gap 1; the harmonization and linked-system calculations expose the method and boundary conflicts in gap 2; the rank-robustness certificates identify the measurements with decision leverage in gap 3; and the OpenDC-LCA validator preserves the evidence class needed to prevent gap 4. OpenDC-LCA is therefore the reproducible implementation of this assessment layer, not a replacement for the process-network engines openLCA or Brightway.</w:t>
      </w:r>
    </w:p>
    <w:p>
      <w:r>
        <w:rPr>
          <w:rFonts w:ascii="Calibri" w:hAnsi="Calibri"/>
          <w:sz w:val="21"/>
        </w:rPr>
        <w:t>The aim is not to reconstruct licensed background inventories or declare a winning cooling technology. It is to determine which claims survive a transferability audit and which require primary measurement, complete inventories, or external critical review.</w:t>
      </w:r>
    </w:p>
    <w:p>
      <w:pPr>
        <w:pStyle w:val="Heading1"/>
      </w:pPr>
      <w:r>
        <w:t>2. Framework and methods</w:t>
      </w:r>
    </w:p>
    <w:p>
      <w:pPr>
        <w:pStyle w:val="Heading2"/>
      </w:pPr>
      <w:r>
        <w:t>2.1. Evidence-to-decision framework</w:t>
      </w:r>
    </w:p>
    <w:p>
      <w:r>
        <w:rPr>
          <w:rFonts w:ascii="Calibri" w:hAnsi="Calibri"/>
          <w:sz w:val="21"/>
        </w:rPr>
        <w:t>Figure 1 shows the workflow of OpenDC-LCA, an open-source data-center cooling life-cycle assessment tool. The repository records source-family metadata and a per-file path, byte count, and SHA-256 checksum. Dataset-specific tables retain the worksheet, field, unit, boundary, and numerical role used in each analysis. This is file-level integrity plus family-level provenance, not a complete flow-level data-lineage graph. The harmonization stage asks the following questions in order: (1) are the alternatives functionally equivalent; (2) are the units, characterization methods, time, and geography aligned; (3) is the required transformation interpolation or extrapolation; and (4) are uncertainty, correlation, and review status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w:t>
      </w:r>
    </w:p>
    <w:p>
      <w:r>
        <w:rPr>
          <w:rFonts w:ascii="Calibri" w:hAnsi="Calibri"/>
          <w:sz w:val="21"/>
        </w:rPr>
        <w:t>OpenDC-LCA is implemented in Python 3.10 or later and distributed under the MIT License [39]. The development branch evaluated here extends version 1.1.0 and provides a command-line interface, Python API, local browser GUI, scenario and performance-map schemas, reliability and replacement models, openLCA JSON-LD and Brightway mappings, evidence audits, and human- and machine-readable reports. Its comparison validator checks cross-scenario metadata and field-level source mappings before calculating a comparison. It cannot verify whether a declared source, uncertainty model, or review status is true.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pPr>
        <w:pStyle w:val="Heading2"/>
      </w:pPr>
      <w:r>
        <w:t>2.3. Dataset roles and inclusion criteria</w:t>
      </w:r>
    </w:p>
    <w:p>
      <w:r>
        <w:rPr>
          <w:rFonts w:ascii="Calibri" w:hAnsi="Calibri"/>
          <w:sz w:val="21"/>
        </w:rPr>
        <w:t>Table 1 states how each downloaded source enters this study. This is an important methodological control: being readable by the software does not make a dataset compatible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 and evidence used</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Boundary or transfer limit</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Claim class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Microsoft/WSP archive: 24 totals, component tables, 2 electricity anchors, pedigree records [14,15]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EPA eGRID: 459 state/DC-year rows and 9 U.S. aggregates [40,41]</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Common-basis generation-rate scenarios and historical trend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Federal LCA Commons U.S. Electricity Baseline 2023 and IPCC GWP method [42]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Linked consumption-system factors for 60 balancing authorities, 10 FERC regions, and the United States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Unlinked technosphere inputs remain zero-burden cutoffs; not harmonized with the released cooling foreground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Partial linked-system screen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Boavizta: 48 server PCF records [43]</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Server-manufacturing dispersion and common-scaling stress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 configurations, PCRs, lifetimes, and performance are heterogeneous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ÖKOBAUDAT: 6 selected A1-A3 processes [44]</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Matched steel- and cement-route procurement levers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German generic factors require architecture-specific bills of quantities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NOAA TMY: 8,760 Fayetteville weather rows [45]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Performance-map and hourly-integration software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measured four-architecture cooling surface is available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USLCI and 7 GLAD hydrogen archives [46,47]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Exchange and interoperability tests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Product-system links, allocation, providers, and LCIA methods are unresolved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USGS watershed boundary: HU12 geometry [48]</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or large upstream archives have not been reviewed for redistribution. Derived tables retain filenames, worksheets, fields, units, and checksums.</w:t>
      </w:r>
    </w:p>
    <w:p>
      <w:pPr>
        <w:pStyle w:val="Heading2"/>
      </w:pPr>
      <w:r>
        <w:t>2.4. Static lifecycle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I_k^prod, end-of-life factor I_k^EOL,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I_k^prod + (m_0/L_f) I_k^EOL;  GHG_direct = m_loss GWP_direct   (6)</w:t>
      </w:r>
    </w:p>
    <w:p>
      <w:r>
        <w:rPr>
          <w:rFonts w:ascii="Calibri" w:hAnsi="Calibri"/>
          <w:sz w:val="21"/>
        </w:rPr>
        <w:t>The model assumes that annual losses are replaced, so the charge remains m_0, and that the full remaining charge is treated at facility end of life. Annual purchases and outputs balance as m_0/L_f+m_loss. These equations are part of the software engine. The secondary Microsoft/WSP analysis uses the normalized component values released by the authors rather than inventing missing quantities.</w:t>
      </w:r>
    </w:p>
    <w:p>
      <w:pPr>
        <w:pStyle w:val="Heading2"/>
      </w:pPr>
      <w:r>
        <w:t>2.5. Released-model reconstruction</w:t>
      </w:r>
    </w:p>
    <w:p>
      <w:r>
        <w:rPr>
          <w:rFonts w:ascii="Calibri" w:hAnsi="Calibri"/>
          <w:sz w:val="21"/>
        </w:rPr>
        <w:t xml:space="preserve">For each of four cooling architectures, two electricity cases, and three impact metrics, the released total was recomputed from the seven aggregate categories in the Nature supplementary workbook </w:t>
      </w:r>
      <w:r>
        <w:rPr>
          <w:rFonts w:ascii="Courier New" w:hAnsi="Courier New"/>
          <w:color w:val="17324D"/>
          <w:sz w:val="20"/>
        </w:rPr>
        <w:t>Figure4</w:t>
      </w:r>
      <w:r>
        <w:rPr>
          <w:rFonts w:ascii="Calibri" w:hAnsi="Calibri"/>
          <w:sz w:val="21"/>
        </w:rPr>
        <w:t xml:space="preserve"> sheet: use phase, building, server, rack/tank, cable, supporting equipment, and fluid impacts. This 24-cell test is an arithmetic-consistency audit. It does not validate confidential quantities, licensed LCA for Experts or ecoinvent processes, allocation, performance, or field operation.</w:t>
      </w:r>
    </w:p>
    <w:p>
      <w:r>
        <w:rPr>
          <w:rFonts w:ascii="Calibri" w:hAnsi="Calibri"/>
          <w:sz w:val="21"/>
        </w:rPr>
        <w:t xml:space="preserve">The public files do not establish one unambiguous climate-method identity for the electricity endpoints. The article reports IPCC AR5 GWP100 [14]. In the archived detailed workbook, the numeric values 524.893 and 6.133 kg CO2e/MWh appear in cells F26 labeled “IPCC AR5 GTP100,” while the GWP100 cells F29 are blank. Direct worksheet-XML inspection further shows that </w:t>
      </w:r>
      <w:r>
        <w:rPr>
          <w:rFonts w:ascii="Courier New" w:hAnsi="Courier New"/>
          <w:color w:val="17324D"/>
          <w:sz w:val="20"/>
        </w:rPr>
        <w:t>Comparative results 0% RE!D118</w:t>
      </w:r>
      <w:r>
        <w:rPr>
          <w:rFonts w:ascii="Calibri" w:hAnsi="Calibri"/>
          <w:sz w:val="21"/>
        </w:rPr>
        <w:t xml:space="preserve"> and </w:t>
      </w:r>
      <w:r>
        <w:rPr>
          <w:rFonts w:ascii="Courier New" w:hAnsi="Courier New"/>
          <w:color w:val="17324D"/>
          <w:sz w:val="20"/>
        </w:rPr>
        <w:t>Comparative results 100% RE!D122</w:t>
      </w:r>
      <w:r>
        <w:rPr>
          <w:rFonts w:ascii="Calibri" w:hAnsi="Calibri"/>
          <w:sz w:val="21"/>
        </w:rPr>
        <w:t xml:space="preserve"> reference the blank F29 cells for conventional and renewable electricity. We treat the two numbers as label-free numerical anchors, not verified GWP100 or GTP100 factors, and define an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 xml:space="preserve">Equations (7)-(8) reproduce both numerical endpoints exactly. They are not a background-process substitution. Common units do not resolve the endpoint method identity or the upstream-boundary mismatch with eGRID. In this study, g_s is a screening index and every extrapolation is counted. The slope of each use-phase line has units of MWh/Vcore-year and is reported as an </w:t>
      </w:r>
      <w:r>
        <w:rPr>
          <w:rFonts w:ascii="Calibri" w:hAnsi="Calibri"/>
          <w:i/>
          <w:sz w:val="21"/>
        </w:rPr>
        <w:t>implied electricity-response coefficient</w:t>
      </w:r>
      <w:r>
        <w:rPr>
          <w:rFonts w:ascii="Calibri" w:hAnsi="Calibri"/>
          <w:sz w:val="21"/>
        </w:rPr>
        <w:t>. It is not a measured energy demand because the two endpoint methods are unresolved.</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eGRID harmonization</w:t>
      </w:r>
    </w:p>
    <w:p>
      <w:r>
        <w:rPr>
          <w:rFonts w:ascii="Calibri" w:hAnsi="Calibri"/>
          <w:sz w:val="21"/>
        </w:rPr>
        <w:t>EPA changed the GWP values used by eGRID: releases before 2018 used IPCC SAR, 2018-2022 used AR4, and 2023 used AR5 without climate-carbon feedback [40,41]. To remove this avoidable discontinuity, every state and U.S. factor was reconstructed from net generation and gas-specific annual emissions: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panel;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Federal LCA Commons electricity accounting</w:t>
      </w:r>
    </w:p>
    <w:p>
      <w:r>
        <w:rPr>
          <w:rFonts w:ascii="Calibri" w:hAnsi="Calibri"/>
          <w:sz w:val="21"/>
        </w:rPr>
        <w:t>The 2023 U.S. Electricity Baseline was downloaded from the Federal LCA Commons as openLCA 2 JSON-LD together with the repository's IPCC GWP method [42]. The inventory contains 947 processes and 142 product systems generated with ElectricityLCI 3.0.0. We retained 71 non-residual, at-user consumption systems: 60 balancing authorities, 10 FERC regions, and the national mix. The matched residual-consumption systems were calculated separately as a market-based accounting sensitivity and were never pooled with the ordinary consumption systems.</w:t>
      </w:r>
    </w:p>
    <w:p>
      <w:r>
        <w:rPr>
          <w:rFonts w:ascii="Calibri" w:hAnsi="Calibri"/>
          <w:sz w:val="21"/>
        </w:rPr>
        <w:t xml:space="preserve">For each product system, process links defined the technosphere coefficients. Activities were solved by fixed-point iteration for the declared target of 1 MWh at user; all exchange and target units were converted through the JSON-LD unit groups. Elementary exchanges were characterized with IPCC AR5-100 category UUID </w:t>
      </w:r>
      <w:r>
        <w:rPr>
          <w:rFonts w:ascii="Courier New" w:hAnsi="Courier New"/>
          <w:color w:val="17324D"/>
          <w:sz w:val="20"/>
        </w:rPr>
        <w:t>7d05b807-2caa-3cd9-b55c-399d3b820cbc</w:t>
      </w:r>
      <w:r>
        <w:rPr>
          <w:rFonts w:ascii="Calibri" w:hAnsi="Calibri"/>
          <w:sz w:val="21"/>
        </w:rPr>
        <w:t>. The calculation reports process count, link count, iteration count, maximum balance residual, impacts from generation processes, and all other linked upstream and infrastructure impacts.</w:t>
      </w:r>
    </w:p>
    <w:p>
      <w:r>
        <w:rPr>
          <w:rFonts w:ascii="Calibri" w:hAnsi="Calibri"/>
          <w:sz w:val="21"/>
        </w:rPr>
        <w:t xml:space="preserve">An input without a product-system provider link was assigned no upstream burden, consistent with the published link structure, and was recorded as a cutoff. The national system contained 287 such exchanges. Because their omitted magnitude was not bounded and the calculation was not independently reproduced in openLCA or Brightway, the resulting factors are termed </w:t>
      </w:r>
      <w:r>
        <w:rPr>
          <w:rFonts w:ascii="Calibri" w:hAnsi="Calibri"/>
          <w:i/>
          <w:sz w:val="21"/>
        </w:rPr>
        <w:t>partial linked-system factors</w:t>
      </w:r>
      <w:r>
        <w:rPr>
          <w:rFonts w:ascii="Calibri" w:hAnsi="Calibri"/>
          <w:sz w:val="21"/>
        </w:rPr>
        <w:t>. They improve on a direct-generation proxy but do not constitute complete lifecycle benchmarks.</w:t>
      </w:r>
    </w:p>
    <w:p>
      <w:r>
        <w:rPr>
          <w:rFonts w:ascii="Calibri" w:hAnsi="Calibri"/>
          <w:sz w:val="21"/>
        </w:rPr>
        <w:t>The provider scope includes trade, transmission and distribution losses, and upstream fuel supply. Generation infrastructure is included only for the provider-specified gas, oil, coal, solar, wind, and geothermal technologies; other generation infrastructure and transmission/distribution infrastructure are outside scope [42]. The very low factors in some hydropower-dominated systems must not be interpreted as complete electricity LCAs.</w:t>
      </w:r>
    </w:p>
    <w:p>
      <w:pPr>
        <w:pStyle w:val="Heading2"/>
      </w:pPr>
      <w:r>
        <w:t>2.8. Transferability diagnostics</w:t>
      </w:r>
    </w:p>
    <w:p>
      <w:r>
        <w:rPr>
          <w:rFonts w:ascii="Calibri" w:hAnsi="Calibri"/>
          <w:sz w:val="21"/>
        </w:rPr>
        <w:t>Each of the 459 state-year rates was classified as below, between, or above the two released electricity anchors. Equation (8) is interpolation only for the middle class.</w:t>
      </w:r>
    </w:p>
    <w:p>
      <w:r>
        <w:rPr>
          <w:rFonts w:ascii="Calibri" w:hAnsi="Calibri"/>
          <w:sz w:val="21"/>
        </w:rPr>
        <w:t>The earlier analysis added transparent allowances of 0, 25, 50, 75, and 100 kg CO2e/MWh to every 2023 eGRID rate. Those values were not data-based and are retained only in the Supplementary Information as a diagnostic of the direct generation boundary. The primary boundary analysis instead uses the partial linked-system factors in Section 2.7. We also report the exact numerical clearance between the lowest 2023 direct rate and the cold-plate/single-phase crossover, g^*-\min(g_s), without interpreting it as an upstream estimate.</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2.9. Rank-robustness and stress analyses</w:t>
      </w:r>
    </w:p>
    <w:p>
      <w:r>
        <w:rPr>
          <w:rFonts w:ascii="Calibri" w:hAnsi="Calibri"/>
          <w:sz w:val="21"/>
        </w:rPr>
        <w:t>The main robustness analysis uses equal relative half-widths so that one assumption block is not made influential merely by assigning it a wider range. For every Federal LCA Commons factor, we found the smallest half-width h at which the nominal numerical first rank could be reversed. Five sets were tested: shared grid only; technology-specific use phase only; embodied burden only; service equivalence only; and all four blocks at the same h. The grid multiplier was common and nonnegative. Foreground multipliers could vary in opposite adverse directions for the nominal winner and each competitor. All monotone adverse foreground directions and both shared-grid endpoints were evaluated, and the first crossing was found by bisection. The reported threshold is an exact certificate for the declared box, not a probability or empirical uncertainty interval.</w:t>
      </w:r>
    </w:p>
    <w:p>
      <w:r>
        <w:rPr>
          <w:rFonts w:ascii="Calibri" w:hAnsi="Calibri"/>
          <w:sz w:val="21"/>
        </w:rPr>
        <w:t>For comparison with the earlier screening analysis, we also retained seeded, 20,000-iteration triangular stress designs for the 2023 U.S. generation factor and the lowest-carbon 2023 state. The headline design used one shared grid multiplier and independent technology-specific multipliers for use phase, embodied contribution, and impact per equivalent service. It is the all-block, zero-correlation member of the dependence analysis described below. Three declared envelopes were used (Table 2).</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Envelope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Grid, use, and service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Purpose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Narrow</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Numerical stability near released values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Intermediate declared stress; not a fitted range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Wide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Deliberately severe robustness test</w:t>
            </w:r>
          </w:p>
        </w:tc>
      </w:tr>
    </w:tbl>
    <w:p>
      <w:pPr>
        <w:spacing w:after="40"/>
      </w:pPr>
    </w:p>
    <w:p>
      <w:r>
        <w:rPr>
          <w:rFonts w:ascii="Calibri" w:hAnsi="Calibri"/>
          <w:sz w:val="21"/>
        </w:rPr>
        <w:t>The triangular mode was 1.0 and the base seed was 20250730. A stable hash of the context, envelope, active block, and dependence case generated a separate seed for every design, so output does not depend on loop order. We then repeated the stress with grid only, use phase only, embodied contribution only, service equivalence only, and all four blocks active. Technology-specific multipliers were coupled with a Gaussian copula at declared latent correlations of 0, 0.5, and 1 while retaining the same triangular marginals. These correlations are not measurements. Rank frequencies describe the declared designs; they are not posterior probabilities, confidence levels, or a substitute for empirical uncertainty distributions.</w:t>
      </w:r>
    </w:p>
    <w:p>
      <w:r>
        <w:rPr>
          <w:rFonts w:ascii="Calibri" w:hAnsi="Calibri"/>
          <w:sz w:val="21"/>
        </w:rPr>
        <w:t>Numerical convergence was checked with nested 5,000-, 20,000-, and 80,000-draw runs using the same scenario seeds. The binomial Monte Carlo standard error is reported only as integration precision within each declared design. It is not a confidence interval for cooling performance or a remedy for unsupported input distributions.</w:t>
      </w:r>
    </w:p>
    <w:p>
      <w:pPr>
        <w:pStyle w:val="Heading2"/>
      </w:pPr>
      <w:r>
        <w:t>2.10.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candidate-flow table retains all 55 server records: 48 met the three-field rule, while seven Lenovo records were excluded because manufacturing share was blank. No candidate was silently discarded.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2.11. Temporal performance and software controls</w:t>
      </w:r>
    </w:p>
    <w:p>
      <w:r>
        <w:rPr>
          <w:rFonts w:ascii="Calibri" w:hAnsi="Calibri"/>
          <w:sz w:val="21"/>
        </w:rPr>
        <w:t>The package can bilinearly interpolate a bounded IT-load/dry-bulb performance map and integrate its cooling-only partial PUE against hourly conditions using one declared, constant grid factor. Wet-bulb values are schema-checked but are not an interpolation coordinate, and non-cooling facility overhead is outside this partial-PUE calculation. It rejects uncovered operating points; extrapolation is disabled.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test exchange, not case-model completeness.</w:t>
      </w:r>
    </w:p>
    <w:p>
      <w:r>
        <w:rPr>
          <w:rFonts w:ascii="Calibri" w:hAnsi="Calibri"/>
          <w:sz w:val="21"/>
        </w:rPr>
        <w:t>The scenario audit checks required metadata, duplicate identifiers, physical values, uncertainty declarations, evidence labels, and comparative intent. The comparison validator additionally requires matching functional units, system boundaries, electricity accounting, allocation and replacement rules, and LCIA methods. For a declared public assertion, each modeled input group must map to a registered source identifier. Synthetic inputs, unquantified uncertainty, and insufficient declared review remain blockers. These checks also reject non-finite numeric inputs, retain the field-to-source map in result manifests, and require a matching inclusion/exclusion record for custom comparative boundaries. They verify metadata consistency only: they cannot authenticate a citation, distribution, review status, physical model, or ISO conformity [35,36].</w:t>
      </w:r>
    </w:p>
    <w:p>
      <w:r>
        <w:rPr>
          <w:rFonts w:ascii="Calibri" w:hAnsi="Calibri"/>
          <w:sz w:val="21"/>
        </w:rPr>
        <w:t>OpenAI Codex (OpenAI) was used in a supporting role during software development and review, test generation, plotting-code review, and manuscript organization and language editing. It did not provide primary data or serve as an evidence source. Reported numerical results were regenerated with the version-controlled deterministic workflows described above and checked against the cited sources and automated tests under author supervision.</w:t>
      </w:r>
    </w:p>
    <w:p>
      <w:pPr>
        <w:pStyle w:val="Heading1"/>
      </w:pPr>
      <w:r>
        <w:t>3. Results</w:t>
      </w:r>
    </w:p>
    <w:p>
      <w:pPr>
        <w:pStyle w:val="Heading2"/>
      </w:pPr>
      <w:r>
        <w:t>3.1. Released-model method identity</w:t>
      </w:r>
    </w:p>
    <w:p>
      <w:r>
        <w:rPr>
          <w:rFonts w:ascii="Calibri" w:hAnsi="Calibri"/>
          <w:sz w:val="21"/>
        </w:rPr>
        <w:t>All 24 released combinations of architecture, electricity scenario, and impact metric reconciled to the seven published Figure-4 contributions at workbook precision. Under the released U.S. grid case, the reconstructed table reports 20.66% lower GHG, 20.00% lower primary energy, and 46.78% lower blue water for two-phase immersion than air cooling. These are reproduced source results, not independent comparisons.</w:t>
      </w:r>
    </w:p>
    <w:p>
      <w:r>
        <w:rPr>
          <w:rFonts w:ascii="Calibri" w:hAnsi="Calibri"/>
          <w:sz w:val="21"/>
        </w:rPr>
        <w:t>The cell-level audit changed their permissible use. The article identifies AR5 GWP100, but the detailed workbook's numeric endpoint cells are labeled AR5 GTP100 and the corresponding GWP100 cells are blank. Comparative use-phase formulas also reference those blank F29 cells. The two numeric endpoints lack a resolved LCIA-method identity in the public archive. The implied use-phase response coefficients were 0.06317, 0.05364, 0.05259, and 0.05006 MWh/Vcore-year for air, cold plate, single-phase, and two-phase, respectively, with zero-intensity intercepts of 0.010-0.013 kg CO2e/Vcore-year. These slopes are useful diagnostics, but they are not independently measured electricity demand.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w:t>
      </w:r>
    </w:p>
    <w:p>
      <w:pPr>
        <w:pStyle w:val="Heading2"/>
      </w:pPr>
      <w:r>
        <w:t>3.2. Historical generation-emission intensity</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The direct CO2-only rate was 348.000 kg/MWh in 2023. Thus, the long-run decline is not an artifact of eGRID's transition from SAR to AR4 and AR5.</w:t>
      </w:r>
    </w:p>
    <w:p>
      <w:r>
        <w:rPr>
          <w:rFonts w:ascii="Calibri" w:hAnsi="Calibri"/>
          <w:sz w:val="21"/>
        </w:rPr>
        <w:t>The 50-state-plus-DC reconstruction matched the official national result through 2018. From 2019 onward it was 0.32-0.43% lower because the panel covered 99.55-99.58% of the provider U.S. generation after excluding Puerto Rico. We retained the provider aggregate for the national series. In Figure 3, the orange polyline connects the reported provider U.S. aggregate direct-generation rate for each release year; it is not fitted to the state/DC points. Across the full panel, 137 of 459 numerical rates lay outside the two released cooling anchors, so 29.85% of the transfers were extrapolations.</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with electricity intensity on the horizontal axis in kg CO2e/MWh. The orange polyline connects the reported provider U.S. aggregate for each year; blue points fall below the released-model numerical cold-plate/single-phase crossover. These are direct-generation scenarios, not consumption LCIs or state cooling LCA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with electricity intensity on the horizontal axis in kg CO2e/MWh. The orange polyline connects the reported provider U.S. aggregate for each year; blue points fall below the released-model numerical cold-plate/single-phase crossover. These are direct-generation scenarios, not consumption LCIs or state cooling LCAs.</w:t>
      </w:r>
    </w:p>
    <w:p>
      <w:pPr>
        <w:pStyle w:val="Heading2"/>
      </w:pPr>
      <w:r>
        <w:t>3.3. Lifecycle electricity factors</w:t>
      </w:r>
    </w:p>
    <w:p>
      <w:r>
        <w:rPr>
          <w:rFonts w:ascii="Calibri" w:hAnsi="Calibri"/>
          <w:sz w:val="21"/>
        </w:rPr>
        <w:t>The 71 non-residual Federal LCA Commons systems ranged from 0.921 to 987.844 kg CO2e/MWh. The national linked-system factor was 422.931 kg CO2e/MWh: 369.848 from electricity-generation processes and 53.084 from other linked upstream and infrastructure processes. It exceeded the 2023 national eGRID direct-generation rate by 73.264 kg CO2e/MWh, although the difference also contains consumption-mix, delivery-loss, flow-coverage, and boundary effects and is not an isolated upstream correction.</w:t>
      </w:r>
    </w:p>
    <w:p>
      <w:r>
        <w:rPr>
          <w:rFonts w:ascii="Calibri" w:hAnsi="Calibri"/>
          <w:sz w:val="21"/>
        </w:rPr>
        <w:t>All 10 FERC-region systems exceeded the 96.704 kg CO2e/MWh numerical cold-plate/single-phase crossover; they ranged from 238.897 kg CO2e/MWh for NYISO to 557.110 kg CO2e/MWh for MISO. Ten of 60 balancing-authority systems fell below the crossover, and 15 of all 71 systems exceeded the released high anchor of 524.893 kg CO2e/MWh. The numerical cooling screen placed two-phase first in all 71 systems, but this is not a common-method comparative LCA because the cooling foreground method remains unresolved.</w:t>
      </w:r>
    </w:p>
    <w:p>
      <w:r>
        <w:rPr>
          <w:rFonts w:ascii="Calibri" w:hAnsi="Calibri"/>
          <w:sz w:val="21"/>
        </w:rPr>
        <w:t>The national result converged in five fixed-point iterations with a balance residual of zero at the reporting precision, using 582 processes and 1,174 links. It also contained 287 unlinked technosphere exchanges across 47 processes, including fuels, construction materials, chemicals, and reclaimed water. Their upstream burdens were zero in the linked calculation and were not bounded. The factor is more complete than eGRID direct emissions but still a partial linked-system result.</w:t>
      </w:r>
    </w:p>
    <w:p>
      <w:r>
        <w:rPr>
          <w:rFonts w:ascii="Calibri" w:hAnsi="Calibri"/>
          <w:sz w:val="21"/>
        </w:rPr>
        <w:t>The national residual-consumption system was 455.350 kg CO2e/MWh, comprising 399.934 from generation processes and 55.417 from other linked processes. It was 7.67% above the ordinary consumption-system result. This difference is an electricity-accounting sensitivity, not an uncertainty interval, and the two accounting products were not mixed within any cooling screen.</w:t>
      </w:r>
    </w:p>
    <w:p>
      <w:pPr>
        <w:keepNext/>
        <w:spacing w:before="120" w:after="40"/>
        <w:jc w:val="center"/>
      </w:pPr>
      <w:r>
        <w:drawing>
          <wp:inline xmlns:a="http://schemas.openxmlformats.org/drawingml/2006/main" xmlns:pic="http://schemas.openxmlformats.org/drawingml/2006/picture">
            <wp:extent cx="5897880" cy="4030218"/>
            <wp:docPr id="4" name="Picture 4" descr="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cold-plate/single-phase numerical crossover; the purple dashed line marks the 524.893 kg CO2e/MWh released high numerical anchor. Neither line creates method equivalence." title="OpenDC-LCA Figure 4"/>
            <wp:cNvGraphicFramePr>
              <a:graphicFrameLocks noChangeAspect="1"/>
            </wp:cNvGraphicFramePr>
            <a:graphic>
              <a:graphicData uri="http://schemas.openxmlformats.org/drawingml/2006/picture">
                <pic:pic>
                  <pic:nvPicPr>
                    <pic:cNvPr id="0" name="figure10_lifecycle_electricity.png"/>
                    <pic:cNvPicPr/>
                  </pic:nvPicPr>
                  <pic:blipFill>
                    <a:blip r:embed="rId14"/>
                    <a:stretch>
                      <a:fillRect/>
                    </a:stretch>
                  </pic:blipFill>
                  <pic:spPr>
                    <a:xfrm>
                      <a:off x="0" y="0"/>
                      <a:ext cx="5897880" cy="4030218"/>
                    </a:xfrm>
                    <a:prstGeom prst="rect"/>
                  </pic:spPr>
                </pic:pic>
              </a:graphicData>
            </a:graphic>
          </wp:inline>
        </w:drawing>
      </w:r>
    </w:p>
    <w:p>
      <w:pPr>
        <w:pStyle w:val="Caption"/>
      </w:pPr>
      <w:r>
        <w:rPr>
          <w:rFonts w:ascii="Calibri" w:hAnsi="Calibri"/>
          <w:sz w:val="18"/>
        </w:rPr>
        <w:t>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cold-plate/single-phase numerical crossover; the purple dashed line marks the 524.893 kg CO2e/MWh released high numerical anchor. Neither line creates method equivalence.</w:t>
      </w:r>
    </w:p>
    <w:p>
      <w:pPr>
        <w:pStyle w:val="Heading2"/>
      </w:pPr>
      <w:r>
        <w:t>3.4. Rank-robustness thresholds</w:t>
      </w:r>
    </w:p>
    <w:p>
      <w:r>
        <w:rPr>
          <w:rFonts w:ascii="Calibri" w:hAnsi="Calibri"/>
          <w:sz w:val="21"/>
        </w:rPr>
        <w:t>At the national lifecycle factor, the numerical two-phase first rank could not be reversed by a shared grid-factor change within the tested nonnegative range through a 99.999% half-width. With technology-specific variation, reversal occurred at 2.994% for use phase, 22.154% for embodied burden, and 2.637% for service equivalence. When all four blocks used the same half-width, the first reversal occurred at 1.318%, against single-phase.</w:t>
      </w:r>
    </w:p>
    <w:p>
      <w:r>
        <w:rPr>
          <w:rFonts w:ascii="Calibri" w:hAnsi="Calibri"/>
          <w:sz w:val="21"/>
        </w:rPr>
        <w:t>Across all 71 electricity contexts, the all-block critical half-width ranged from 1.123% at PUD No. 1 of Douglas County to 1.479% at Duke Energy Progress West. At the lowest-carbon system, the critical competitor was cold plate; the embodied-only and service-only thresholds were 2.291% and 2.246%, while use-phase and shared-grid changes did not reverse rank through 99.999%. The ranking is numerically fragile even though it survives every unperturbed electricity factor.</w:t>
      </w:r>
    </w:p>
    <w:p>
      <w:r>
        <w:rPr>
          <w:rFonts w:ascii="Calibri" w:hAnsi="Calibri"/>
          <w:sz w:val="21"/>
        </w:rPr>
        <w:t>This equalized analysis reverses one conclusion from the earlier triangular stress design. Embodied variation had appeared to cause the largest rank loss because its assigned half-width was 10 times those of use phase and service. At equal widths, embodied burden has the largest national one-block tolerance; service equivalence and use phase are limiting. The earlier stress frequencies and their dependence/convergence diagnostics remain in the Supplementary Information as evidence about the chosen design, not the technologies.</w:t>
      </w:r>
    </w:p>
    <w:p>
      <w:r>
        <w:rPr>
          <w:rFonts w:ascii="Calibri" w:hAnsi="Calibri"/>
          <w:sz w:val="21"/>
        </w:rPr>
        <w:t>The one-sided functional-unit diagnostic gives a complementary threshold: across 2023 direct-rate contexts, a 5.24-6.04% adverse correction to two-phase impact per equivalent useful computation would erase its numerical first rank. This is a break-even requirement for future measurements, not an observed performance difference.</w:t>
      </w:r>
    </w:p>
    <w:p>
      <w:pPr>
        <w:keepNext/>
        <w:spacing w:before="120" w:after="40"/>
        <w:jc w:val="center"/>
      </w:pPr>
      <w:r>
        <w:drawing>
          <wp:inline xmlns:a="http://schemas.openxmlformats.org/drawingml/2006/main" xmlns:pic="http://schemas.openxmlformats.org/drawingml/2006/picture">
            <wp:extent cx="5897880" cy="3538728"/>
            <wp:docPr id="5" name="Picture 5" descr="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 title="OpenDC-LCA Figure 5"/>
            <wp:cNvGraphicFramePr>
              <a:graphicFrameLocks noChangeAspect="1"/>
            </wp:cNvGraphicFramePr>
            <a:graphic>
              <a:graphicData uri="http://schemas.openxmlformats.org/drawingml/2006/picture">
                <pic:pic>
                  <pic:nvPicPr>
                    <pic:cNvPr id="0" name="figure11_standardized_robustness.png"/>
                    <pic:cNvPicPr/>
                  </pic:nvPicPr>
                  <pic:blipFill>
                    <a:blip r:embed="rId15"/>
                    <a:stretch>
                      <a:fillRect/>
                    </a:stretch>
                  </pic:blipFill>
                  <pic:spPr>
                    <a:xfrm>
                      <a:off x="0" y="0"/>
                      <a:ext cx="5897880" cy="3538728"/>
                    </a:xfrm>
                    <a:prstGeom prst="rect"/>
                  </pic:spPr>
                </pic:pic>
              </a:graphicData>
            </a:graphic>
          </wp:inline>
        </w:drawing>
      </w:r>
    </w:p>
    <w:p>
      <w:pPr>
        <w:pStyle w:val="Caption"/>
      </w:pPr>
      <w:r>
        <w:rPr>
          <w:rFonts w:ascii="Calibri" w:hAnsi="Calibri"/>
          <w:sz w:val="18"/>
        </w:rPr>
        <w:t>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w:t>
      </w:r>
    </w:p>
    <w:p>
      <w:pPr>
        <w:pStyle w:val="Heading2"/>
      </w:pPr>
      <w:r>
        <w:t>3.5. Server and construction evidence</w:t>
      </w:r>
    </w:p>
    <w:p>
      <w:r>
        <w:rPr>
          <w:rFonts w:ascii="Calibri" w:hAnsi="Calibri"/>
          <w:sz w:val="21"/>
        </w:rPr>
        <w:t xml:space="preserve">Of 55 Boavizta </w:t>
      </w:r>
      <w:r>
        <w:rPr>
          <w:rFonts w:ascii="Courier New" w:hAnsi="Courier New"/>
          <w:color w:val="17324D"/>
          <w:sz w:val="20"/>
        </w:rPr>
        <w:t>Datacenter/Server</w:t>
      </w:r>
      <w:r>
        <w:rPr>
          <w:rFonts w:ascii="Calibri" w:hAnsi="Calibri"/>
          <w:sz w:val="21"/>
        </w:rPr>
        <w:t xml:space="preserve"> candidates, 48 included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result is a structural stress only: it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sensitivity</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was in the top three in all nine;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[34].</w:t>
      </w:r>
    </w:p>
    <w:p>
      <w:pPr>
        <w:pStyle w:val="Heading2"/>
      </w:pPr>
      <w:r>
        <w:t>3.7. Software verification and practitioner outputs</w:t>
      </w:r>
    </w:p>
    <w:p>
      <w:r>
        <w:rPr>
          <w:rFonts w:ascii="Calibri" w:hAnsi="Calibri"/>
          <w:sz w:val="21"/>
        </w:rPr>
        <w:t>The full local test suite covers calculation, fluid mass conservation, interoperability, reliability, public-data parsing, practitioner workflow, GUI/API parity, endpoint reconstruction, eGRID harmonization, Federal LCA Commons process-system solution, cutoff reporting, equal-width robustness, comparison incompatibility, field-level lineage, stress-design determinism, and provenance integrity. Paper-reconstruction tests skip explicitly when locally held provider files are absent; no substitute values are inserted.</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the truth of metadata labels, or the physical adequacy of a screening model.</w:t>
      </w:r>
    </w:p>
    <w:p>
      <w:pPr>
        <w:pStyle w:val="Heading1"/>
      </w:pPr>
      <w:r>
        <w:t>4. Discussion</w:t>
      </w:r>
    </w:p>
    <w:p>
      <w:pPr>
        <w:pStyle w:val="Heading2"/>
      </w:pPr>
      <w:r>
        <w:t>4.1. Comparative claim boundaries</w:t>
      </w:r>
    </w:p>
    <w:p>
      <w:r>
        <w:rPr>
          <w:rFonts w:ascii="Calibri" w:hAnsi="Calibri"/>
          <w:sz w:val="21"/>
        </w:rPr>
        <w:t>The released table and every unperturbed electricity screen place two-phase first. Three independent findings prevent that order from becoming a public comparative conclusion: the archive does not resolve the climate method of the numeric electricity endpoints; the cooling foreground cannot be recalculated under the same AR5 method as the electricity inventories; and useful computation has not been measured across the four architectures. The most important outcome is the boundary between reproduced arithmetic and a physically identified comparison.</w:t>
      </w:r>
    </w:p>
    <w:p>
      <w:r>
        <w:rPr>
          <w:rFonts w:ascii="Calibri" w:hAnsi="Calibri"/>
          <w:sz w:val="21"/>
        </w:rPr>
        <w:t>The 96.704 kg CO2e/MWh cold-plate/single-phase crossover is a property of two released numerical endpoints. It helps locate where their affine lines cross, but it is not an environmental threshold for a real site. Likewise, survival across 71 electricity factors explores one background dimension; it does not provide 71 independent observations of cooling performance. A transferable assessment must report the numerical result together with its functional unit, method identity, system boundary, cutoff structure, robustness definition, and claim status.</w:t>
      </w:r>
    </w:p>
    <w:p>
      <w:pPr>
        <w:pStyle w:val="Heading2"/>
      </w:pPr>
      <w:r>
        <w:t>4.2. Electricity-system boundaries</w:t>
      </w:r>
    </w:p>
    <w:p>
      <w:r>
        <w:rPr>
          <w:rFonts w:ascii="Calibri" w:hAnsi="Calibri"/>
          <w:sz w:val="21"/>
        </w:rPr>
        <w:t>The eGRID reconstruction shows that the 32.46% historical national decline is robust to changing GWP conventions. The Federal LCA Commons calculation then replaces an arbitrary additive boundary allowance with a provider-linked consumption model. At the national point, linked upstream and infrastructure processes add 53.084 kg CO2e/MWh beyond generation processes, and the total is 73.264 kg CO2e/MWh above the eGRID national rate. All FERC regions lie above the numerical cold-plate/single-phase crossover.</w:t>
      </w:r>
    </w:p>
    <w:p>
      <w:r>
        <w:rPr>
          <w:rFonts w:ascii="Calibri" w:hAnsi="Calibri"/>
          <w:sz w:val="21"/>
        </w:rPr>
        <w:t>This is a material advance, but not full harmonization. The difference between the two national factors also reflects delivery losses, consumption versus generation geography, and elementary-flow coverage. More importantly, 287 unlinked technosphere exchanges still carry zero upstream burden. A complete calculation requires those providers to be linked or their omitted impacts to be bounded and independently reproduced. Even then, electricity cannot repair the unresolved cooling-foreground LCIA method. Location- and market-based cases must also remain consistent throughout the product system [22,23]. The 7.67% national difference between ordinary and residual consumption mixes shows that the accounting choice is consequential even before the cooling foreground is harmonized.</w:t>
      </w:r>
    </w:p>
    <w:p>
      <w:pPr>
        <w:pStyle w:val="Heading2"/>
      </w:pPr>
      <w:r>
        <w:t>4.3. Robustness-bound design</w:t>
      </w:r>
    </w:p>
    <w:p>
      <w:r>
        <w:rPr>
          <w:rFonts w:ascii="Calibri" w:hAnsi="Calibri"/>
          <w:sz w:val="21"/>
        </w:rPr>
        <w:t>The earlier triangular analysis assigned embodied burden a half-width 10 times the use-phase and service widths. Its conclusion that embodied variation was the largest one-block source of rank loss conflated sensitivity with an arbitrary range choice. The equal-width certificate separates those effects. At the national lifecycle factor, embodied burden can vary by 22.15% before a worst-case one-block reversal, whereas service equivalence and use phase require only 2.64% and 2.99%.</w:t>
      </w:r>
    </w:p>
    <w:p>
      <w:r>
        <w:rPr>
          <w:rFonts w:ascii="Calibri" w:hAnsi="Calibri"/>
          <w:sz w:val="21"/>
        </w:rPr>
        <w:t>The all-block threshold of 1.32% is not a confidence bound. It is the radius of a specified box in which a shared grid multiplier and adverse technology-specific foreground multipliers cannot reverse the numerical first rank. Its value lies in falsifiability: any proposed empirical uncertainty model can be compared against the same bound structure. A probability of rank would additionally require measured marginal distributions and correlations [30].</w:t>
      </w:r>
    </w:p>
    <w:p>
      <w:r>
        <w:rPr>
          <w:rFonts w:ascii="Calibri" w:hAnsi="Calibri"/>
          <w:sz w:val="21"/>
        </w:rPr>
        <w:t>This correction changes the near-term research priority. Measurements should first close functional equivalence and use-phase demand, while bills of quantities and material inventories remain necessary for a common-method lifecycle comparison. The legacy triangular results still demonstrate that dependence assumptions matter, but they do not rank the real-world importance of uncertainty blocks.</w:t>
      </w:r>
    </w:p>
    <w:p>
      <w:pPr>
        <w:pStyle w:val="Heading2"/>
      </w:pPr>
      <w:r>
        <w:t>4.4. Functional equivalence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one-sided 5.50% median threshold and the symmetric 2.64% national service bound are break-even requirements, not measured penalties. They define the approximate resolution required of a comparative experiment. ITU-T L.1410 similarly requires an explicit functional unit and comparative baseline for ICT services [18].</w:t>
      </w:r>
    </w:p>
    <w:p>
      <w:r>
        <w:rPr>
          <w:rFonts w:ascii="Calibri" w:hAnsi="Calibri"/>
          <w:sz w:val="21"/>
        </w:rPr>
        <w:t>A shared protocol should measure, for every architecture, completed workload or benchmark output; IT and cooling power; inlet and component temperatures; flow and pressure drop; fan, pump, CDU and heat-rejection power; onsite water; failure and maintenance events; and uncertainty/calibration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Grid decarbonization and evidence priorities</w:t>
      </w:r>
    </w:p>
    <w:p>
      <w:r>
        <w:rPr>
          <w:rFonts w:ascii="Calibri" w:hAnsi="Calibri"/>
          <w:sz w:val="21"/>
        </w:rPr>
        <w:t>The national analysis shows a dual effect. Cleaner generation lowers every electricity-dependent cooling result and contracts the absolute value of operational efficiency, while increasing the fraction supplied by embodied terms. Percentage savings alone hide this transition: the absolute modeled two-phase-versus-air benefit fell 29.45% between the 2012 and 2023 generation conditions.</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needed research product is a linked foreground dataset: useful computation, server configuration and lifetime, cooling bill of quantities, material route, and measured operation under one functional unit.</w:t>
      </w:r>
    </w:p>
    <w:p>
      <w:pPr>
        <w:pStyle w:val="Heading2"/>
      </w:pPr>
      <w:r>
        <w:t>4.6. Relationship to LCA software</w:t>
      </w:r>
    </w:p>
    <w:p>
      <w:r>
        <w:rPr>
          <w:rFonts w:ascii="Calibri" w:hAnsi="Calibri"/>
          <w:sz w:val="21"/>
        </w:rPr>
        <w:t>OpenDC-LCA does not replace openLCA, Brightway, Temporalis, premise, or bw_timex. Those tools provide process-network calculation, database management, prospective backgrounds, or time-explicit LCA [27-29,37,38]. The assessment layer here adds:</w:t>
      </w:r>
    </w:p>
    <w:p>
      <w:pPr>
        <w:spacing w:after="60"/>
        <w:ind w:left="374" w:hanging="288"/>
      </w:pPr>
      <w:r>
        <w:rPr>
          <w:rFonts w:ascii="Calibri" w:hAnsi="Calibri"/>
          <w:sz w:val="21"/>
        </w:rPr>
        <w:t>1. a functional-equivalence check tied to useful computation;</w:t>
      </w:r>
    </w:p>
    <w:p>
      <w:pPr>
        <w:spacing w:after="60"/>
        <w:ind w:left="374" w:hanging="288"/>
      </w:pPr>
      <w:r>
        <w:rPr>
          <w:rFonts w:ascii="Calibri" w:hAnsi="Calibri"/>
          <w:sz w:val="21"/>
        </w:rPr>
        <w:t>2. load-weather cooling performance and bounded annual integration;</w:t>
      </w:r>
    </w:p>
    <w:p>
      <w:pPr>
        <w:spacing w:after="60"/>
        <w:ind w:left="374" w:hanging="288"/>
      </w:pPr>
      <w:r>
        <w:rPr>
          <w:rFonts w:ascii="Calibri" w:hAnsi="Calibri"/>
          <w:sz w:val="21"/>
        </w:rPr>
        <w:t>3. reliability, replacement, and cooling-fluid representations;</w:t>
      </w:r>
    </w:p>
    <w:p>
      <w:pPr>
        <w:spacing w:after="60"/>
        <w:ind w:left="374" w:hanging="288"/>
      </w:pPr>
      <w:r>
        <w:rPr>
          <w:rFonts w:ascii="Calibri" w:hAnsi="Calibri"/>
          <w:sz w:val="21"/>
        </w:rPr>
        <w:t>4. explicit separation of lifecycle electricity, direct generation rates,</w:t>
      </w:r>
    </w:p>
    <w:p>
      <w:r>
        <w:rPr>
          <w:rFonts w:ascii="Calibri" w:hAnsi="Calibri"/>
          <w:sz w:val="21"/>
        </w:rPr>
        <w:t>market instruments, and marginal signals;</w:t>
      </w:r>
    </w:p>
    <w:p>
      <w:pPr>
        <w:spacing w:after="60"/>
        <w:ind w:left="374" w:hanging="288"/>
      </w:pPr>
      <w:r>
        <w:rPr>
          <w:rFonts w:ascii="Calibri" w:hAnsi="Calibri"/>
          <w:sz w:val="21"/>
        </w:rPr>
        <w:t>5. source and transformation provenance; and</w:t>
      </w:r>
    </w:p>
    <w:p>
      <w:pPr>
        <w:spacing w:after="60"/>
        <w:ind w:left="374" w:hanging="288"/>
      </w:pPr>
      <w:r>
        <w:rPr>
          <w:rFonts w:ascii="Calibri" w:hAnsi="Calibri"/>
          <w:sz w:val="21"/>
        </w:rPr>
        <w:t>6. an automated metadata validator that blocks declared comparisons with</w:t>
      </w:r>
    </w:p>
    <w:p>
      <w:r>
        <w:rPr>
          <w:rFonts w:ascii="Calibri" w:hAnsi="Calibri"/>
          <w:sz w:val="21"/>
        </w:rPr>
        <w:t>incompatible methods, boundaries, or source mappings.</w:t>
      </w:r>
    </w:p>
    <w:p>
      <w:r>
        <w:rPr>
          <w:rFonts w:ascii="Calibri" w:hAnsi="Calibri"/>
          <w:sz w:val="21"/>
        </w:rPr>
        <w:t>The validator is deliberately narrower than a scientific review. It trusts the metadata supplied by the user and cannot determine whether a performance map is representative, a distribution is empirical, or an external review occurred. Its role is to catch machine-detectable incompatibilities before calculation, not to authorize a public environmental claim.</w:t>
      </w:r>
    </w:p>
    <w:p>
      <w:r>
        <w:rPr>
          <w:rFonts w:ascii="Calibri" w:hAnsi="Calibri"/>
          <w:sz w:val="21"/>
        </w:rPr>
        <w:t>This role also differs from recent data-center models. AlphaDataCenterCooling provides operational validation of a cooling plant [17], while d'Orgeval et al. compare full data-center architectures and, for a subset, normalize by computational performance [16]. The present work tests whether published secondary LCA results retain their meaning when moved across electricity datasets and claim contexts; it does not duplicate either primary modeling capability.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Hyperscale applications</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Five additions are needed:</w:t>
      </w:r>
    </w:p>
    <w:p>
      <w:pPr>
        <w:spacing w:after="60"/>
        <w:ind w:left="374" w:hanging="288"/>
      </w:pPr>
      <w:r>
        <w:rPr>
          <w:rFonts w:ascii="Calibri" w:hAnsi="Calibri"/>
          <w:sz w:val="21"/>
        </w:rPr>
        <w:t>1. the original GWP100 electricity factors or elementary-flow inventories</w:t>
      </w:r>
    </w:p>
    <w:p>
      <w:r>
        <w:rPr>
          <w:rFonts w:ascii="Calibri" w:hAnsi="Calibri"/>
          <w:sz w:val="21"/>
        </w:rPr>
        <w:t>needed to resolve the public workbook's blank F29 cells;</w:t>
      </w:r>
    </w:p>
    <w:p>
      <w:pPr>
        <w:spacing w:after="60"/>
        <w:ind w:left="374" w:hanging="288"/>
      </w:pPr>
      <w:r>
        <w:rPr>
          <w:rFonts w:ascii="Calibri" w:hAnsi="Calibri"/>
          <w:sz w:val="21"/>
        </w:rPr>
        <w:t>2. architecture-specific, anonymized bills of quantities and service lives;</w:t>
      </w:r>
    </w:p>
    <w:p>
      <w:pPr>
        <w:spacing w:after="60"/>
        <w:ind w:left="374" w:hanging="288"/>
      </w:pPr>
      <w:r>
        <w:rPr>
          <w:rFonts w:ascii="Calibri" w:hAnsi="Calibri"/>
          <w:sz w:val="21"/>
        </w:rPr>
        <w:t>3. measured performance surfaces for IT output, server power, facility</w:t>
      </w:r>
    </w:p>
    <w:p>
      <w:r>
        <w:rPr>
          <w:rFonts w:ascii="Calibri" w:hAnsi="Calibri"/>
          <w:sz w:val="21"/>
        </w:rPr>
        <w:t>parasitics, and onsite water across load and weather;</w:t>
      </w:r>
    </w:p>
    <w:p>
      <w:pPr>
        <w:spacing w:after="60"/>
        <w:ind w:left="374" w:hanging="288"/>
      </w:pPr>
      <w:r>
        <w:rPr>
          <w:rFonts w:ascii="Calibri" w:hAnsi="Calibri"/>
          <w:sz w:val="21"/>
        </w:rPr>
        <w:t>4. a complete provider-linked lifecycle electricity model under the same LCIA</w:t>
      </w:r>
    </w:p>
    <w:p>
      <w:r>
        <w:rPr>
          <w:rFonts w:ascii="Calibri" w:hAnsi="Calibri"/>
          <w:sz w:val="21"/>
        </w:rPr>
        <w:t>method, with cutoffs linked or bounded and location-, market-, and marginal operational signals reported separately; and</w:t>
      </w:r>
    </w:p>
    <w:p>
      <w:pPr>
        <w:spacing w:after="60"/>
        <w:ind w:left="374" w:hanging="288"/>
      </w:pPr>
      <w:r>
        <w:rPr>
          <w:rFonts w:ascii="Calibri" w:hAnsi="Calibri"/>
          <w:sz w:val="21"/>
        </w:rPr>
        <w:t>5. empirical uncertainty and correlation information sufficient for rank</w:t>
      </w:r>
    </w:p>
    <w:p>
      <w:r>
        <w:rPr>
          <w:rFonts w:ascii="Calibri" w:hAnsi="Calibri"/>
          <w:sz w:val="21"/>
        </w:rPr>
        <w:t>probability and value-of-information analysis.</w:t>
      </w:r>
    </w:p>
    <w:p>
      <w:r>
        <w:rPr>
          <w:rFonts w:ascii="Calibri" w:hAnsi="Calibri"/>
          <w:sz w:val="21"/>
        </w:rPr>
        <w:t>OpenDC-LCA supplies schemas, transformations, tests, and claim boundaries for that collaboration. The two conclusions supported independently here are the released arithmetic and the national direct-generation trend. The cooling crossovers, first ranks, and response coefficients remain conditional numerical screens until the five evidence gaps are closed.</w:t>
      </w:r>
    </w:p>
    <w:p>
      <w:pPr>
        <w:pStyle w:val="Heading2"/>
      </w:pPr>
      <w:r>
        <w:t>4.8. Limitations and evidence requirements</w:t>
      </w:r>
    </w:p>
    <w:p>
      <w:r>
        <w:rPr>
          <w:rFonts w:ascii="Calibri" w:hAnsi="Calibri"/>
          <w:sz w:val="21"/>
        </w:rPr>
        <w:t>The analysis remains secondary. It does not recreate proprietary background inventories, confidential bills of quantities, the full virtual-core model, or measured hyperscale operation. Equation (8) uses a numerical axis whose climate-method identity is unresolved in the public archive. The Federal LCA Commons factors contain 287 national unlinked technosphere exchanges; the custom solver has not been independently reproduced in openLCA or Brightway. The additive allowance, triangular marginals, and copula dependence cases are secondary diagnostics, not estimates. The convergence check limits numerical sampling error within those designs; it does not reduce epistemic uncertainty in the ranges, dependence structure, cutoffs, or foreground model. eGRID state rates omit consumption transfers, contracts, hourly dispatch, and marginal effects.</w:t>
      </w:r>
    </w:p>
    <w:p>
      <w:r>
        <w:rPr>
          <w:rFonts w:ascii="Calibri" w:hAnsi="Calibri"/>
          <w:sz w:val="21"/>
        </w:rPr>
        <w:t>The assessment focuses on climate results. It does not provide a boundary-consistent comparison of primary energy, water scarcity, toxicity, resource use, or other impact categories. The Boavizta sample mixes products and methods.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The evidence supports a methodological Technology Assessment of transferability, not a public assertion that one cooling architecture is environmentally preferable. Such an assertion would require resolved common-method inventories, reviewed primary performance and useful-computation data, architecture bills of quantities, water-scarcity characterization, empirically supported joint uncertainty, and an external critical review panel.</w:t>
      </w:r>
    </w:p>
    <w:p>
      <w:pPr>
        <w:pStyle w:val="Heading1"/>
      </w:pPr>
      <w:r>
        <w:t>5. Conclusions</w:t>
      </w:r>
    </w:p>
    <w:p>
      <w:r>
        <w:rPr>
          <w:rFonts w:ascii="Calibri" w:hAnsi="Calibri"/>
          <w:sz w:val="21"/>
        </w:rPr>
        <w:t>This assessment separates three evidence levels that had previously been combined: reproduced source arithmetic, direct-generation trend analysis, and conditional cooling screens. All 24 published totals were arithmetically reproduced, but the public archive does not resolve whether the two numeric electricity endpoints used by the screening axis are AR5 GWP100 or GTP100. Cooling ranks derived from that axis cannot be interpreted as common-method comparative LCA results.</w:t>
      </w:r>
    </w:p>
    <w:p>
      <w:r>
        <w:rPr>
          <w:rFonts w:ascii="Calibri" w:hAnsi="Calibri"/>
          <w:sz w:val="21"/>
        </w:rPr>
        <w:t>The national eGRID generation factor declined 32.46% from 2012 to 2023 after all nine releases were harmonized to AR5 GWP100. The Federal LCA Commons national consumption system yielded 422.93 kg CO2e/MWh, including 53.08 kg CO2e/MWh from linked processes beyond generation, and all 10 FERC regions lay above the 96.70 kg CO2e/MWh numerical crossover. These partial linked-system factors retain documented technosphere cutoffs and require independent calculator verification before benchmark use.</w:t>
      </w:r>
    </w:p>
    <w:p>
      <w:r>
        <w:rPr>
          <w:rFonts w:ascii="Calibri" w:hAnsi="Calibri"/>
          <w:sz w:val="21"/>
        </w:rPr>
        <w:t>Equal-width robustness analysis corrected the earlier attribution of rank loss to embodied variation. At the national lifecycle factor, the first-rank screen failed at 2.64% service-equivalence variation, 2.99% use-phase variation, and 22.15% embodied variation; simultaneous equal-width changes failed at 1.32%. The dominant near-term evidence needs are architecture-resolved useful computation and use-phase demand, followed by complete bills of quantities and common-method inventories.</w:t>
      </w:r>
    </w:p>
    <w:p>
      <w:r>
        <w:rPr>
          <w:rFonts w:ascii="Calibri" w:hAnsi="Calibri"/>
          <w:sz w:val="21"/>
        </w:rPr>
        <w:t>The OpenDC-LCA validator rejects configured comparisons whose declared metadata contain mismatched functional units, boundaries, electricity accounting, LCIA methods, or missing field-level source mappings. This check detects declared incompatibilities but does not verify the underlying science. The study is suitable as a transferability Technology Assessment; it does not support a public claim of environmental superiority among cooling architectures.</w:t>
      </w:r>
    </w:p>
    <w:p>
      <w:pPr>
        <w:pStyle w:val="Heading1"/>
      </w:pPr>
      <w:r>
        <w:t>Data and code availability</w:t>
      </w:r>
    </w:p>
    <w:p>
      <w:r>
        <w:rPr>
          <w:rFonts w:ascii="Calibri" w:hAnsi="Calibri"/>
          <w:sz w:val="21"/>
        </w:rPr>
        <w:t>OpenDC-LCA version 1.1.0 is publicly available at https://github.com/UARK-NED3/OpenDC-LCA and https://github.com/UARK-NED3/OpenDC-LCA/releases/tag/v1.1.0. The development revision evaluated here adds the Federal LCA Commons solver, cutoff reporting, equal-width robustness certificates, and comparison-level metadata checks; it will be tagged and archived before submission. Analysis metadata and the provider-file manifest record file sizes and SHA-256 checksums. Provider-native files remain outside Git when redistribution permission is unclear or a large upstream archive has not been reviewed for redistribution. The Microsoft archive, eGRID files, Federal LCA Commons baseline and method, and NOAA data are available from their public providers [15,40-42,45]. No DOI-bearing software archive is available at the time of this draft.</w:t>
      </w:r>
    </w:p>
    <w:p>
      <w:pPr>
        <w:pStyle w:val="Heading1"/>
      </w:pPr>
      <w:r>
        <w:t>Competing interests</w:t>
      </w:r>
    </w:p>
    <w:p>
      <w:r>
        <w:rPr>
          <w:rFonts w:ascii="Calibri" w:hAnsi="Calibri"/>
          <w:sz w:val="21"/>
        </w:rPr>
        <w:t>Braden Stevens and Pengjiang Xiang are full-time employees of Harrison French &amp; Associates Ltd.</w:t>
      </w:r>
    </w:p>
    <w:p>
      <w:pPr>
        <w:pStyle w:val="Heading1"/>
      </w:pPr>
      <w:r>
        <w:t>Ethics statement</w:t>
      </w:r>
    </w:p>
    <w:p>
      <w:r>
        <w:rPr>
          <w:rFonts w:ascii="Calibri" w:hAnsi="Calibri"/>
          <w:sz w:val="21"/>
        </w:rPr>
        <w:t>This secondary study used public or author-held engineering datasets and did not involve human participants or animals; research-ethics approval was not required.</w:t>
      </w:r>
    </w:p>
    <w:p>
      <w:pPr>
        <w:pStyle w:val="Heading1"/>
      </w:pPr>
      <w:r>
        <w:t>Declaration of generative AI and AI-assisted technologies in the manuscript preparation process</w:t>
      </w:r>
    </w:p>
    <w:p>
      <w:r>
        <w:rPr>
          <w:rFonts w:ascii="Calibri" w:hAnsi="Calibri"/>
          <w:sz w:val="21"/>
        </w:rPr>
        <w:t>During preparation of this work, the authors used OpenAI Codex to support code review, test development, figure-code review, manuscript organization, and language editing. The authors reviewed and edited the resulting material, verified the reported calculations and cited sources, and take full responsibility for the content of the article.</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 (accessed 11 August 2026).</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d'Orgeval, A., Sheehan, S., Avenas, Q., Assoumou, E. &amp; Sessa, V.</w:t>
      </w:r>
    </w:p>
    <w:p>
      <w:r>
        <w:rPr>
          <w:rFonts w:ascii="Calibri" w:hAnsi="Calibri"/>
          <w:sz w:val="21"/>
        </w:rPr>
        <w:t xml:space="preserve">Generative AI impact assessment through a life cycle analysis of multiple data center typologies. </w:t>
      </w:r>
      <w:r>
        <w:rPr>
          <w:rFonts w:ascii="Calibri" w:hAnsi="Calibri"/>
          <w:i/>
          <w:sz w:val="21"/>
        </w:rPr>
        <w:t>Applied Energy</w:t>
      </w:r>
      <w:r>
        <w:rPr>
          <w:rFonts w:ascii="Calibri" w:hAnsi="Calibri"/>
          <w:sz w:val="21"/>
        </w:rPr>
        <w:t xml:space="preserve"> </w:t>
      </w:r>
      <w:r>
        <w:rPr>
          <w:rFonts w:ascii="Calibri" w:hAnsi="Calibri"/>
          <w:b/>
          <w:sz w:val="21"/>
        </w:rPr>
        <w:t>406</w:t>
      </w:r>
      <w:r>
        <w:rPr>
          <w:rFonts w:ascii="Calibri" w:hAnsi="Calibri"/>
          <w:sz w:val="21"/>
        </w:rPr>
        <w:t>, 127288 (2026). https://doi.org/10.1016/j.apenergy.2025.127288</w:t>
      </w:r>
    </w:p>
    <w:p>
      <w:pPr>
        <w:spacing w:after="60"/>
        <w:ind w:left="374" w:hanging="288"/>
      </w:pPr>
      <w:r>
        <w:rPr>
          <w:rFonts w:ascii="Calibri" w:hAnsi="Calibri"/>
          <w:sz w:val="21"/>
        </w:rPr>
        <w:t>17. Wu, S., Zheng, W., Wang, Z., Chen, G., Yang, P., Yue, S., Li, D. &amp; Wu, Y.</w:t>
      </w:r>
    </w:p>
    <w:p>
      <w:r>
        <w:rPr>
          <w:rFonts w:ascii="Calibri" w:hAnsi="Calibri"/>
          <w:sz w:val="21"/>
        </w:rPr>
        <w:t xml:space="preserve">AlphaDataCenterCooling: A new computational model for data center cooling system evaluation. </w:t>
      </w:r>
      <w:r>
        <w:rPr>
          <w:rFonts w:ascii="Calibri" w:hAnsi="Calibri"/>
          <w:i/>
          <w:sz w:val="21"/>
        </w:rPr>
        <w:t>Applied Energy</w:t>
      </w:r>
      <w:r>
        <w:rPr>
          <w:rFonts w:ascii="Calibri" w:hAnsi="Calibri"/>
          <w:sz w:val="21"/>
        </w:rPr>
        <w:t xml:space="preserve"> </w:t>
      </w:r>
      <w:r>
        <w:rPr>
          <w:rFonts w:ascii="Calibri" w:hAnsi="Calibri"/>
          <w:b/>
          <w:sz w:val="21"/>
        </w:rPr>
        <w:t>380</w:t>
      </w:r>
      <w:r>
        <w:rPr>
          <w:rFonts w:ascii="Calibri" w:hAnsi="Calibri"/>
          <w:sz w:val="21"/>
        </w:rPr>
        <w:t>, 125100 (2025). https://doi.org/10.1016/j.apenergy.2024.125100</w:t>
      </w:r>
    </w:p>
    <w:p>
      <w:pPr>
        <w:spacing w:after="60"/>
        <w:ind w:left="374" w:hanging="288"/>
      </w:pPr>
      <w:r>
        <w:rPr>
          <w:rFonts w:ascii="Calibri" w:hAnsi="Calibri"/>
          <w:sz w:val="21"/>
        </w:rPr>
        <w:t>18. International Telecommunication Union. ITU-T Recommendation L.1410:</w:t>
      </w:r>
    </w:p>
    <w:p>
      <w:r>
        <w:rPr>
          <w:rFonts w:ascii="Calibri" w:hAnsi="Calibri"/>
          <w:sz w:val="21"/>
        </w:rPr>
        <w:t>Methodology for environmental life cycle assessments of information and communication technology goods, networks and services (2024). https://handle.itu.int/11.1002/1000/16010</w:t>
      </w:r>
    </w:p>
    <w:p>
      <w:pPr>
        <w:spacing w:after="60"/>
        <w:ind w:left="374" w:hanging="288"/>
      </w:pPr>
      <w:r>
        <w:rPr>
          <w:rFonts w:ascii="Calibri" w:hAnsi="Calibri"/>
          <w:sz w:val="21"/>
        </w:rPr>
        <w:t>19.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20.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21.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22.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23.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24.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25.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26.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27.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28.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29.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30. Groen, E. A. &amp; Heijungs, R. Ignoring correlation in uncertainty and</w:t>
      </w:r>
    </w:p>
    <w:p>
      <w:r>
        <w:rPr>
          <w:rFonts w:ascii="Calibri" w:hAnsi="Calibri"/>
          <w:sz w:val="21"/>
        </w:rPr>
        <w:t xml:space="preserve">sensitivity analysis in life cycle assessment: what is the risk? </w:t>
      </w:r>
      <w:r>
        <w:rPr>
          <w:rFonts w:ascii="Calibri" w:hAnsi="Calibri"/>
          <w:i/>
          <w:sz w:val="21"/>
        </w:rPr>
        <w:t>Environmental Impact Assessment Review</w:t>
      </w:r>
      <w:r>
        <w:rPr>
          <w:rFonts w:ascii="Calibri" w:hAnsi="Calibri"/>
          <w:sz w:val="21"/>
        </w:rPr>
        <w:t xml:space="preserve"> </w:t>
      </w:r>
      <w:r>
        <w:rPr>
          <w:rFonts w:ascii="Calibri" w:hAnsi="Calibri"/>
          <w:b/>
          <w:sz w:val="21"/>
        </w:rPr>
        <w:t>62</w:t>
      </w:r>
      <w:r>
        <w:rPr>
          <w:rFonts w:ascii="Calibri" w:hAnsi="Calibri"/>
          <w:sz w:val="21"/>
        </w:rPr>
        <w:t>, 98-109 (2017). https://doi.org/10.1016/j.eiar.2016.10.006</w:t>
      </w:r>
    </w:p>
    <w:p>
      <w:pPr>
        <w:spacing w:after="60"/>
        <w:ind w:left="374" w:hanging="288"/>
      </w:pPr>
      <w:r>
        <w:rPr>
          <w:rFonts w:ascii="Calibri" w:hAnsi="Calibri"/>
          <w:sz w:val="21"/>
        </w:rPr>
        <w:t>31.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32.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33.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34.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35. International Organization for Standardization. ISO 14040:2006,</w:t>
      </w:r>
    </w:p>
    <w:p>
      <w:r>
        <w:rPr>
          <w:rFonts w:ascii="Calibri" w:hAnsi="Calibri"/>
          <w:sz w:val="21"/>
        </w:rPr>
        <w:t>Environmental management - Life cycle assessment - Principles and framework; and ISO 14044:2006, Environmental management - Life cycle assessment - Requirements and guidelines. https://www.iso.org/committee/54854/x/catalogue/; https://www.iso.org/standard/38498.html (accessed 11 August 2026).</w:t>
      </w:r>
    </w:p>
    <w:p>
      <w:pPr>
        <w:spacing w:after="60"/>
        <w:ind w:left="374" w:hanging="288"/>
      </w:pPr>
      <w:r>
        <w:rPr>
          <w:rFonts w:ascii="Calibri" w:hAnsi="Calibri"/>
          <w:sz w:val="21"/>
        </w:rPr>
        <w:t>36. International Organization for Standardization. ISO 14071:2024,</w:t>
      </w:r>
    </w:p>
    <w:p>
      <w:r>
        <w:rPr>
          <w:rFonts w:ascii="Calibri" w:hAnsi="Calibri"/>
          <w:sz w:val="21"/>
        </w:rPr>
        <w:t>Environmental management - Life cycle assessment - Critical review processes and reviewer competencies (2024). https://www.iso.org/standard/82464.html (accessed 11 August 2026).</w:t>
      </w:r>
    </w:p>
    <w:p>
      <w:pPr>
        <w:spacing w:after="60"/>
        <w:ind w:left="374" w:hanging="288"/>
      </w:pPr>
      <w:r>
        <w:rPr>
          <w:rFonts w:ascii="Calibri" w:hAnsi="Calibri"/>
          <w:sz w:val="21"/>
        </w:rPr>
        <w:t>37. GreenDelta. openLCA: open source life cycle assessment software.</w:t>
      </w:r>
    </w:p>
    <w:p>
      <w:r>
        <w:rPr>
          <w:rFonts w:ascii="Calibri" w:hAnsi="Calibri"/>
          <w:sz w:val="21"/>
        </w:rPr>
        <w:t>https://www.openlca.org/ (accessed 11 August 2026).</w:t>
      </w:r>
    </w:p>
    <w:p>
      <w:pPr>
        <w:spacing w:after="60"/>
        <w:ind w:left="374" w:hanging="288"/>
      </w:pPr>
      <w:r>
        <w:rPr>
          <w:rFonts w:ascii="Calibri" w:hAnsi="Calibri"/>
          <w:sz w:val="21"/>
        </w:rPr>
        <w:t>38.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39. UARK-NED3. OpenDC-LCA version 1.1.0.</w:t>
      </w:r>
    </w:p>
    <w:p>
      <w:r>
        <w:rPr>
          <w:rFonts w:ascii="Calibri" w:hAnsi="Calibri"/>
          <w:sz w:val="21"/>
        </w:rPr>
        <w:t>https://github.com/UARK-NED3/OpenDC-LCA (accessed 11 August 2026).</w:t>
      </w:r>
    </w:p>
    <w:p>
      <w:pPr>
        <w:spacing w:after="60"/>
        <w:ind w:left="374" w:hanging="288"/>
      </w:pPr>
      <w:r>
        <w:rPr>
          <w:rFonts w:ascii="Calibri" w:hAnsi="Calibri"/>
          <w:sz w:val="21"/>
        </w:rPr>
        <w:t>40. U.S. Environmental Protection Agency. Emissions &amp; Generation Resource</w:t>
      </w:r>
    </w:p>
    <w:p>
      <w:r>
        <w:rPr>
          <w:rFonts w:ascii="Calibri" w:hAnsi="Calibri"/>
          <w:sz w:val="21"/>
        </w:rPr>
        <w:t>Integrated Database (eGRID), detailed data. https://www.epa.gov/egrid/detailed-data (accessed 11 August 2026).</w:t>
      </w:r>
    </w:p>
    <w:p>
      <w:pPr>
        <w:spacing w:after="60"/>
        <w:ind w:left="374" w:hanging="288"/>
      </w:pPr>
      <w:r>
        <w:rPr>
          <w:rFonts w:ascii="Calibri" w:hAnsi="Calibri"/>
          <w:sz w:val="21"/>
        </w:rPr>
        <w:t>41. U.S. Environmental Protection Agency. Frequent questions about eGRID:</w:t>
      </w:r>
    </w:p>
    <w:p>
      <w:r>
        <w:rPr>
          <w:rFonts w:ascii="Calibri" w:hAnsi="Calibri"/>
          <w:sz w:val="21"/>
        </w:rPr>
        <w:t>global warming potentials and methodology changes. https://www.epa.gov/egrid/frequent-questions-about-egrid (accessed 11 August 2026).</w:t>
      </w:r>
    </w:p>
    <w:p>
      <w:pPr>
        <w:spacing w:after="60"/>
        <w:ind w:left="374" w:hanging="288"/>
      </w:pPr>
      <w:r>
        <w:rPr>
          <w:rFonts w:ascii="Calibri" w:hAnsi="Calibri"/>
          <w:sz w:val="21"/>
        </w:rPr>
        <w:t>42. National Energy Technology Laboratory. U.S. Electricity Baseline, 2023</w:t>
      </w:r>
    </w:p>
    <w:p>
      <w:r>
        <w:rPr>
          <w:rFonts w:ascii="Calibri" w:hAnsi="Calibri"/>
          <w:sz w:val="21"/>
        </w:rPr>
        <w:t>data release, version 03.00.000. Federal LCA Commons (2026). https://www.lcacommons.gov/lca-collaboration/Federal_LCA_Commons/US_electricity_baseline (accessed 11 August 2026).</w:t>
      </w:r>
    </w:p>
    <w:p>
      <w:pPr>
        <w:spacing w:after="60"/>
        <w:ind w:left="374" w:hanging="288"/>
      </w:pPr>
      <w:r>
        <w:rPr>
          <w:rFonts w:ascii="Calibri" w:hAnsi="Calibri"/>
          <w:sz w:val="21"/>
        </w:rPr>
        <w:t>43. Boavizta. BoaviztAPI data repository.</w:t>
      </w:r>
    </w:p>
    <w:p>
      <w:r>
        <w:rPr>
          <w:rFonts w:ascii="Calibri" w:hAnsi="Calibri"/>
          <w:sz w:val="21"/>
        </w:rPr>
        <w:t>https://github.com/Boavizta/boaviztapi (accessed 11 August 2026).</w:t>
      </w:r>
    </w:p>
    <w:p>
      <w:pPr>
        <w:spacing w:after="60"/>
        <w:ind w:left="374" w:hanging="288"/>
      </w:pPr>
      <w:r>
        <w:rPr>
          <w:rFonts w:ascii="Calibri" w:hAnsi="Calibri"/>
          <w:sz w:val="21"/>
        </w:rPr>
        <w:t>44. Bundesinstitut für Bau-, Stadt- und Raumforschung. ÖKOBAUDAT 2024-II.</w:t>
      </w:r>
    </w:p>
    <w:p>
      <w:r>
        <w:rPr>
          <w:rFonts w:ascii="Calibri" w:hAnsi="Calibri"/>
          <w:sz w:val="21"/>
        </w:rPr>
        <w:t>https://www.oekobaudat.de/ (accessed 11 August 2026).</w:t>
      </w:r>
    </w:p>
    <w:p>
      <w:pPr>
        <w:spacing w:after="60"/>
        <w:ind w:left="374" w:hanging="288"/>
      </w:pPr>
      <w:r>
        <w:rPr>
          <w:rFonts w:ascii="Calibri" w:hAnsi="Calibri"/>
          <w:sz w:val="21"/>
        </w:rPr>
        <w:t>45. National Centers for Environmental Information. Typical Meteorological</w:t>
      </w:r>
    </w:p>
    <w:p>
      <w:r>
        <w:rPr>
          <w:rFonts w:ascii="Calibri" w:hAnsi="Calibri"/>
          <w:sz w:val="21"/>
        </w:rPr>
        <w:t>Year data. https://www.ncei.noaa.gov/access/typical-meteorological-year/ (accessed 11 August 2026).</w:t>
      </w:r>
    </w:p>
    <w:p>
      <w:pPr>
        <w:spacing w:after="60"/>
        <w:ind w:left="374" w:hanging="288"/>
      </w:pPr>
      <w:r>
        <w:rPr>
          <w:rFonts w:ascii="Calibri" w:hAnsi="Calibri"/>
          <w:sz w:val="21"/>
        </w:rPr>
        <w:t>46. National Renewable Energy Laboratory. U.S. Life Cycle Inventory Database,</w:t>
      </w:r>
    </w:p>
    <w:p>
      <w:r>
        <w:rPr>
          <w:rFonts w:ascii="Calibri" w:hAnsi="Calibri"/>
          <w:sz w:val="21"/>
        </w:rPr>
        <w:t>version 1.2026-06.0. Federal LCA Commons. https://www.lcacommons.gov/ (accessed 11 August 2026).</w:t>
      </w:r>
    </w:p>
    <w:p>
      <w:pPr>
        <w:spacing w:after="60"/>
        <w:ind w:left="374" w:hanging="288"/>
      </w:pPr>
      <w:r>
        <w:rPr>
          <w:rFonts w:ascii="Calibri" w:hAnsi="Calibri"/>
          <w:sz w:val="21"/>
        </w:rPr>
        <w:t>47. United Nations Environment Programme. Global LCA Data Access network.</w:t>
      </w:r>
    </w:p>
    <w:p>
      <w:r>
        <w:rPr>
          <w:rFonts w:ascii="Calibri" w:hAnsi="Calibri"/>
          <w:sz w:val="21"/>
        </w:rPr>
        <w:t>https://www.globallcadataaccess.org/ (accessed 11 August 2026).</w:t>
      </w:r>
    </w:p>
    <w:p>
      <w:pPr>
        <w:spacing w:after="60"/>
        <w:ind w:left="374" w:hanging="288"/>
      </w:pPr>
      <w:r>
        <w:rPr>
          <w:rFonts w:ascii="Calibri" w:hAnsi="Calibri"/>
          <w:sz w:val="21"/>
        </w:rPr>
        <w:t>48. U.S. Geological Survey. Watershed Boundary Dataset.</w:t>
      </w:r>
    </w:p>
    <w:p>
      <w:r>
        <w:rPr>
          <w:rFonts w:ascii="Calibri" w:hAnsi="Calibri"/>
          <w:sz w:val="21"/>
        </w:rPr>
        <w:t>https://www.usgs.gov/national-hydrography/watershed-boundary-dataset (accessed 11 August 2026).</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Braden Stevens; Pengjiang Xiang; Yimin Chen; Darin Nutter; Han Hu</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