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Transferability audit of data-center cooling LCA: lifecycle electricity, functional equivalence, and rank robustness</w:t>
      </w:r>
    </w:p>
    <w:p>
      <w:pPr>
        <w:spacing w:after="60"/>
        <w:jc w:val="center"/>
      </w:pPr>
      <w:r>
        <w:rPr>
          <w:rFonts w:ascii="Calibri" w:hAnsi="Calibri"/>
          <w:b/>
          <w:i w:val="0"/>
          <w:color w:val="17324D"/>
          <w:sz w:val="22"/>
        </w:rPr>
        <w:t>Braden Stevens (1, 3), Pengjiang Xiang (1, 3), Yimin Chen (2), Darin Nutter (1), and Han Hu (1)</w:t>
      </w:r>
    </w:p>
    <w:p>
      <w:pPr>
        <w:spacing w:after="60"/>
        <w:jc w:val="center"/>
      </w:pPr>
      <w:r>
        <w:rPr>
          <w:rFonts w:ascii="Calibri" w:hAnsi="Calibri"/>
          <w:b/>
          <w:i w:val="0"/>
          <w:color w:val="17324D"/>
          <w:sz w:val="22"/>
        </w:rPr>
        <w:t>(1) Department of Mechanical Engineering, University of Arkansas, Fayetteville, AR 72701, U.S.</w:t>
      </w:r>
    </w:p>
    <w:p>
      <w:pPr>
        <w:spacing w:after="60"/>
        <w:jc w:val="center"/>
      </w:pPr>
      <w:r>
        <w:rPr>
          <w:rFonts w:ascii="Calibri" w:hAnsi="Calibri"/>
          <w:b/>
          <w:i w:val="0"/>
          <w:color w:val="17324D"/>
          <w:sz w:val="22"/>
        </w:rPr>
        <w:t>(2) Building Technologies Research and Integration Center, Oak Ridge National Laboratory, Oak Ridge, TN 37830, U.S.</w:t>
      </w:r>
    </w:p>
    <w:p>
      <w:pPr>
        <w:spacing w:after="60"/>
        <w:jc w:val="center"/>
      </w:pPr>
      <w:r>
        <w:rPr>
          <w:rFonts w:ascii="Calibri" w:hAnsi="Calibri"/>
          <w:b/>
          <w:i w:val="0"/>
          <w:color w:val="17324D"/>
          <w:sz w:val="22"/>
        </w:rPr>
        <w:t>(3) Harrison French &amp; Associates Ltd., Bentonville, AR 72712, U.S.</w:t>
      </w:r>
    </w:p>
    <w:p>
      <w:pPr>
        <w:spacing w:after="240"/>
        <w:jc w:val="center"/>
      </w:pPr>
      <w:r>
        <w:rPr>
          <w:rFonts w:ascii="Calibri" w:hAnsi="Calibri"/>
          <w:b w:val="0"/>
          <w:i/>
          <w:color w:val="60758A"/>
          <w:sz w:val="19"/>
        </w:rPr>
        <w:t>Pre-submission draft for coauthor review.</w:t>
      </w:r>
    </w:p>
    <w:p>
      <w:pPr>
        <w:spacing w:before="100" w:after="160"/>
        <w:pBdr>
          <w:bottom w:val="single" w:sz="10" w:space="1" w:color="1F4E79"/>
        </w:pBdr>
      </w:pPr>
    </w:p>
    <w:p>
      <w:pPr>
        <w:pStyle w:val="Heading1"/>
      </w:pPr>
      <w:r>
        <w:t>Abstract</w:t>
      </w:r>
    </w:p>
    <w:p>
      <w:r>
        <w:rPr>
          <w:rFonts w:ascii="Calibri" w:hAnsi="Calibri"/>
          <w:sz w:val="21"/>
        </w:rPr>
        <w:t>Published data-center cooling LCAs are difficult to transfer across grids and facilities because electricity boundaries, climate methods, useful-computation equivalence, and foreground inventories can differ. This Technology Assessment audits a released Microsoft/WSP comparison and tests which conclusions remain supported after those differences are made explicit. We reconstructed 24 published totals, harmonized nine U.S. EPA eGRID releases to IPCC AR5 GWP100, and calculated 71 non-residual 2023 electricity consumption product systems from the Federal LCA Commons. The source article reports AR5 GWP100, whereas the archived detailed workbook places the two numeric electricity endpoints in GTP100 cells while its corresponding GWP100 cells are blank; comparative use-phase formulas point to those blank F29 cells. Accordingly, cooling totals are retained only as numerical transferability screens. The harmonized national direct-generation factor declined 32.46%, from 517.73 kg CO2e/MWh in 2012 to 349.67 kg CO2e/MWh in 2023. The linked national consumption system yielded 422.93 kg CO2e/MWh, including 53.08 kg CO2e/MWh beyond generation processes; all 10 FERC regions exceeded the 96.70 kg CO2e/MWh numerical cold-plate/single-phase crossover, while 10 of 60 balancing authorities fell below it. The product system nevertheless retained 287 unlinked technosphere inputs, so these are partial linked-system factors, not complete lifecycle benchmarks. Under equal relative bounds, the national first-rank screen failed at a 1.32% all-block half-width; service-equivalence and use-phase thresholds were 2.64% and 2.99%, compared with 22.15% for embodied burden. Thus, an earlier conclusion that embodied variation was dominant was an artifact of assigning it a wider range. The audit supports the national decarbonization trend and identifies the data needed for a valid comparison, but it does not identify a universally preferable cooling architecture.</w:t>
      </w:r>
    </w:p>
    <w:p>
      <w:r>
        <w:rPr>
          <w:rFonts w:ascii="Calibri" w:hAnsi="Calibri"/>
          <w:b/>
          <w:sz w:val="21"/>
        </w:rPr>
        <w:t>Keywords:</w:t>
      </w:r>
      <w:r>
        <w:rPr>
          <w:rFonts w:ascii="Calibri" w:hAnsi="Calibri"/>
          <w:sz w:val="21"/>
        </w:rPr>
        <w:t xml:space="preserve"> data center; life-cycle assessment; technology assessment; lifecycle electricity; functional equivalence; sensitivity analysis; open-source software</w:t>
      </w:r>
    </w:p>
    <w:p>
      <w:pPr>
        <w:pStyle w:val="Heading1"/>
      </w:pPr>
      <w:r>
        <w:t>1. Introduction</w:t>
      </w:r>
    </w:p>
    <w:p>
      <w:pPr>
        <w:pStyle w:val="Heading2"/>
      </w:pPr>
      <w:r>
        <w:t>1.1. Cooling is an energy-system and lifecycle decision</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artificial-intelligence workloads make energy efficiency and supply decarbonization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alternatives are not interchangeable heat exchangers. They alter server fans, pumps, coolant distribution units, heat-rejection temperature, fluid inventory, rack or tank construction, packing density, repair procedures, and sometimes achievable clock rate. System experiments have reported materially different coefficient of performance and cost behavior for single- and two-phase immersion over load [6], while recent single-phase tests show that flow direction, coolant viscosity, and water temperature affect chip temperature, thermal resistance, and PUE [7]. Two-phase experiments similarly show that boiling, pressure stability, and condenser performance must be evaluated at server and system levels [8]. A comparison at equal rack count, equal IT electricity, or equal nameplate capacity risks comparing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an energy-system decision with lifecycle consequences, not a single-metric efficiency contest.</w:t>
      </w:r>
    </w:p>
    <w:p>
      <w:pPr>
        <w:pStyle w:val="Heading2"/>
      </w:pPr>
      <w:r>
        <w:t>1.2. What existing data-center LCAs show</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detailed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work has moved closer to architecture- and service-level assessment. d'Orgeval et al. modeled complete data-center configurations and reported performance-normalized results for GPU-based subsets [44]. Wu et al. released and validated a cooling-plant virtual testbed against three months of operating data, with 7.62% mean absolute percentage error for power [45]. These studies provide performance and architecture evidence that a secondary normalized table cannot supply. ITU-T L.1410 likewise treats the functional unit and the rules for comparative ICT analysis as explicit study choices [48].</w:t>
      </w:r>
    </w:p>
    <w:p>
      <w:r>
        <w:rPr>
          <w:rFonts w:ascii="Calibri" w:hAnsi="Calibri"/>
          <w:sz w:val="21"/>
        </w:rPr>
        <w:t>Other LCA work confirms that electricity decarbonization and cooling efficiency are complementary but can shift impacts among categories [16]. Manufacturer and ICT studies also show wide dispersion in embodied server impacts [17,18]. Together, this literature exposes a specific gap: available primary studies do not provide a reusable audit for determining whether a published cooling comparison can be transferred to a different electricity system without changing its method, boundary, or computational service.</w:t>
      </w:r>
    </w:p>
    <w:p>
      <w:pPr>
        <w:pStyle w:val="Heading2"/>
      </w:pPr>
      <w:r>
        <w:t>1.3. Electricity accounting, time, and geography</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[19,20]. Average rates can also fail to represent the effect of workload shifting; Dandres et al. found that average and marginal electricity signals can lead to different real-time data-center decisions [21].</w:t>
      </w:r>
    </w:p>
    <w:p>
      <w:r>
        <w:rPr>
          <w:rFonts w:ascii="Calibri" w:hAnsi="Calibri"/>
          <w:sz w:val="21"/>
        </w:rPr>
        <w:t>Time enters at several levels: cooling performance varies with load and weather; grid composition varies hourly and over years; equipment is replaced at discrete times; and background technologies evolve. Dynamic-LCA reviews distinguish temporal inventory, characterization, and prospective background change [22,23]. Open tools such as Temporalis and, more recently, bw_timex show how temporal information can be propagated through process networks [24-26]. For cooling, hourly operation is necessary but insufficient: the grid method, geography, and upstream boundary must also be aligned. A weather file cannot repair an incompatible electricity inventory.</w:t>
      </w:r>
    </w:p>
    <w:p>
      <w:pPr>
        <w:pStyle w:val="Heading2"/>
      </w:pPr>
      <w:r>
        <w:t>1.4. Data quality, uncertainty, and the decision value of evidence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Correlation can materially change propagated uncertainty and cannot be inferred from marginal ranges alone [46]. Reviews recommend separating variability from uncertainty and using sensitivity analysis to identify influential assumptions [27]. Pedigree matrices can communicate reliability, temporal, geographic, and technological representativeness, but the conversion from qualitative scores to uncertainty is itself a modeling choice [28,29].</w:t>
      </w:r>
    </w:p>
    <w:p>
      <w:r>
        <w:rPr>
          <w:rFonts w:ascii="Calibri" w:hAnsi="Calibri"/>
          <w:sz w:val="21"/>
        </w:rPr>
        <w:t>Data-quality assessment is not a decorative appendix. EPA guidance emphasizes reproducible documentation at flow and process levels [29]. Decision analysis goes further: value-of-information methods prioritize data whose resolution is expected to change a decision, rather than simply improving every weak input [30]. This distinction is important for electronics-cooling laboratories. A parameter may have poor pedigree but negligible decision leverage; a seemingly precise PUE difference may be decisive if two lifecycle alternatives are nearly tied.</w:t>
      </w:r>
    </w:p>
    <w:p>
      <w:r>
        <w:rPr>
          <w:rFonts w:ascii="Calibri" w:hAnsi="Calibri"/>
          <w:sz w:val="21"/>
        </w:rPr>
        <w:t>The review standard also depends on the claim. ISO 14040 and ISO 14044 define the LCA framework and requirements, whereas ISO 14071:2024 specifies critical review processes and reviewer competencies, with particular relevance to comparative assertions intended for public disclosure [31,32]. Code tests, data checks, and coauthor review can strengthen traceability, but none is a substitute for an independent critical review.</w:t>
      </w:r>
    </w:p>
    <w:p>
      <w:pPr>
        <w:pStyle w:val="Heading2"/>
      </w:pPr>
      <w:r>
        <w:t>1.5. Research gap and contribution</w:t>
      </w:r>
    </w:p>
    <w:p>
      <w:r>
        <w:rPr>
          <w:rFonts w:ascii="Calibri" w:hAnsi="Calibri"/>
          <w:sz w:val="21"/>
        </w:rPr>
        <w:t>General engines such as openLCA and Brightway calculate process networks, exchange inventories, and apply LCIA methods [33,34].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 Conversely, cooling-plant models can validate operational power without closing lifecycle inventories or comparative-review requirements [45].</w:t>
      </w:r>
    </w:p>
    <w:p>
      <w:r>
        <w:rPr>
          <w:rFonts w:ascii="Calibri" w:hAnsi="Calibri"/>
          <w:sz w:val="21"/>
        </w:rPr>
        <w:t>Four gaps remain at the intersection of cooling engineering and LCA:</w:t>
      </w:r>
    </w:p>
    <w:p>
      <w:pPr>
        <w:spacing w:after="60"/>
        <w:ind w:left="374" w:hanging="288"/>
      </w:pPr>
      <w:r>
        <w:rPr>
          <w:rFonts w:ascii="Calibri" w:hAnsi="Calibri"/>
          <w:sz w:val="21"/>
        </w:rPr>
        <w:t>1. published normalized totals cannot be transparently updated when foreground</w:t>
      </w:r>
    </w:p>
    <w:p>
      <w:r>
        <w:rPr>
          <w:rFonts w:ascii="Calibri" w:hAnsi="Calibri"/>
          <w:sz w:val="21"/>
        </w:rPr>
        <w:t>quantities and licensed process mappings are incomplete;</w:t>
      </w:r>
    </w:p>
    <w:p>
      <w:pPr>
        <w:spacing w:after="60"/>
        <w:ind w:left="374" w:hanging="288"/>
      </w:pPr>
      <w:r>
        <w:rPr>
          <w:rFonts w:ascii="Calibri" w:hAnsi="Calibri"/>
          <w:sz w:val="21"/>
        </w:rPr>
        <w:t>2. common-unit electricity factors can retain incompatible characterization</w:t>
      </w:r>
    </w:p>
    <w:p>
      <w:r>
        <w:rPr>
          <w:rFonts w:ascii="Calibri" w:hAnsi="Calibri"/>
          <w:sz w:val="21"/>
        </w:rPr>
        <w:t>methods and system boundaries;</w:t>
      </w:r>
    </w:p>
    <w:p>
      <w:pPr>
        <w:spacing w:after="60"/>
        <w:ind w:left="374" w:hanging="288"/>
      </w:pPr>
      <w:r>
        <w:rPr>
          <w:rFonts w:ascii="Calibri" w:hAnsi="Calibri"/>
          <w:sz w:val="21"/>
        </w:rPr>
        <w:t>3. qualitative data-quality scores do not directly show which measurement</w:t>
      </w:r>
    </w:p>
    <w:p>
      <w:r>
        <w:rPr>
          <w:rFonts w:ascii="Calibri" w:hAnsi="Calibri"/>
          <w:sz w:val="21"/>
        </w:rPr>
        <w:t>could change the technology decision; and</w:t>
      </w:r>
    </w:p>
    <w:p>
      <w:pPr>
        <w:spacing w:after="60"/>
        <w:ind w:left="374" w:hanging="288"/>
      </w:pPr>
      <w:r>
        <w:rPr>
          <w:rFonts w:ascii="Calibri" w:hAnsi="Calibri"/>
          <w:sz w:val="21"/>
        </w:rPr>
        <w:t>4. software often produces a number without preserving whether it is</w:t>
      </w:r>
    </w:p>
    <w:p>
      <w:r>
        <w:rPr>
          <w:rFonts w:ascii="Calibri" w:hAnsi="Calibri"/>
          <w:sz w:val="21"/>
        </w:rPr>
        <w:t>reconstructed, screened, empirically supported, or suitable for a comparative claim.</w:t>
      </w:r>
    </w:p>
    <w:p>
      <w:r>
        <w:rPr>
          <w:rFonts w:ascii="Calibri" w:hAnsi="Calibri"/>
          <w:sz w:val="21"/>
        </w:rPr>
        <w:t>This study is a Technology Assessment of the transferability of the released Microsoft/WSP case. Its contributions are:</w:t>
      </w:r>
    </w:p>
    <w:p>
      <w:pPr>
        <w:spacing w:after="60"/>
        <w:ind w:left="374" w:hanging="288"/>
      </w:pPr>
      <w:r>
        <w:rPr>
          <w:rFonts w:ascii="Calibri" w:hAnsi="Calibri"/>
          <w:sz w:val="21"/>
        </w:rPr>
        <w:t>1. an exact reconstruction of 24 released totals and a cell-level audit that</w:t>
      </w:r>
    </w:p>
    <w:p>
      <w:r>
        <w:rPr>
          <w:rFonts w:ascii="Calibri" w:hAnsi="Calibri"/>
          <w:sz w:val="21"/>
        </w:rPr>
        <w:t>identifies an unresolved GTP100/GWP100 inconsistency in the public archive;</w:t>
      </w:r>
    </w:p>
    <w:p>
      <w:pPr>
        <w:spacing w:after="60"/>
        <w:ind w:left="374" w:hanging="288"/>
      </w:pPr>
      <w:r>
        <w:rPr>
          <w:rFonts w:ascii="Calibri" w:hAnsi="Calibri"/>
          <w:sz w:val="21"/>
        </w:rPr>
        <w:t>2. a common-basis reconstruction of nine eGRID releases from gas-specific</w:t>
      </w:r>
    </w:p>
    <w:p>
      <w:r>
        <w:rPr>
          <w:rFonts w:ascii="Calibri" w:hAnsi="Calibri"/>
          <w:sz w:val="21"/>
        </w:rPr>
        <w:t>emissions;</w:t>
      </w:r>
    </w:p>
    <w:p>
      <w:pPr>
        <w:spacing w:after="60"/>
        <w:ind w:left="374" w:hanging="288"/>
      </w:pPr>
      <w:r>
        <w:rPr>
          <w:rFonts w:ascii="Calibri" w:hAnsi="Calibri"/>
          <w:sz w:val="21"/>
        </w:rPr>
        <w:t>3. a linked openLCA JSON-LD calculation of 71 Federal LCA Commons 2023</w:t>
      </w:r>
    </w:p>
    <w:p>
      <w:r>
        <w:rPr>
          <w:rFonts w:ascii="Calibri" w:hAnsi="Calibri"/>
          <w:sz w:val="21"/>
        </w:rPr>
        <w:t>consumption systems, with process links, numerical residuals, and unlinked technosphere cutoffs reported rather than hidden;</w:t>
      </w:r>
    </w:p>
    <w:p>
      <w:pPr>
        <w:spacing w:after="60"/>
        <w:ind w:left="374" w:hanging="288"/>
      </w:pPr>
      <w:r>
        <w:rPr>
          <w:rFonts w:ascii="Calibri" w:hAnsi="Calibri"/>
          <w:sz w:val="21"/>
        </w:rPr>
        <w:t>4. exact, equal-width, deterministic rank-robustness certificates that</w:t>
      </w:r>
    </w:p>
    <w:p>
      <w:r>
        <w:rPr>
          <w:rFonts w:ascii="Calibri" w:hAnsi="Calibri"/>
          <w:sz w:val="21"/>
        </w:rPr>
        <w:t>distinguish the effects of grid, use phase, embodied burden, and service equivalence without assigning unsupported probabilities; and</w:t>
      </w:r>
    </w:p>
    <w:p>
      <w:pPr>
        <w:spacing w:after="60"/>
        <w:ind w:left="374" w:hanging="288"/>
      </w:pPr>
      <w:r>
        <w:rPr>
          <w:rFonts w:ascii="Calibri" w:hAnsi="Calibri"/>
          <w:sz w:val="21"/>
        </w:rPr>
        <w:t>5. an open comparison validator that blocks incompatible functional units,</w:t>
      </w:r>
    </w:p>
    <w:p>
      <w:r>
        <w:rPr>
          <w:rFonts w:ascii="Calibri" w:hAnsi="Calibri"/>
          <w:sz w:val="21"/>
        </w:rPr>
        <w:t>boundaries, electricity accounting, LCIA methods, or missing field-level lineage, while stating that metadata checks are not physical validation.</w:t>
      </w:r>
    </w:p>
    <w:p>
      <w:r>
        <w:rPr>
          <w:rFonts w:ascii="Calibri" w:hAnsi="Calibri"/>
          <w:sz w:val="21"/>
        </w:rPr>
        <w:t>The aim is not to reconstruct licensed background inventories or declare a winning cooling technology. It is to determine which claims survive a transferability audit and which require primary measurement, complete inventories, or external critical review.</w:t>
      </w:r>
    </w:p>
    <w:p>
      <w:pPr>
        <w:pStyle w:val="Heading1"/>
      </w:pPr>
      <w:r>
        <w:t>2. Framework and methods</w:t>
      </w:r>
    </w:p>
    <w:p>
      <w:pPr>
        <w:pStyle w:val="Heading2"/>
      </w:pPr>
      <w:r>
        <w:t>2.1. Evidence-to-decision architecture</w:t>
      </w:r>
    </w:p>
    <w:p>
      <w:r>
        <w:rPr>
          <w:rFonts w:ascii="Calibri" w:hAnsi="Calibri"/>
          <w:sz w:val="21"/>
        </w:rPr>
        <w:t>Figure 1 shows the OpenDC-LCA workflow. The repository records source-family metadata and a per-file path, byte count, and SHA-256 checksum. Dataset-specific tables retain the worksheet, field, unit, boundary, and numerical role used in each analysis. This is file-level integrity plus family-level provenance, not a complete flow-level data-lineage graph. The harmonization stage then asks, in order: are the alternatives functionally equivalent; are the units, characterization methods, time, and geography aligned; is the required transformation interpolation or extrapolation; and are uncertainty, correlation, and review status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w:t>
      </w:r>
    </w:p>
    <w:p>
      <w:r>
        <w:rPr>
          <w:rFonts w:ascii="Calibri" w:hAnsi="Calibri"/>
          <w:sz w:val="21"/>
        </w:rPr>
        <w:t>OpenDC-LCA is implemented in Python 3.10 or later and distributed under the MIT License [35]. The development branch evaluated here extends version 1.1.0 and provides a command-line interface, Python API, local browser GUI, scenario and performance-map schemas, reliability and replacement models, openLCA JSON-LD and Brightway mappings, evidence audits, and human- and machine-readable reports. Its comparison validator checks cross-scenario metadata and field-level source mappings before calculating a comparison. It cannot verify whether a declared source, uncertainty model, or review status is true.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pPr>
        <w:pStyle w:val="Heading2"/>
      </w:pPr>
      <w:r>
        <w:t>2.3. Dataset roles and inclusion logic</w:t>
      </w:r>
    </w:p>
    <w:p>
      <w:r>
        <w:rPr>
          <w:rFonts w:ascii="Calibri" w:hAnsi="Calibri"/>
          <w:sz w:val="21"/>
        </w:rPr>
        <w:t>Table 1 states how each downloaded source enters this study. This is an important methodological control: being readable by the software does not make a dataset compatible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 and evidence used</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Boundary or transfer limit</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Claim class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Microsoft/WSP archive: 24 totals, component tables, 2 electricity anchors, pedigree records [14,15]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EPA eGRID: 459 state/DC-year rows and 9 U.S. aggregates [36,37]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Common-basis generation-rate scenarios and historical trend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Federal LCA Commons U.S. Electricity Baseline 2023 and IPCC GWP method [47]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Linked consumption-system factors for 60 balancing authorities, 10 FERC regions, and the United States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Unlinked technosphere inputs remain zero-burden cutoffs; not harmonized with the released cooling foreground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Partial linked-system screen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Boavizta: 48 server PCF records [38]</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Server-manufacturing dispersion and common-scaling stress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 configurations, PCRs, lifetimes, and performance are heterogeneous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ÖKOBAUDAT: 6 selected A1-A3 processes [39]</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Matched steel- and cement-route procurement levers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German generic factors require architecture-specific bills of quantities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NOAA TMY: 8,760 Fayetteville weather rows [40]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Performance-map and hourly-integration software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measured four-architecture cooling surface is available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USLCI and 7 GLAD hydrogen archives [41,42]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Exchange and interoperability tests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Product-system links, allocation, providers, and LCIA methods are unresolved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USGS watershed boundary: HU12 geometry [43]</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or large upstream archives have not been reviewed for redistribution. Derived tables retain filenames, worksheets, fields, units, and checksums.</w:t>
      </w:r>
    </w:p>
    <w:p>
      <w:pPr>
        <w:pStyle w:val="Heading2"/>
      </w:pPr>
      <w:r>
        <w:t>2.4. Static energy, equipment, fluid, and replacement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I_k^prod, end-of-life factor I_k^EOL,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I_k^prod + (m_0/L_f) I_k^EOL;  GHG_direct = m_loss GWP_direct   (6)</w:t>
      </w:r>
    </w:p>
    <w:p>
      <w:r>
        <w:rPr>
          <w:rFonts w:ascii="Calibri" w:hAnsi="Calibri"/>
          <w:sz w:val="21"/>
        </w:rPr>
        <w:t>The model assumes that annual losses are replaced, so the charge remains m_0, and that the full remaining charge is treated at facility end of life. Annual purchases and outputs balance as m_0/L_f+m_loss. These equations are part of the software engine. The secondary Microsoft/WSP analysis uses the normalized component values released by the authors rather than inventing missing quantities.</w:t>
      </w:r>
    </w:p>
    <w:p>
      <w:pPr>
        <w:pStyle w:val="Heading2"/>
      </w:pPr>
      <w:r>
        <w:t>2.5. Released-model reconstruction and electricity-intensity index</w:t>
      </w:r>
    </w:p>
    <w:p>
      <w:r>
        <w:rPr>
          <w:rFonts w:ascii="Calibri" w:hAnsi="Calibri"/>
          <w:sz w:val="21"/>
        </w:rPr>
        <w:t xml:space="preserve">For each of four cooling architectures, two electricity cases, and three impact metrics, the released total was recomputed from the seven aggregate categories in the Nature supplementary workbook </w:t>
      </w:r>
      <w:r>
        <w:rPr>
          <w:rFonts w:ascii="Courier New" w:hAnsi="Courier New"/>
          <w:color w:val="17324D"/>
          <w:sz w:val="20"/>
        </w:rPr>
        <w:t>Figure4</w:t>
      </w:r>
      <w:r>
        <w:rPr>
          <w:rFonts w:ascii="Calibri" w:hAnsi="Calibri"/>
          <w:sz w:val="21"/>
        </w:rPr>
        <w:t xml:space="preserve"> sheet: use phase, building, server, rack/tank, cable, supporting equipment, and fluid impacts. This 24-cell test is an arithmetic-consistency audit. It does not validate confidential quantities, licensed LCA for Experts or ecoinvent processes, allocation, performance, or field operation.</w:t>
      </w:r>
    </w:p>
    <w:p>
      <w:r>
        <w:rPr>
          <w:rFonts w:ascii="Calibri" w:hAnsi="Calibri"/>
          <w:sz w:val="21"/>
        </w:rPr>
        <w:t xml:space="preserve">The public files do not establish one unambiguous climate-method identity for the electricity endpoints. The article reports IPCC AR5 GWP100 [14]. In the archived detailed workbook, the numeric values 524.893 and 6.133 kg CO2e/MWh appear in cells F26 labeled “IPCC AR5 GTP100,” while the GWP100 cells F29 are blank. Direct worksheet-XML inspection further shows that </w:t>
      </w:r>
      <w:r>
        <w:rPr>
          <w:rFonts w:ascii="Courier New" w:hAnsi="Courier New"/>
          <w:color w:val="17324D"/>
          <w:sz w:val="20"/>
        </w:rPr>
        <w:t>Comparative results 0% RE!D118</w:t>
      </w:r>
      <w:r>
        <w:rPr>
          <w:rFonts w:ascii="Calibri" w:hAnsi="Calibri"/>
          <w:sz w:val="21"/>
        </w:rPr>
        <w:t xml:space="preserve"> and </w:t>
      </w:r>
      <w:r>
        <w:rPr>
          <w:rFonts w:ascii="Courier New" w:hAnsi="Courier New"/>
          <w:color w:val="17324D"/>
          <w:sz w:val="20"/>
        </w:rPr>
        <w:t>Comparative results 100% RE!D122</w:t>
      </w:r>
      <w:r>
        <w:rPr>
          <w:rFonts w:ascii="Calibri" w:hAnsi="Calibri"/>
          <w:sz w:val="21"/>
        </w:rPr>
        <w:t xml:space="preserve"> reference the blank F29 cells for conventional and renewable electricity. We treat the two numbers as label-free numerical anchors, not verified GWP100 or GTP100 factors, and define an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 xml:space="preserve">Equations (7)-(8) reproduce both numerical endpoints exactly. They are not a background-process substitution. Common units do not resolve the endpoint method identity or the upstream-boundary mismatch with eGRID. In this study, g_s is a screening index and every extrapolation is counted. The slope of each use-phase line has units of MWh/Vcore-year and is reported as an </w:t>
      </w:r>
      <w:r>
        <w:rPr>
          <w:rFonts w:ascii="Calibri" w:hAnsi="Calibri"/>
          <w:i/>
          <w:sz w:val="21"/>
        </w:rPr>
        <w:t>implied electricity-response coefficient</w:t>
      </w:r>
      <w:r>
        <w:rPr>
          <w:rFonts w:ascii="Calibri" w:hAnsi="Calibri"/>
          <w:sz w:val="21"/>
        </w:rPr>
        <w:t>. It is not a measured energy demand because the two endpoint methods are unresolved.</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Common-basis eGRID reconstruction</w:t>
      </w:r>
    </w:p>
    <w:p>
      <w:r>
        <w:rPr>
          <w:rFonts w:ascii="Calibri" w:hAnsi="Calibri"/>
          <w:sz w:val="21"/>
        </w:rPr>
        <w:t>EPA changed the GWP values used by eGRID: releases before 2018 used IPCC SAR, 2018-2022 used AR4, and 2023 used AR5 without climate-carbon feedback [36,37]. To remove this avoidable discontinuity, every state and U.S. factor was reconstructed from net generation and gas-specific annual emissions: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panel;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Federal LCA Commons consumption-system calculation</w:t>
      </w:r>
    </w:p>
    <w:p>
      <w:r>
        <w:rPr>
          <w:rFonts w:ascii="Calibri" w:hAnsi="Calibri"/>
          <w:sz w:val="21"/>
        </w:rPr>
        <w:t>The 2023 U.S. Electricity Baseline was downloaded from the Federal LCA Commons as openLCA 2 JSON-LD together with the repository's IPCC GWP method [47]. The inventory contains 947 processes and 142 product systems generated with ElectricityLCI 3.0.0. We retained 71 non-residual, at-user consumption systems: 60 balancing authorities, 10 FERC regions, and the national mix. The matched residual-consumption systems were calculated separately as a market-based accounting sensitivity and were never pooled with the ordinary consumption systems.</w:t>
      </w:r>
    </w:p>
    <w:p>
      <w:r>
        <w:rPr>
          <w:rFonts w:ascii="Calibri" w:hAnsi="Calibri"/>
          <w:sz w:val="21"/>
        </w:rPr>
        <w:t xml:space="preserve">For each product system, process links defined the technosphere coefficients. Activities were solved by fixed-point iteration for the declared target of 1 MWh at user; all exchange and target units were converted through the JSON-LD unit groups. Elementary exchanges were characterized with IPCC AR5-100 category UUID </w:t>
      </w:r>
      <w:r>
        <w:rPr>
          <w:rFonts w:ascii="Courier New" w:hAnsi="Courier New"/>
          <w:color w:val="17324D"/>
          <w:sz w:val="20"/>
        </w:rPr>
        <w:t>7d05b807-2caa-3cd9-b55c-399d3b820cbc</w:t>
      </w:r>
      <w:r>
        <w:rPr>
          <w:rFonts w:ascii="Calibri" w:hAnsi="Calibri"/>
          <w:sz w:val="21"/>
        </w:rPr>
        <w:t>. The calculation reports process count, link count, iteration count, maximum balance residual, impacts from generation processes, and all other linked upstream and infrastructure impacts.</w:t>
      </w:r>
    </w:p>
    <w:p>
      <w:r>
        <w:rPr>
          <w:rFonts w:ascii="Calibri" w:hAnsi="Calibri"/>
          <w:sz w:val="21"/>
        </w:rPr>
        <w:t xml:space="preserve">An input without a product-system provider link was assigned no upstream burden, consistent with the published link structure, and was recorded as a cutoff. The national system contained 287 such exchanges. Because their omitted magnitude was not bounded and the calculation was not independently reproduced in openLCA or Brightway, the resulting factors are termed </w:t>
      </w:r>
      <w:r>
        <w:rPr>
          <w:rFonts w:ascii="Calibri" w:hAnsi="Calibri"/>
          <w:i/>
          <w:sz w:val="21"/>
        </w:rPr>
        <w:t>partial linked-system factors</w:t>
      </w:r>
      <w:r>
        <w:rPr>
          <w:rFonts w:ascii="Calibri" w:hAnsi="Calibri"/>
          <w:sz w:val="21"/>
        </w:rPr>
        <w:t>. They improve on a direct-generation proxy but do not constitute complete lifecycle benchmarks.</w:t>
      </w:r>
    </w:p>
    <w:p>
      <w:r>
        <w:rPr>
          <w:rFonts w:ascii="Calibri" w:hAnsi="Calibri"/>
          <w:sz w:val="21"/>
        </w:rPr>
        <w:t>The provider scope includes trade, transmission and distribution losses, and upstream fuel supply. Generation infrastructure is included only for the provider-specified gas, oil, coal, solar, wind, and geothermal technologies; other generation infrastructure and transmission/distribution infrastructure are outside scope [47]. The very low factors in some hydropower-dominated systems must not be interpreted as complete electricity LCAs.</w:t>
      </w:r>
    </w:p>
    <w:p>
      <w:pPr>
        <w:pStyle w:val="Heading2"/>
      </w:pPr>
      <w:r>
        <w:t>2.8. Extrapolation, boundary, and functional-unit diagnostics</w:t>
      </w:r>
    </w:p>
    <w:p>
      <w:r>
        <w:rPr>
          <w:rFonts w:ascii="Calibri" w:hAnsi="Calibri"/>
          <w:sz w:val="21"/>
        </w:rPr>
        <w:t>Each of the 459 state-year rates was classified as below, between, or above the two released electricity anchors. Equation (8) is interpolation only for the middle class.</w:t>
      </w:r>
    </w:p>
    <w:p>
      <w:r>
        <w:rPr>
          <w:rFonts w:ascii="Calibri" w:hAnsi="Calibri"/>
          <w:sz w:val="21"/>
        </w:rPr>
        <w:t>The earlier analysis added transparent allowances of 0, 25, 50, 75, and 100 kg CO2e/MWh to every 2023 eGRID rate. Those values were not data-based and are retained only in the Supplementary Information as a diagnostic of the direct generation boundary. The primary boundary analysis instead uses the partial linked-system factors in Section 2.7. We also report the exact numerical clearance between the lowest 2023 direct rate and the cold-plate/single-phase crossover, g^*-\min(g_s), without interpreting it as an upstream estimate.</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2.9. Deterministic rank-robustness and secondary stress designs</w:t>
      </w:r>
    </w:p>
    <w:p>
      <w:r>
        <w:rPr>
          <w:rFonts w:ascii="Calibri" w:hAnsi="Calibri"/>
          <w:sz w:val="21"/>
        </w:rPr>
        <w:t>The main robustness analysis uses equal relative half-widths so that one assumption block is not made influential merely by assigning it a wider range. For every Federal LCA Commons factor, we found the smallest half-width h at which the nominal numerical first rank could be reversed. Five sets were tested: shared grid only; technology-specific use phase only; embodied burden only; service equivalence only; and all four blocks at the same h. The grid multiplier was common and nonnegative. Foreground multipliers could vary in opposite adverse directions for the nominal winner and each competitor. All monotone adverse foreground directions and both shared-grid endpoints were evaluated, and the first crossing was found by bisection. The reported threshold is an exact certificate for the declared box, not a probability or empirical uncertainty interval.</w:t>
      </w:r>
    </w:p>
    <w:p>
      <w:r>
        <w:rPr>
          <w:rFonts w:ascii="Calibri" w:hAnsi="Calibri"/>
          <w:sz w:val="21"/>
        </w:rPr>
        <w:t>For comparison with the earlier screening analysis, we also retained seeded, 20,000-iteration triangular stress designs for the 2023 U.S. generation factor and the lowest-carbon 2023 state. The headline design used one shared grid multiplier and independent technology-specific multipliers for use phase, embodied contribution, and impact per equivalent service. It is the all-block, zero-correlation member of the dependence analysis described below. Three declared envelopes were used (Table 2).</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Envelope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Grid, use, and service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Purpose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Narrow</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Numerical stability near released values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Intermediate declared stress; not a fitted range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Wide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Deliberately severe robustness test</w:t>
            </w:r>
          </w:p>
        </w:tc>
      </w:tr>
    </w:tbl>
    <w:p>
      <w:pPr>
        <w:spacing w:after="40"/>
      </w:pPr>
    </w:p>
    <w:p>
      <w:r>
        <w:rPr>
          <w:rFonts w:ascii="Calibri" w:hAnsi="Calibri"/>
          <w:sz w:val="21"/>
        </w:rPr>
        <w:t>The triangular mode was 1.0 and the base seed was 20250730. A stable hash of the context, envelope, active block, and dependence case generated a separate seed for every design, so output does not depend on loop order. We then repeated the stress with grid only, use phase only, embodied contribution only, service equivalence only, and all four blocks active. Technology-specific multipliers were coupled with a Gaussian copula at declared latent correlations of 0, 0.5, and 1 while retaining the same triangular marginals. These correlations are not measurements. Rank frequencies describe the declared designs; they are not posterior probabilities, confidence levels, or a substitute for empirical uncertainty distributions.</w:t>
      </w:r>
    </w:p>
    <w:p>
      <w:r>
        <w:rPr>
          <w:rFonts w:ascii="Calibri" w:hAnsi="Calibri"/>
          <w:sz w:val="21"/>
        </w:rPr>
        <w:t>Numerical convergence was checked with nested 5,000-, 20,000-, and 80,000-draw runs using the same scenario seeds. The binomial Monte Carlo standard error is reported only as integration precision within each declared design. It is not a confidence interval for cooling performance or a remedy for unsupported input distributions.</w:t>
      </w:r>
    </w:p>
    <w:p>
      <w:pPr>
        <w:pStyle w:val="Heading2"/>
      </w:pPr>
      <w:r>
        <w:t>2.10.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candidate-flow table retains all 55 server records: 48 met the three-field rule, while seven Lenovo records were excluded because manufacturing share was blank. No candidate was silently discarded.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2.11. Temporal performance, reliability, interoperability, and claims</w:t>
      </w:r>
    </w:p>
    <w:p>
      <w:r>
        <w:rPr>
          <w:rFonts w:ascii="Calibri" w:hAnsi="Calibri"/>
          <w:sz w:val="21"/>
        </w:rPr>
        <w:t>The package can bilinearly interpolate a bounded IT-load/dry-bulb performance map and integrate its cooling-only partial PUE against hourly conditions using one declared, constant grid factor. Wet-bulb values are schema-checked but are not an interpolation coordinate, and non-cooling facility overhead is outside this partial-PUE calculation. It rejects uncovered operating points; extrapolation is disabled.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test exchange, not case-model completeness.</w:t>
      </w:r>
    </w:p>
    <w:p>
      <w:r>
        <w:rPr>
          <w:rFonts w:ascii="Calibri" w:hAnsi="Calibri"/>
          <w:sz w:val="21"/>
        </w:rPr>
        <w:t>The scenario audit checks required metadata, duplicate identifiers, physical values, uncertainty declarations, evidence labels, and comparative intent. The comparison validator additionally requires matching functional units, system boundaries, electricity accounting, allocation and replacement rules, and LCIA methods. For a declared public assertion, each modeled input group must map to a registered source identifier. Synthetic inputs, unquantified uncertainty, and insufficient declared review remain blockers. These checks also reject non-finite numeric inputs, retain the field-to-source map in result manifests, and require a matching inclusion/exclusion record for custom comparative boundaries. They verify metadata consistency only: they cannot authenticate a citation, distribution, review status, physical model, or ISO conformity [31,32].</w:t>
      </w:r>
    </w:p>
    <w:p>
      <w:pPr>
        <w:pStyle w:val="Heading1"/>
      </w:pPr>
      <w:r>
        <w:t>3. Results</w:t>
      </w:r>
    </w:p>
    <w:p>
      <w:pPr>
        <w:pStyle w:val="Heading2"/>
      </w:pPr>
      <w:r>
        <w:t>3.1. Arithmetic reconstruction exposed an unresolved method identity</w:t>
      </w:r>
    </w:p>
    <w:p>
      <w:r>
        <w:rPr>
          <w:rFonts w:ascii="Calibri" w:hAnsi="Calibri"/>
          <w:sz w:val="21"/>
        </w:rPr>
        <w:t>All 24 released combinations of architecture, electricity scenario, and impact metric reconciled to the seven published Figure-4 contributions at workbook precision. Under the released U.S. grid case, the reconstructed table reports 20.66% lower GHG, 20.00% lower primary energy, and 46.78% lower blue water for two-phase immersion than air cooling. These are reproduced source results, not independent comparisons.</w:t>
      </w:r>
    </w:p>
    <w:p>
      <w:r>
        <w:rPr>
          <w:rFonts w:ascii="Calibri" w:hAnsi="Calibri"/>
          <w:sz w:val="21"/>
        </w:rPr>
        <w:t>The cell-level audit changed their permissible use. The article identifies AR5 GWP100, but the detailed workbook's numeric endpoint cells are labeled AR5 GTP100 and the corresponding GWP100 cells are blank. Comparative use-phase formulas also reference those blank F29 cells. The two numeric endpoints lack a resolved LCIA-method identity in the public archive. The implied use-phase response coefficients were 0.06317, 0.05364, 0.05259, and 0.05006 MWh/Vcore-year for air, cold plate, single-phase, and two-phase, respectively, with zero-intensity intercepts of 0.010-0.013 kg CO2e/Vcore-year. These slopes are useful diagnostics, but they are not independently measured electricity demand.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reductions versus air cooling obtained by summing the released Microsoft/WSP normalized contributions. All 24 totals were reconciled at workbook precision. This figure reproduces released arithmetic; it does not validate inventories, method identity, or field performance.</w:t>
      </w:r>
    </w:p>
    <w:p>
      <w:pPr>
        <w:pStyle w:val="Heading2"/>
      </w:pPr>
      <w:r>
        <w:t>3.2. The historical direct-generation trend is insensitive to eGRID's GWP update</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The direct CO2-only rate was 348.000 kg/MWh in 2023. Thus, the long-run decline is not an artifact of eGRID's transition from SAR to AR4 and AR5.</w:t>
      </w:r>
    </w:p>
    <w:p>
      <w:r>
        <w:rPr>
          <w:rFonts w:ascii="Calibri" w:hAnsi="Calibri"/>
          <w:sz w:val="21"/>
        </w:rPr>
        <w:t>The 50-state-plus-DC reconstruction matched the official national result through 2018. From 2019 onward it was 0.32-0.43% lower because the panel covered 99.55-99.58% of the provider U.S. generation after excluding Puerto Rico. We retained the provider aggregate for the national series. Across the full panel, 137 of 459 numerical rates lay outside the two released cooling anchors, so 29.85% of the transfers were extrapolations.</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Orange denotes the provider U.S. aggregate. Blue points fall below the released-model numerical cold-plate/single-phase crossover. These are direct-generation scenarios, not consumption LCIs or state cooling LCA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Orange denotes the provider U.S. aggregate. Blue points fall below the released-model numerical cold-plate/single-phase crossover. These are direct-generation scenarios, not consumption LCIs or state cooling LCAs.</w:t>
      </w:r>
    </w:p>
    <w:p>
      <w:pPr>
        <w:pStyle w:val="Heading2"/>
      </w:pPr>
      <w:r>
        <w:t>3.3. Consumption-system factors remove the arbitrary boundary adder but retain documented cutoffs</w:t>
      </w:r>
    </w:p>
    <w:p>
      <w:r>
        <w:rPr>
          <w:rFonts w:ascii="Calibri" w:hAnsi="Calibri"/>
          <w:sz w:val="21"/>
        </w:rPr>
        <w:t>The 71 non-residual Federal LCA Commons systems ranged from 0.921 to 987.844 kg CO2e/MWh. The national linked-system factor was 422.931 kg CO2e/MWh: 369.848 from electricity-generation processes and 53.084 from other linked upstream and infrastructure processes. It exceeded the 2023 national eGRID direct-generation rate by 73.264 kg CO2e/MWh, although the difference also contains consumption-mix, delivery-loss, flow-coverage, and boundary effects and is not an isolated upstream correction.</w:t>
      </w:r>
    </w:p>
    <w:p>
      <w:r>
        <w:rPr>
          <w:rFonts w:ascii="Calibri" w:hAnsi="Calibri"/>
          <w:sz w:val="21"/>
        </w:rPr>
        <w:t>All 10 FERC-region systems exceeded the 96.704 kg CO2e/MWh numerical cold-plate/single-phase crossover; they ranged from 238.897 kg CO2e/MWh for NYISO to 557.110 kg CO2e/MWh for MISO. Ten of 60 balancing-authority systems fell below the crossover, and 15 of all 71 systems exceeded the released high anchor of 524.893 kg CO2e/MWh. The numerical cooling screen placed two-phase first in all 71 systems, but this is not a common-method comparative LCA because the cooling foreground method remains unresolved.</w:t>
      </w:r>
    </w:p>
    <w:p>
      <w:r>
        <w:rPr>
          <w:rFonts w:ascii="Calibri" w:hAnsi="Calibri"/>
          <w:sz w:val="21"/>
        </w:rPr>
        <w:t>The national result converged in five fixed-point iterations with a balance residual of zero at the reporting precision, using 582 processes and 1,174 links. It also contained 287 unlinked technosphere exchanges across 47 processes, including fuels, construction materials, chemicals, and reclaimed water. Their upstream burdens were zero in the linked calculation and were not bounded. The factor is more complete than eGRID direct emissions but still a partial linked-system result.</w:t>
      </w:r>
    </w:p>
    <w:p>
      <w:r>
        <w:rPr>
          <w:rFonts w:ascii="Calibri" w:hAnsi="Calibri"/>
          <w:sz w:val="21"/>
        </w:rPr>
        <w:t>The national residual-consumption system was 455.350 kg CO2e/MWh, comprising 399.934 from generation processes and 55.417 from other linked processes. It was 7.67% above the ordinary consumption-system result. This difference is an electricity-accounting sensitivity, not an uncertainty interval, and the two accounting products were not mixed within any cooling screen.</w:t>
      </w:r>
    </w:p>
    <w:p>
      <w:pPr>
        <w:keepNext/>
        <w:spacing w:before="120" w:after="40"/>
        <w:jc w:val="center"/>
      </w:pPr>
      <w:r>
        <w:drawing>
          <wp:inline xmlns:a="http://schemas.openxmlformats.org/drawingml/2006/main" xmlns:pic="http://schemas.openxmlformats.org/drawingml/2006/picture">
            <wp:extent cx="5897880" cy="4030218"/>
            <wp:docPr id="4" name="Picture 4" descr="Figure 4. IPCC AR5-GWP100 partial linked-system electricity factors for 10 FERC regions and the United States. Bars separate generation-process impacts from other linked upstream and infrastructure impacts. Vertical lines show the two released numerical cooling landmarks; they do not create method equivalence." title="OpenDC-LCA Figure 4"/>
            <wp:cNvGraphicFramePr>
              <a:graphicFrameLocks noChangeAspect="1"/>
            </wp:cNvGraphicFramePr>
            <a:graphic>
              <a:graphicData uri="http://schemas.openxmlformats.org/drawingml/2006/picture">
                <pic:pic>
                  <pic:nvPicPr>
                    <pic:cNvPr id="0" name="figure10_lifecycle_electricity.png"/>
                    <pic:cNvPicPr/>
                  </pic:nvPicPr>
                  <pic:blipFill>
                    <a:blip r:embed="rId14"/>
                    <a:stretch>
                      <a:fillRect/>
                    </a:stretch>
                  </pic:blipFill>
                  <pic:spPr>
                    <a:xfrm>
                      <a:off x="0" y="0"/>
                      <a:ext cx="5897880" cy="4030218"/>
                    </a:xfrm>
                    <a:prstGeom prst="rect"/>
                  </pic:spPr>
                </pic:pic>
              </a:graphicData>
            </a:graphic>
          </wp:inline>
        </w:drawing>
      </w:r>
    </w:p>
    <w:p>
      <w:pPr>
        <w:pStyle w:val="Caption"/>
      </w:pPr>
      <w:r>
        <w:rPr>
          <w:rFonts w:ascii="Calibri" w:hAnsi="Calibri"/>
          <w:sz w:val="18"/>
        </w:rPr>
        <w:t>Figure 4. IPCC AR5-GWP100 partial linked-system electricity factors for 10 FERC regions and the United States. Bars separate generation-process impacts from other linked upstream and infrastructure impacts. Vertical lines show the two released numerical cooling landmarks; they do not create method equivalence.</w:t>
      </w:r>
    </w:p>
    <w:p>
      <w:pPr>
        <w:pStyle w:val="Heading2"/>
      </w:pPr>
      <w:r>
        <w:t>3.4. Equal-width bounds identify service equivalence and use phase as the limiting blocks</w:t>
      </w:r>
    </w:p>
    <w:p>
      <w:r>
        <w:rPr>
          <w:rFonts w:ascii="Calibri" w:hAnsi="Calibri"/>
          <w:sz w:val="21"/>
        </w:rPr>
        <w:t>At the national lifecycle factor, the numerical two-phase first rank could not be reversed by a shared grid-factor change within the tested nonnegative range through a 99.999% half-width. With technology-specific variation, reversal occurred at 2.994% for use phase, 22.154% for embodied burden, and 2.637% for service equivalence. When all four blocks used the same half-width, the first reversal occurred at 1.318%, against single-phase.</w:t>
      </w:r>
    </w:p>
    <w:p>
      <w:r>
        <w:rPr>
          <w:rFonts w:ascii="Calibri" w:hAnsi="Calibri"/>
          <w:sz w:val="21"/>
        </w:rPr>
        <w:t>Across all 71 electricity contexts, the all-block critical half-width ranged from 1.123% at PUD No. 1 of Douglas County to 1.479% at Duke Energy Progress West. At the lowest-carbon system, the critical competitor was cold plate; the embodied-only and service-only thresholds were 2.291% and 2.246%, while use-phase and shared-grid changes did not reverse rank through 99.999%. The ranking is numerically fragile even though it survives every unperturbed electricity factor.</w:t>
      </w:r>
    </w:p>
    <w:p>
      <w:r>
        <w:rPr>
          <w:rFonts w:ascii="Calibri" w:hAnsi="Calibri"/>
          <w:sz w:val="21"/>
        </w:rPr>
        <w:t>This equalized analysis reverses one conclusion from the earlier triangular stress design. Embodied variation had appeared to cause the largest rank loss because its assigned half-width was 10 times those of use phase and service. At equal widths, embodied burden has the largest national one-block tolerance; service equivalence and use phase are limiting. The earlier stress frequencies and their dependence/convergence diagnostics remain in the Supplementary Information as evidence about the chosen design, not the technologies.</w:t>
      </w:r>
    </w:p>
    <w:p>
      <w:r>
        <w:rPr>
          <w:rFonts w:ascii="Calibri" w:hAnsi="Calibri"/>
          <w:sz w:val="21"/>
        </w:rPr>
        <w:t>The one-sided functional-unit diagnostic gives a complementary threshold: across 2023 direct-rate contexts, a 5.24-6.04% adverse correction to two-phase impact per equivalent useful computation would erase its numerical first rank. This is a break-even requirement for future measurements, not an observed performance difference.</w:t>
      </w:r>
    </w:p>
    <w:p>
      <w:pPr>
        <w:keepNext/>
        <w:spacing w:before="120" w:after="40"/>
        <w:jc w:val="center"/>
      </w:pPr>
      <w:r>
        <w:drawing>
          <wp:inline xmlns:a="http://schemas.openxmlformats.org/drawingml/2006/main" xmlns:pic="http://schemas.openxmlformats.org/drawingml/2006/picture">
            <wp:extent cx="5897880" cy="3538728"/>
            <wp:docPr id="5" name="Picture 5" descr="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 title="OpenDC-LCA Figure 5"/>
            <wp:cNvGraphicFramePr>
              <a:graphicFrameLocks noChangeAspect="1"/>
            </wp:cNvGraphicFramePr>
            <a:graphic>
              <a:graphicData uri="http://schemas.openxmlformats.org/drawingml/2006/picture">
                <pic:pic>
                  <pic:nvPicPr>
                    <pic:cNvPr id="0" name="figure11_standardized_robustness.png"/>
                    <pic:cNvPicPr/>
                  </pic:nvPicPr>
                  <pic:blipFill>
                    <a:blip r:embed="rId15"/>
                    <a:stretch>
                      <a:fillRect/>
                    </a:stretch>
                  </pic:blipFill>
                  <pic:spPr>
                    <a:xfrm>
                      <a:off x="0" y="0"/>
                      <a:ext cx="5897880" cy="3538728"/>
                    </a:xfrm>
                    <a:prstGeom prst="rect"/>
                  </pic:spPr>
                </pic:pic>
              </a:graphicData>
            </a:graphic>
          </wp:inline>
        </w:drawing>
      </w:r>
    </w:p>
    <w:p>
      <w:pPr>
        <w:pStyle w:val="Caption"/>
      </w:pPr>
      <w:r>
        <w:rPr>
          <w:rFonts w:ascii="Calibri" w:hAnsi="Calibri"/>
          <w:sz w:val="18"/>
        </w:rPr>
        <w:t>Figure 5. Deterministic equal-width rank-robustness certificates. (A) National critical half-width by active block. (B) all-block thresholds across 60 balancing authorities, 10 FERC regions, and the national system. Bounds are uncertainty sets, not probability distributions or physical validation.</w:t>
      </w:r>
    </w:p>
    <w:p>
      <w:pPr>
        <w:pStyle w:val="Heading2"/>
      </w:pPr>
      <w:r>
        <w:t>3.5. Server and construction data reveal leverage but not architecture totals</w:t>
      </w:r>
    </w:p>
    <w:p>
      <w:r>
        <w:rPr>
          <w:rFonts w:ascii="Calibri" w:hAnsi="Calibri"/>
          <w:sz w:val="21"/>
        </w:rPr>
        <w:t xml:space="preserve">Of 55 Boavizta </w:t>
      </w:r>
      <w:r>
        <w:rPr>
          <w:rFonts w:ascii="Courier New" w:hAnsi="Courier New"/>
          <w:color w:val="17324D"/>
          <w:sz w:val="20"/>
        </w:rPr>
        <w:t>Datacenter/Server</w:t>
      </w:r>
      <w:r>
        <w:rPr>
          <w:rFonts w:ascii="Calibri" w:hAnsi="Calibri"/>
          <w:sz w:val="21"/>
        </w:rPr>
        <w:t xml:space="preserve"> candidates, 48 included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result is a structural stress only: it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rank is useful but not invariant</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was in the top three in all nine;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[30].</w:t>
      </w:r>
    </w:p>
    <w:p>
      <w:pPr>
        <w:pStyle w:val="Heading2"/>
      </w:pPr>
      <w:r>
        <w:t>3.7. Software checks and practitioner outputs</w:t>
      </w:r>
    </w:p>
    <w:p>
      <w:r>
        <w:rPr>
          <w:rFonts w:ascii="Calibri" w:hAnsi="Calibri"/>
          <w:sz w:val="21"/>
        </w:rPr>
        <w:t>The full local test suite covers calculation, fluid mass conservation, interoperability, reliability, public-data parsing, practitioner workflow, GUI/API parity, endpoint reconstruction, eGRID harmonization, Federal LCA Commons process-system solution, cutoff reporting, equal-width robustness, comparison incompatibility, field-level lineage, stress-design determinism, and provenance integrity. Paper-reconstruction tests skip explicitly when locally held provider files are absent; no substitute values are inserted.</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the truth of metadata labels, or the physical adequacy of a screening model.</w:t>
      </w:r>
    </w:p>
    <w:p>
      <w:pPr>
        <w:pStyle w:val="Heading1"/>
      </w:pPr>
      <w:r>
        <w:t>4. Discussion</w:t>
      </w:r>
    </w:p>
    <w:p>
      <w:pPr>
        <w:pStyle w:val="Heading2"/>
      </w:pPr>
      <w:r>
        <w:t>4.1. The central result is a claim boundary, not a cooling winner</w:t>
      </w:r>
    </w:p>
    <w:p>
      <w:r>
        <w:rPr>
          <w:rFonts w:ascii="Calibri" w:hAnsi="Calibri"/>
          <w:sz w:val="21"/>
        </w:rPr>
        <w:t>The released table and every unperturbed electricity screen place two-phase first. Three independent findings prevent that order from becoming a public comparative conclusion: the archive does not resolve the climate method of the numeric electricity endpoints; the cooling foreground cannot be recalculated under the same AR5 method as the electricity inventories; and useful computation has not been measured across the four architectures. The most important outcome is the boundary between reproduced arithmetic and a physically identified comparison.</w:t>
      </w:r>
    </w:p>
    <w:p>
      <w:r>
        <w:rPr>
          <w:rFonts w:ascii="Calibri" w:hAnsi="Calibri"/>
          <w:sz w:val="21"/>
        </w:rPr>
        <w:t>The 96.704 kg CO2e/MWh cold-plate/single-phase crossover is a property of two released numerical endpoints. It helps locate where their affine lines cross, but it is not an environmental threshold for a real site. Likewise, survival across 71 electricity factors explores one background dimension; it does not provide 71 independent observations of cooling performance. A transferable assessment must report the numerical result together with its functional unit, method identity, system boundary, cutoff structure, robustness definition, and claim status.</w:t>
      </w:r>
    </w:p>
    <w:p>
      <w:pPr>
        <w:pStyle w:val="Heading2"/>
      </w:pPr>
      <w:r>
        <w:t>4.2. Lifecycle electricity materially changes the boundary diagnosis</w:t>
      </w:r>
    </w:p>
    <w:p>
      <w:r>
        <w:rPr>
          <w:rFonts w:ascii="Calibri" w:hAnsi="Calibri"/>
          <w:sz w:val="21"/>
        </w:rPr>
        <w:t>The eGRID reconstruction shows that the 32.46% historical national decline is robust to changing GWP conventions. The Federal LCA Commons calculation then replaces an arbitrary additive boundary allowance with a provider-linked consumption model. At the national point, linked upstream and infrastructure processes add 53.084 kg CO2e/MWh beyond generation processes, and the total is 73.264 kg CO2e/MWh above the eGRID national rate. All FERC regions lie above the numerical cold-plate/single-phase crossover.</w:t>
      </w:r>
    </w:p>
    <w:p>
      <w:r>
        <w:rPr>
          <w:rFonts w:ascii="Calibri" w:hAnsi="Calibri"/>
          <w:sz w:val="21"/>
        </w:rPr>
        <w:t>This is a material advance, but not full harmonization. The difference between the two national factors also reflects delivery losses, consumption versus generation geography, and elementary-flow coverage. More importantly, 287 unlinked technosphere exchanges still carry zero upstream burden. A complete calculation requires those providers to be linked or their omitted impacts to be bounded and independently reproduced. Even then, electricity cannot repair the unresolved cooling-foreground LCIA method. Location- and market-based cases must also remain consistent throughout the product system [19,20]. The 7.67% national difference between ordinary and residual consumption mixes shows that the accounting choice is consequential even before the cooling foreground is harmonized.</w:t>
      </w:r>
    </w:p>
    <w:p>
      <w:pPr>
        <w:pStyle w:val="Heading2"/>
      </w:pPr>
      <w:r>
        <w:t>4.3. Equalized bounds correct an attribution error in the earlier stress design</w:t>
      </w:r>
    </w:p>
    <w:p>
      <w:r>
        <w:rPr>
          <w:rFonts w:ascii="Calibri" w:hAnsi="Calibri"/>
          <w:sz w:val="21"/>
        </w:rPr>
        <w:t>The earlier triangular analysis assigned embodied burden a half-width 10 times the use-phase and service widths. Its conclusion that embodied variation was the largest one-block source of rank loss conflated sensitivity with an arbitrary range choice. The equal-width certificate separates those effects. At the national lifecycle factor, embodied burden can vary by 22.15% before a worst-case one-block reversal, whereas service equivalence and use phase require only 2.64% and 2.99%.</w:t>
      </w:r>
    </w:p>
    <w:p>
      <w:r>
        <w:rPr>
          <w:rFonts w:ascii="Calibri" w:hAnsi="Calibri"/>
          <w:sz w:val="21"/>
        </w:rPr>
        <w:t>The all-block threshold of 1.32% is not a confidence bound. It is the radius of a specified box in which a shared grid multiplier and adverse technology-specific foreground multipliers cannot reverse the numerical first rank. Its value lies in falsifiability: any proposed empirical uncertainty model can be compared against the same bound structure. A probability of rank would additionally require measured marginal distributions and correlations [46].</w:t>
      </w:r>
    </w:p>
    <w:p>
      <w:r>
        <w:rPr>
          <w:rFonts w:ascii="Calibri" w:hAnsi="Calibri"/>
          <w:sz w:val="21"/>
        </w:rPr>
        <w:t>This correction changes the near-term research priority. Measurements should first close functional equivalence and use-phase demand, while bills of quantities and material inventories remain necessary for a common-method lifecycle comparison. The legacy triangular results still demonstrate that dependence assumptions matter, but they do not rank the real-world importance of uncertainty blocks.</w:t>
      </w:r>
    </w:p>
    <w:p>
      <w:pPr>
        <w:pStyle w:val="Heading2"/>
      </w:pPr>
      <w:r>
        <w:t>4.4. Useful computation is the decisive experimental bridge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one-sided 5.50% median threshold and the symmetric 2.64% national service bound are break-even requirements, not measured penalties. They define the approximate resolution required of a comparative experiment. ITU-T L.1410 similarly requires an explicit functional unit and comparative baseline for ICT services [48].</w:t>
      </w:r>
    </w:p>
    <w:p>
      <w:r>
        <w:rPr>
          <w:rFonts w:ascii="Calibri" w:hAnsi="Calibri"/>
          <w:sz w:val="21"/>
        </w:rPr>
        <w:t>A shared protocol should measure, for every architecture, completed workload or benchmark output; IT and cooling power; inlet and component temperatures; flow and pressure drop; fan, pump, CDU and heat-rejection power; onsite water; failure and maintenance events; and uncertainty/calibration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Decarbonization changes the value of evidence</w:t>
      </w:r>
    </w:p>
    <w:p>
      <w:r>
        <w:rPr>
          <w:rFonts w:ascii="Calibri" w:hAnsi="Calibri"/>
          <w:sz w:val="21"/>
        </w:rPr>
        <w:t>The national analysis shows a dual effect. Cleaner generation lowers every electricity-dependent cooling result and contracts the absolute value of operational efficiency, while increasing the fraction supplied by embodied terms. Percentage savings alone hide this transition: the absolute modeled two-phase-versus-air benefit fell 29.45% between the 2012 and 2023 generation conditions.</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needed research product is a linked foreground dataset: useful computation, server configuration and lifetime, cooling bill of quantities, material route, and measured operation under one functional unit.</w:t>
      </w:r>
    </w:p>
    <w:p>
      <w:pPr>
        <w:pStyle w:val="Heading2"/>
      </w:pPr>
      <w:r>
        <w:t>4.6. Role relative to openLCA, Brightway, and dynamic-LCA tools</w:t>
      </w:r>
    </w:p>
    <w:p>
      <w:r>
        <w:rPr>
          <w:rFonts w:ascii="Calibri" w:hAnsi="Calibri"/>
          <w:sz w:val="21"/>
        </w:rPr>
        <w:t>OpenDC-LCA does not replace openLCA, Brightway, Temporalis, premise, or bw_timex. Those tools provide process-network calculation, database management, prospective backgrounds, or time-explicit LCA [24-26,33,34]. The assessment layer here adds:</w:t>
      </w:r>
    </w:p>
    <w:p>
      <w:pPr>
        <w:spacing w:after="60"/>
        <w:ind w:left="374" w:hanging="288"/>
      </w:pPr>
      <w:r>
        <w:rPr>
          <w:rFonts w:ascii="Calibri" w:hAnsi="Calibri"/>
          <w:sz w:val="21"/>
        </w:rPr>
        <w:t>1. a functional-equivalence check tied to useful computation;</w:t>
      </w:r>
    </w:p>
    <w:p>
      <w:pPr>
        <w:spacing w:after="60"/>
        <w:ind w:left="374" w:hanging="288"/>
      </w:pPr>
      <w:r>
        <w:rPr>
          <w:rFonts w:ascii="Calibri" w:hAnsi="Calibri"/>
          <w:sz w:val="21"/>
        </w:rPr>
        <w:t>2. load-weather cooling performance and bounded annual integration;</w:t>
      </w:r>
    </w:p>
    <w:p>
      <w:pPr>
        <w:spacing w:after="60"/>
        <w:ind w:left="374" w:hanging="288"/>
      </w:pPr>
      <w:r>
        <w:rPr>
          <w:rFonts w:ascii="Calibri" w:hAnsi="Calibri"/>
          <w:sz w:val="21"/>
        </w:rPr>
        <w:t>3. reliability, replacement, and cooling-fluid representations;</w:t>
      </w:r>
    </w:p>
    <w:p>
      <w:pPr>
        <w:spacing w:after="60"/>
        <w:ind w:left="374" w:hanging="288"/>
      </w:pPr>
      <w:r>
        <w:rPr>
          <w:rFonts w:ascii="Calibri" w:hAnsi="Calibri"/>
          <w:sz w:val="21"/>
        </w:rPr>
        <w:t>4. explicit separation of lifecycle electricity, direct generation rates,</w:t>
      </w:r>
    </w:p>
    <w:p>
      <w:r>
        <w:rPr>
          <w:rFonts w:ascii="Calibri" w:hAnsi="Calibri"/>
          <w:sz w:val="21"/>
        </w:rPr>
        <w:t>market instruments, and marginal signals;</w:t>
      </w:r>
    </w:p>
    <w:p>
      <w:pPr>
        <w:spacing w:after="60"/>
        <w:ind w:left="374" w:hanging="288"/>
      </w:pPr>
      <w:r>
        <w:rPr>
          <w:rFonts w:ascii="Calibri" w:hAnsi="Calibri"/>
          <w:sz w:val="21"/>
        </w:rPr>
        <w:t>5. source and transformation provenance; and</w:t>
      </w:r>
    </w:p>
    <w:p>
      <w:pPr>
        <w:spacing w:after="60"/>
        <w:ind w:left="374" w:hanging="288"/>
      </w:pPr>
      <w:r>
        <w:rPr>
          <w:rFonts w:ascii="Calibri" w:hAnsi="Calibri"/>
          <w:sz w:val="21"/>
        </w:rPr>
        <w:t>6. an automated metadata validator that blocks declared comparisons with</w:t>
      </w:r>
    </w:p>
    <w:p>
      <w:r>
        <w:rPr>
          <w:rFonts w:ascii="Calibri" w:hAnsi="Calibri"/>
          <w:sz w:val="21"/>
        </w:rPr>
        <w:t>incompatible methods, boundaries, or source mappings.</w:t>
      </w:r>
    </w:p>
    <w:p>
      <w:r>
        <w:rPr>
          <w:rFonts w:ascii="Calibri" w:hAnsi="Calibri"/>
          <w:sz w:val="21"/>
        </w:rPr>
        <w:t>The validator is deliberately narrower than a scientific review. It trusts the metadata supplied by the user and cannot determine whether a performance map is representative, a distribution is empirical, or an external review occurred. Its role is to catch machine-detectable incompatibilities before calculation, not to authorize a public environmental claim.</w:t>
      </w:r>
    </w:p>
    <w:p>
      <w:r>
        <w:rPr>
          <w:rFonts w:ascii="Calibri" w:hAnsi="Calibri"/>
          <w:sz w:val="21"/>
        </w:rPr>
        <w:t>This role also differs from recent data-center models. AlphaDataCenterCooling provides operational validation of a cooling plant [45], while d'Orgeval et al. compare full data-center architectures and, for a subset, normalize by computational performance [44]. The present work tests whether published secondary LCA results retain their meaning when moved across electricity datasets and claim contexts; it does not duplicate either primary modeling capability.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Implications for hyperscale practitioners and the Microsoft study</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Five additions are needed:</w:t>
      </w:r>
    </w:p>
    <w:p>
      <w:pPr>
        <w:spacing w:after="60"/>
        <w:ind w:left="374" w:hanging="288"/>
      </w:pPr>
      <w:r>
        <w:rPr>
          <w:rFonts w:ascii="Calibri" w:hAnsi="Calibri"/>
          <w:sz w:val="21"/>
        </w:rPr>
        <w:t>1. the original GWP100 electricity factors or elementary-flow inventories</w:t>
      </w:r>
    </w:p>
    <w:p>
      <w:r>
        <w:rPr>
          <w:rFonts w:ascii="Calibri" w:hAnsi="Calibri"/>
          <w:sz w:val="21"/>
        </w:rPr>
        <w:t>needed to resolve the public workbook's blank F29 cells;</w:t>
      </w:r>
    </w:p>
    <w:p>
      <w:pPr>
        <w:spacing w:after="60"/>
        <w:ind w:left="374" w:hanging="288"/>
      </w:pPr>
      <w:r>
        <w:rPr>
          <w:rFonts w:ascii="Calibri" w:hAnsi="Calibri"/>
          <w:sz w:val="21"/>
        </w:rPr>
        <w:t>2. architecture-specific, anonymized bills of quantities and service lives;</w:t>
      </w:r>
    </w:p>
    <w:p>
      <w:pPr>
        <w:spacing w:after="60"/>
        <w:ind w:left="374" w:hanging="288"/>
      </w:pPr>
      <w:r>
        <w:rPr>
          <w:rFonts w:ascii="Calibri" w:hAnsi="Calibri"/>
          <w:sz w:val="21"/>
        </w:rPr>
        <w:t>3. measured performance surfaces for IT output, server power, facility</w:t>
      </w:r>
    </w:p>
    <w:p>
      <w:r>
        <w:rPr>
          <w:rFonts w:ascii="Calibri" w:hAnsi="Calibri"/>
          <w:sz w:val="21"/>
        </w:rPr>
        <w:t>parasitics, and onsite water across load and weather;</w:t>
      </w:r>
    </w:p>
    <w:p>
      <w:pPr>
        <w:spacing w:after="60"/>
        <w:ind w:left="374" w:hanging="288"/>
      </w:pPr>
      <w:r>
        <w:rPr>
          <w:rFonts w:ascii="Calibri" w:hAnsi="Calibri"/>
          <w:sz w:val="21"/>
        </w:rPr>
        <w:t>4. a complete provider-linked lifecycle electricity model under the same LCIA</w:t>
      </w:r>
    </w:p>
    <w:p>
      <w:r>
        <w:rPr>
          <w:rFonts w:ascii="Calibri" w:hAnsi="Calibri"/>
          <w:sz w:val="21"/>
        </w:rPr>
        <w:t>method, with cutoffs linked or bounded and location-, market-, and marginal operational signals reported separately; and</w:t>
      </w:r>
    </w:p>
    <w:p>
      <w:pPr>
        <w:spacing w:after="60"/>
        <w:ind w:left="374" w:hanging="288"/>
      </w:pPr>
      <w:r>
        <w:rPr>
          <w:rFonts w:ascii="Calibri" w:hAnsi="Calibri"/>
          <w:sz w:val="21"/>
        </w:rPr>
        <w:t>5. empirical uncertainty and correlation information sufficient for rank</w:t>
      </w:r>
    </w:p>
    <w:p>
      <w:r>
        <w:rPr>
          <w:rFonts w:ascii="Calibri" w:hAnsi="Calibri"/>
          <w:sz w:val="21"/>
        </w:rPr>
        <w:t>probability and value-of-information analysis.</w:t>
      </w:r>
    </w:p>
    <w:p>
      <w:r>
        <w:rPr>
          <w:rFonts w:ascii="Calibri" w:hAnsi="Calibri"/>
          <w:sz w:val="21"/>
        </w:rPr>
        <w:t>OpenDC-LCA supplies schemas, transformations, tests, and claim boundaries for that collaboration. The two conclusions supported independently here are the released arithmetic and the national direct-generation trend. The cooling crossovers, first ranks, and response coefficients remain conditional numerical screens until the five evidence gaps are closed.</w:t>
      </w:r>
    </w:p>
    <w:p>
      <w:pPr>
        <w:pStyle w:val="Heading2"/>
      </w:pPr>
      <w:r>
        <w:t>4.8. Limitations and submission-grade evidence needs</w:t>
      </w:r>
    </w:p>
    <w:p>
      <w:r>
        <w:rPr>
          <w:rFonts w:ascii="Calibri" w:hAnsi="Calibri"/>
          <w:sz w:val="21"/>
        </w:rPr>
        <w:t>The analysis remains secondary. It does not recreate proprietary background inventories, confidential bills of quantities, the full virtual-core model, or measured hyperscale operation. Equation (8) uses a numerical axis whose climate-method identity is unresolved in the public archive. The Federal LCA Commons factors contain 287 national unlinked technosphere exchanges; the custom solver has not been independently reproduced in openLCA or Brightway. The additive allowance, triangular marginals, and copula dependence cases are secondary diagnostics, not estimates. The convergence check limits numerical sampling error within those designs; it does not reduce epistemic uncertainty in the ranges, dependence structure, cutoffs, or foreground model. eGRID state rates omit consumption transfers, contracts, hourly dispatch, and marginal effects.</w:t>
      </w:r>
    </w:p>
    <w:p>
      <w:r>
        <w:rPr>
          <w:rFonts w:ascii="Calibri" w:hAnsi="Calibri"/>
          <w:sz w:val="21"/>
        </w:rPr>
        <w:t>The assessment focuses on climate results. It does not provide a boundary-consistent comparison of primary energy, water scarcity, toxicity, resource use, or other impact categories. The Boavizta sample mixes products and methods.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The evidence supports a methodological Technology Assessment of transferability, not a public assertion that one cooling architecture is environmentally preferable. Such an assertion would require resolved common-method inventories, reviewed primary performance and useful-computation data, architecture bills of quantities, water-scarcity characterization, empirically supported joint uncertainty, and an external critical review panel.</w:t>
      </w:r>
    </w:p>
    <w:p>
      <w:pPr>
        <w:pStyle w:val="Heading1"/>
      </w:pPr>
      <w:r>
        <w:t>5. Conclusions</w:t>
      </w:r>
    </w:p>
    <w:p>
      <w:r>
        <w:rPr>
          <w:rFonts w:ascii="Calibri" w:hAnsi="Calibri"/>
          <w:sz w:val="21"/>
        </w:rPr>
        <w:t>This assessment separates three evidence levels that had previously been combined: reproduced source arithmetic, direct-generation trend analysis, and conditional cooling screens. All 24 published totals were arithmetically reproduced, but the public archive does not resolve whether the two numeric electricity endpoints used by the screening axis are AR5 GWP100 or GTP100. Cooling ranks derived from that axis cannot be interpreted as common-method comparative LCA results.</w:t>
      </w:r>
    </w:p>
    <w:p>
      <w:r>
        <w:rPr>
          <w:rFonts w:ascii="Calibri" w:hAnsi="Calibri"/>
          <w:sz w:val="21"/>
        </w:rPr>
        <w:t>The national eGRID generation factor declined 32.46% from 2012 to 2023 after all nine releases were harmonized to AR5 GWP100. The Federal LCA Commons national consumption system yielded 422.93 kg CO2e/MWh, including 53.08 kg CO2e/MWh from linked processes beyond generation, and all 10 FERC systems lay above the 96.70 kg CO2e/MWh numerical crossover. These partial linked-system factors retain documented technosphere cutoffs and require independent calculator verification before benchmark use.</w:t>
      </w:r>
    </w:p>
    <w:p>
      <w:r>
        <w:rPr>
          <w:rFonts w:ascii="Calibri" w:hAnsi="Calibri"/>
          <w:sz w:val="21"/>
        </w:rPr>
        <w:t>Equal-width robustness analysis corrected the earlier attribution of rank loss to embodied variation. At the national lifecycle factor, the first-rank screen failed at 2.64% service-equivalence variation, 2.99% use-phase variation, and 22.15% embodied variation; simultaneous equal-width changes failed at 1.32%. The dominant near-term evidence needs are architecture-resolved useful computation and use-phase demand, followed by complete bills of quantities and common-method inventories.</w:t>
      </w:r>
    </w:p>
    <w:p>
      <w:r>
        <w:rPr>
          <w:rFonts w:ascii="Calibri" w:hAnsi="Calibri"/>
          <w:sz w:val="21"/>
        </w:rPr>
        <w:t>OpenDC-LCA now blocks comparisons with mismatched functional units, boundaries, electricity accounting, LCIA methods, or missing field-level source mappings. That validator catches declared metadata incompatibilities but does not verify the underlying science. The study is suitable as a transferability Technology Assessment; it does not support a public claim of environmental superiority among cooling architectures.</w:t>
      </w:r>
    </w:p>
    <w:p>
      <w:pPr>
        <w:pStyle w:val="Heading1"/>
      </w:pPr>
      <w:r>
        <w:t>Data and code availability</w:t>
      </w:r>
    </w:p>
    <w:p>
      <w:r>
        <w:rPr>
          <w:rFonts w:ascii="Calibri" w:hAnsi="Calibri"/>
          <w:sz w:val="21"/>
        </w:rPr>
        <w:t>OpenDC-LCA version 1.1.0 is publicly available at https://github.com/UARK-NED3/OpenDC-LCA and https://github.com/UARK-NED3/OpenDC-LCA/releases/tag/v1.1.0. The development revision evaluated here adds the Federal LCA Commons solver, cutoff reporting, equal-width robustness certificates, and comparison-level metadata checks; it will be tagged and archived before submission. Analysis metadata and the provider-file manifest record file sizes and SHA-256 checksums. Provider-native files remain outside Git when redistribution permission is unclear or a large upstream archive has not been reviewed for redistribution. The Microsoft archive, eGRID files, Federal LCA Commons baseline and method, and NOAA data are available from their public providers [15,36,37,40,47]. No DOI-bearing software archive is available at the time of this draft.</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17.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18.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19.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20.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21.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22.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23.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24.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25.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26.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27.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28.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29.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30.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31. International Organization for Standardization. ISO 14040:2006,</w:t>
      </w:r>
    </w:p>
    <w:p>
      <w:r>
        <w:rPr>
          <w:rFonts w:ascii="Calibri" w:hAnsi="Calibri"/>
          <w:sz w:val="21"/>
        </w:rPr>
        <w:t>Environmental management - Life cycle assessment - Principles and framework; and ISO 14044:2006, Environmental management - Life cycle assessment - Requirements and guidelines. https://www.iso.org/committee/54854/x/catalogue/; https://www.iso.org/standard/38498.html</w:t>
      </w:r>
    </w:p>
    <w:p>
      <w:pPr>
        <w:spacing w:after="60"/>
        <w:ind w:left="374" w:hanging="288"/>
      </w:pPr>
      <w:r>
        <w:rPr>
          <w:rFonts w:ascii="Calibri" w:hAnsi="Calibri"/>
          <w:sz w:val="21"/>
        </w:rPr>
        <w:t>32. International Organization for Standardization. ISO 14071:2024,</w:t>
      </w:r>
    </w:p>
    <w:p>
      <w:r>
        <w:rPr>
          <w:rFonts w:ascii="Calibri" w:hAnsi="Calibri"/>
          <w:sz w:val="21"/>
        </w:rPr>
        <w:t>Environmental management - Life cycle assessment - Critical review processes and reviewer competencies (2024). https://www.iso.org/standard/82464.html</w:t>
      </w:r>
    </w:p>
    <w:p>
      <w:pPr>
        <w:spacing w:after="60"/>
        <w:ind w:left="374" w:hanging="288"/>
      </w:pPr>
      <w:r>
        <w:rPr>
          <w:rFonts w:ascii="Calibri" w:hAnsi="Calibri"/>
          <w:sz w:val="21"/>
        </w:rPr>
        <w:t>33. GreenDelta. openLCA: open source life cycle assessment software.</w:t>
      </w:r>
    </w:p>
    <w:p>
      <w:r>
        <w:rPr>
          <w:rFonts w:ascii="Calibri" w:hAnsi="Calibri"/>
          <w:sz w:val="21"/>
        </w:rPr>
        <w:t>https://www.openlca.org/</w:t>
      </w:r>
    </w:p>
    <w:p>
      <w:pPr>
        <w:spacing w:after="60"/>
        <w:ind w:left="374" w:hanging="288"/>
      </w:pPr>
      <w:r>
        <w:rPr>
          <w:rFonts w:ascii="Calibri" w:hAnsi="Calibri"/>
          <w:sz w:val="21"/>
        </w:rPr>
        <w:t>34.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35. UARK-NED3. OpenDC-LCA version 1.1.0.</w:t>
      </w:r>
    </w:p>
    <w:p>
      <w:r>
        <w:rPr>
          <w:rFonts w:ascii="Calibri" w:hAnsi="Calibri"/>
          <w:sz w:val="21"/>
        </w:rPr>
        <w:t>https://github.com/UARK-NED3/OpenDC-LCA</w:t>
      </w:r>
    </w:p>
    <w:p>
      <w:pPr>
        <w:spacing w:after="60"/>
        <w:ind w:left="374" w:hanging="288"/>
      </w:pPr>
      <w:r>
        <w:rPr>
          <w:rFonts w:ascii="Calibri" w:hAnsi="Calibri"/>
          <w:sz w:val="21"/>
        </w:rPr>
        <w:t>36. U.S. Environmental Protection Agency. Emissions &amp; Generation Resource</w:t>
      </w:r>
    </w:p>
    <w:p>
      <w:r>
        <w:rPr>
          <w:rFonts w:ascii="Calibri" w:hAnsi="Calibri"/>
          <w:sz w:val="21"/>
        </w:rPr>
        <w:t>Integrated Database (eGRID), detailed data. https://www.epa.gov/egrid/detailed-data</w:t>
      </w:r>
    </w:p>
    <w:p>
      <w:pPr>
        <w:spacing w:after="60"/>
        <w:ind w:left="374" w:hanging="288"/>
      </w:pPr>
      <w:r>
        <w:rPr>
          <w:rFonts w:ascii="Calibri" w:hAnsi="Calibri"/>
          <w:sz w:val="21"/>
        </w:rPr>
        <w:t>37. U.S. Environmental Protection Agency. Frequent questions about eGRID:</w:t>
      </w:r>
    </w:p>
    <w:p>
      <w:r>
        <w:rPr>
          <w:rFonts w:ascii="Calibri" w:hAnsi="Calibri"/>
          <w:sz w:val="21"/>
        </w:rPr>
        <w:t>global warming potentials and methodology changes. https://www.epa.gov/egrid/frequent-questions-about-egrid</w:t>
      </w:r>
    </w:p>
    <w:p>
      <w:pPr>
        <w:spacing w:after="60"/>
        <w:ind w:left="374" w:hanging="288"/>
      </w:pPr>
      <w:r>
        <w:rPr>
          <w:rFonts w:ascii="Calibri" w:hAnsi="Calibri"/>
          <w:sz w:val="21"/>
        </w:rPr>
        <w:t>38. Boavizta. BoaviztAPI data repository.</w:t>
      </w:r>
    </w:p>
    <w:p>
      <w:r>
        <w:rPr>
          <w:rFonts w:ascii="Calibri" w:hAnsi="Calibri"/>
          <w:sz w:val="21"/>
        </w:rPr>
        <w:t>https://github.com/Boavizta/boaviztapi</w:t>
      </w:r>
    </w:p>
    <w:p>
      <w:pPr>
        <w:spacing w:after="60"/>
        <w:ind w:left="374" w:hanging="288"/>
      </w:pPr>
      <w:r>
        <w:rPr>
          <w:rFonts w:ascii="Calibri" w:hAnsi="Calibri"/>
          <w:sz w:val="21"/>
        </w:rPr>
        <w:t>39. Bundesinstitut für Bau-, Stadt- und Raumforschung. ÖKOBAUDAT 2024-II.</w:t>
      </w:r>
    </w:p>
    <w:p>
      <w:r>
        <w:rPr>
          <w:rFonts w:ascii="Calibri" w:hAnsi="Calibri"/>
          <w:sz w:val="21"/>
        </w:rPr>
        <w:t>https://www.oekobaudat.de/</w:t>
      </w:r>
    </w:p>
    <w:p>
      <w:pPr>
        <w:spacing w:after="60"/>
        <w:ind w:left="374" w:hanging="288"/>
      </w:pPr>
      <w:r>
        <w:rPr>
          <w:rFonts w:ascii="Calibri" w:hAnsi="Calibri"/>
          <w:sz w:val="21"/>
        </w:rPr>
        <w:t>40. National Centers for Environmental Information. Typical Meteorological</w:t>
      </w:r>
    </w:p>
    <w:p>
      <w:r>
        <w:rPr>
          <w:rFonts w:ascii="Calibri" w:hAnsi="Calibri"/>
          <w:sz w:val="21"/>
        </w:rPr>
        <w:t>Year data. https://www.ncei.noaa.gov/access/typical-meteorological-year/</w:t>
      </w:r>
    </w:p>
    <w:p>
      <w:pPr>
        <w:spacing w:after="60"/>
        <w:ind w:left="374" w:hanging="288"/>
      </w:pPr>
      <w:r>
        <w:rPr>
          <w:rFonts w:ascii="Calibri" w:hAnsi="Calibri"/>
          <w:sz w:val="21"/>
        </w:rPr>
        <w:t>41. National Renewable Energy Laboratory. U.S. Life Cycle Inventory Database,</w:t>
      </w:r>
    </w:p>
    <w:p>
      <w:r>
        <w:rPr>
          <w:rFonts w:ascii="Calibri" w:hAnsi="Calibri"/>
          <w:sz w:val="21"/>
        </w:rPr>
        <w:t>version 1.2026-06.0. Federal LCA Commons. https://www.lcacommons.gov/</w:t>
      </w:r>
    </w:p>
    <w:p>
      <w:pPr>
        <w:spacing w:after="60"/>
        <w:ind w:left="374" w:hanging="288"/>
      </w:pPr>
      <w:r>
        <w:rPr>
          <w:rFonts w:ascii="Calibri" w:hAnsi="Calibri"/>
          <w:sz w:val="21"/>
        </w:rPr>
        <w:t>42. United Nations Environment Programme. Global LCA Data Access network.</w:t>
      </w:r>
    </w:p>
    <w:p>
      <w:r>
        <w:rPr>
          <w:rFonts w:ascii="Calibri" w:hAnsi="Calibri"/>
          <w:sz w:val="21"/>
        </w:rPr>
        <w:t>https://www.globallcadataaccess.org/</w:t>
      </w:r>
    </w:p>
    <w:p>
      <w:pPr>
        <w:spacing w:after="60"/>
        <w:ind w:left="374" w:hanging="288"/>
      </w:pPr>
      <w:r>
        <w:rPr>
          <w:rFonts w:ascii="Calibri" w:hAnsi="Calibri"/>
          <w:sz w:val="21"/>
        </w:rPr>
        <w:t>43. U.S. Geological Survey. Watershed Boundary Dataset.</w:t>
      </w:r>
    </w:p>
    <w:p>
      <w:r>
        <w:rPr>
          <w:rFonts w:ascii="Calibri" w:hAnsi="Calibri"/>
          <w:sz w:val="21"/>
        </w:rPr>
        <w:t>https://www.usgs.gov/national-hydrography/watershed-boundary-dataset</w:t>
      </w:r>
    </w:p>
    <w:p>
      <w:pPr>
        <w:spacing w:after="60"/>
        <w:ind w:left="374" w:hanging="288"/>
      </w:pPr>
      <w:r>
        <w:rPr>
          <w:rFonts w:ascii="Calibri" w:hAnsi="Calibri"/>
          <w:sz w:val="21"/>
        </w:rPr>
        <w:t>44. d'Orgeval, A., Sheehan, S., Avenas, Q., Assoumou, E. &amp; Sessa, V.</w:t>
      </w:r>
    </w:p>
    <w:p>
      <w:r>
        <w:rPr>
          <w:rFonts w:ascii="Calibri" w:hAnsi="Calibri"/>
          <w:sz w:val="21"/>
        </w:rPr>
        <w:t xml:space="preserve">Generative AI impact assessment through a life cycle analysis of multiple data center typologies. </w:t>
      </w:r>
      <w:r>
        <w:rPr>
          <w:rFonts w:ascii="Calibri" w:hAnsi="Calibri"/>
          <w:i/>
          <w:sz w:val="21"/>
        </w:rPr>
        <w:t>Applied Energy</w:t>
      </w:r>
      <w:r>
        <w:rPr>
          <w:rFonts w:ascii="Calibri" w:hAnsi="Calibri"/>
          <w:sz w:val="21"/>
        </w:rPr>
        <w:t xml:space="preserve"> </w:t>
      </w:r>
      <w:r>
        <w:rPr>
          <w:rFonts w:ascii="Calibri" w:hAnsi="Calibri"/>
          <w:b/>
          <w:sz w:val="21"/>
        </w:rPr>
        <w:t>406</w:t>
      </w:r>
      <w:r>
        <w:rPr>
          <w:rFonts w:ascii="Calibri" w:hAnsi="Calibri"/>
          <w:sz w:val="21"/>
        </w:rPr>
        <w:t>, 127288 (2026). https://doi.org/10.1016/j.apenergy.2025.127288</w:t>
      </w:r>
    </w:p>
    <w:p>
      <w:pPr>
        <w:spacing w:after="60"/>
        <w:ind w:left="374" w:hanging="288"/>
      </w:pPr>
      <w:r>
        <w:rPr>
          <w:rFonts w:ascii="Calibri" w:hAnsi="Calibri"/>
          <w:sz w:val="21"/>
        </w:rPr>
        <w:t>45. Wu, S., Zheng, W., Wang, Z., Chen, G., Yang, P., Yue, S., Li, D. &amp; Wu, Y.</w:t>
      </w:r>
    </w:p>
    <w:p>
      <w:r>
        <w:rPr>
          <w:rFonts w:ascii="Calibri" w:hAnsi="Calibri"/>
          <w:sz w:val="21"/>
        </w:rPr>
        <w:t xml:space="preserve">AlphaDataCenterCooling: A new computational model for data center cooling system evaluation. </w:t>
      </w:r>
      <w:r>
        <w:rPr>
          <w:rFonts w:ascii="Calibri" w:hAnsi="Calibri"/>
          <w:i/>
          <w:sz w:val="21"/>
        </w:rPr>
        <w:t>Applied Energy</w:t>
      </w:r>
      <w:r>
        <w:rPr>
          <w:rFonts w:ascii="Calibri" w:hAnsi="Calibri"/>
          <w:sz w:val="21"/>
        </w:rPr>
        <w:t xml:space="preserve"> </w:t>
      </w:r>
      <w:r>
        <w:rPr>
          <w:rFonts w:ascii="Calibri" w:hAnsi="Calibri"/>
          <w:b/>
          <w:sz w:val="21"/>
        </w:rPr>
        <w:t>380</w:t>
      </w:r>
      <w:r>
        <w:rPr>
          <w:rFonts w:ascii="Calibri" w:hAnsi="Calibri"/>
          <w:sz w:val="21"/>
        </w:rPr>
        <w:t>, 125100 (2025). https://doi.org/10.1016/j.apenergy.2024.125100</w:t>
      </w:r>
    </w:p>
    <w:p>
      <w:pPr>
        <w:spacing w:after="60"/>
        <w:ind w:left="374" w:hanging="288"/>
      </w:pPr>
      <w:r>
        <w:rPr>
          <w:rFonts w:ascii="Calibri" w:hAnsi="Calibri"/>
          <w:sz w:val="21"/>
        </w:rPr>
        <w:t>46. Groen, E. A. &amp; Heijungs, R. Ignoring correlation in uncertainty and</w:t>
      </w:r>
    </w:p>
    <w:p>
      <w:r>
        <w:rPr>
          <w:rFonts w:ascii="Calibri" w:hAnsi="Calibri"/>
          <w:sz w:val="21"/>
        </w:rPr>
        <w:t xml:space="preserve">sensitivity analysis in life cycle assessment: what is the risk? </w:t>
      </w:r>
      <w:r>
        <w:rPr>
          <w:rFonts w:ascii="Calibri" w:hAnsi="Calibri"/>
          <w:i/>
          <w:sz w:val="21"/>
        </w:rPr>
        <w:t>Environmental Impact Assessment Review</w:t>
      </w:r>
      <w:r>
        <w:rPr>
          <w:rFonts w:ascii="Calibri" w:hAnsi="Calibri"/>
          <w:sz w:val="21"/>
        </w:rPr>
        <w:t xml:space="preserve"> </w:t>
      </w:r>
      <w:r>
        <w:rPr>
          <w:rFonts w:ascii="Calibri" w:hAnsi="Calibri"/>
          <w:b/>
          <w:sz w:val="21"/>
        </w:rPr>
        <w:t>62</w:t>
      </w:r>
      <w:r>
        <w:rPr>
          <w:rFonts w:ascii="Calibri" w:hAnsi="Calibri"/>
          <w:sz w:val="21"/>
        </w:rPr>
        <w:t>, 98-109 (2017). https://doi.org/10.1016/j.eiar.2016.10.006</w:t>
      </w:r>
    </w:p>
    <w:p>
      <w:pPr>
        <w:spacing w:after="60"/>
        <w:ind w:left="374" w:hanging="288"/>
      </w:pPr>
      <w:r>
        <w:rPr>
          <w:rFonts w:ascii="Calibri" w:hAnsi="Calibri"/>
          <w:sz w:val="21"/>
        </w:rPr>
        <w:t>47. National Energy Technology Laboratory. U.S. Electricity Baseline, 2023</w:t>
      </w:r>
    </w:p>
    <w:p>
      <w:r>
        <w:rPr>
          <w:rFonts w:ascii="Calibri" w:hAnsi="Calibri"/>
          <w:sz w:val="21"/>
        </w:rPr>
        <w:t>data release, version 03.00.000. Federal LCA Commons (2026). https://www.lcacommons.gov/lca-collaboration/Federal_LCA_Commons/US_electricity_baseline</w:t>
      </w:r>
    </w:p>
    <w:p>
      <w:pPr>
        <w:spacing w:after="60"/>
        <w:ind w:left="374" w:hanging="288"/>
      </w:pPr>
      <w:r>
        <w:rPr>
          <w:rFonts w:ascii="Calibri" w:hAnsi="Calibri"/>
          <w:sz w:val="21"/>
        </w:rPr>
        <w:t>48. International Telecommunication Union. ITU-T Recommendation L.1410:</w:t>
      </w:r>
    </w:p>
    <w:p>
      <w:r>
        <w:rPr>
          <w:rFonts w:ascii="Calibri" w:hAnsi="Calibri"/>
          <w:sz w:val="21"/>
        </w:rPr>
        <w:t>Methodology for environmental life cycle assessments of information and communication technology goods, networks and services (2024). https://handle.itu.int/11.1002/1000/16010</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Braden Stevens; Pengjiang Xiang; Yimin Chen; Darin Nutter; Han Hu</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