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240"/>
        <w:jc w:val="center"/>
      </w:pPr>
      <w:r>
        <w:rPr>
          <w:rFonts w:ascii="Calibri" w:hAnsi="Calibri"/>
          <w:b/>
          <w:color w:val="17324D"/>
          <w:sz w:val="42"/>
        </w:rPr>
        <w:t>Transferability audit of data-center cooling LCA: lifecycle electricity, functional equivalence, and rank robustness</w:t>
      </w:r>
    </w:p>
    <w:p>
      <w:pPr>
        <w:spacing w:after="60"/>
        <w:jc w:val="center"/>
      </w:pPr>
      <w:r>
        <w:rPr>
          <w:rFonts w:ascii="Calibri" w:hAnsi="Calibri"/>
          <w:b/>
          <w:i w:val="0"/>
          <w:color w:val="17324D"/>
          <w:sz w:val="22"/>
        </w:rPr>
        <w:t>Braden Stevens (1), Pengjiang Xiang (2), Yimin Chen (1), Darin Nutter (1), and Han Hu (1)</w:t>
      </w:r>
    </w:p>
    <w:p>
      <w:pPr>
        <w:spacing w:after="60"/>
        <w:jc w:val="center"/>
      </w:pPr>
      <w:r>
        <w:rPr>
          <w:rFonts w:ascii="Calibri" w:hAnsi="Calibri"/>
          <w:b/>
          <w:i w:val="0"/>
          <w:color w:val="17324D"/>
          <w:sz w:val="22"/>
        </w:rPr>
        <w:t>(1) Department of Mechanical Engineering, University of Arkansas, Fayetteville, AR 72701, U.S.</w:t>
      </w:r>
    </w:p>
    <w:p>
      <w:pPr>
        <w:spacing w:after="60"/>
        <w:jc w:val="center"/>
      </w:pPr>
      <w:r>
        <w:rPr>
          <w:rFonts w:ascii="Calibri" w:hAnsi="Calibri"/>
          <w:b/>
          <w:i w:val="0"/>
          <w:color w:val="17324D"/>
          <w:sz w:val="22"/>
        </w:rPr>
        <w:t>(2) Building Technologies Research and Integration Center, Oak Ridge National Laboratory, Oak Ridge, TN 37830, U.S.</w:t>
      </w:r>
    </w:p>
    <w:p>
      <w:pPr>
        <w:spacing w:after="240"/>
        <w:jc w:val="center"/>
      </w:pPr>
      <w:r>
        <w:rPr>
          <w:rFonts w:ascii="Calibri" w:hAnsi="Calibri"/>
          <w:b w:val="0"/>
          <w:i/>
          <w:color w:val="60758A"/>
          <w:sz w:val="19"/>
        </w:rPr>
        <w:t>Pre-submission draft for coauthor review.</w:t>
      </w:r>
    </w:p>
    <w:p>
      <w:pPr>
        <w:spacing w:before="100" w:after="160"/>
        <w:pBdr>
          <w:bottom w:val="single" w:sz="10" w:space="1" w:color="1F4E79"/>
        </w:pBdr>
      </w:pPr>
    </w:p>
    <w:p>
      <w:pPr>
        <w:pStyle w:val="Heading1"/>
      </w:pPr>
      <w:r>
        <w:t>Abstract</w:t>
      </w:r>
    </w:p>
    <w:p>
      <w:r>
        <w:rPr>
          <w:rFonts w:ascii="Calibri" w:hAnsi="Calibri"/>
          <w:sz w:val="21"/>
        </w:rPr>
        <w:t>Published data-center cooling LCAs are difficult to transfer across grids and facilities because electricity boundaries, climate methods, useful-computation equivalence, and foreground inventories can differ. This Technology Assessment audits a released Microsoft/WSP comparison and tests which conclusions remain supported after those differences are made explicit. We reconstructed 24 published totals, harmonized nine U.S. EPA eGRID releases to IPCC AR5 GWP100, and calculated 71 non-residual 2023 electricity consumption product systems from the Federal LCA Commons. The source article reports AR5 GWP100, whereas the archived detailed workbook places the two numeric electricity endpoints in GTP100 cells while its corresponding GWP100 cells are blank; comparative use-phase formulas point to those blank F29 cells. Accordingly, cooling totals are retained only as numerical transferability screens. The harmonized national direct-generation factor declined 32.46%, from 517.73 kg CO2e/MWh in 2012 to 349.67 kg CO2e/MWh in 2023. The linked national consumption system yielded 422.93 kg CO2e/MWh, including 53.08 kg CO2e/MWh beyond generation processes; all 10 FERC regions exceeded the 96.70 kg CO2e/MWh numerical cold-plate/single-phase crossover, while 10 of 60 balancing authorities fell below it. The product system nevertheless retained 287 unlinked technosphere inputs, so these are partial linked-system factors, not complete lifecycle benchmarks. Under equal relative bounds, the national first-rank screen failed at a 1.32% all-block half-width; service-equivalence and use-phase thresholds were 2.64% and 2.99%, compared with 22.15% for embodied burden. Thus, an earlier conclusion that embodied variation was dominant was an artifact of assigning it a wider range. The audit supports the national decarbonization trend and identifies the data needed for a valid comparison, but it does not identify a universally preferable cooling architecture.</w:t>
      </w:r>
    </w:p>
    <w:p>
      <w:r>
        <w:rPr>
          <w:rFonts w:ascii="Calibri" w:hAnsi="Calibri"/>
          <w:b/>
          <w:sz w:val="21"/>
        </w:rPr>
        <w:t>Keywords:</w:t>
      </w:r>
      <w:r>
        <w:rPr>
          <w:rFonts w:ascii="Calibri" w:hAnsi="Calibri"/>
          <w:sz w:val="21"/>
        </w:rPr>
        <w:t xml:space="preserve"> data center; life-cycle assessment; technology assessment; lifecycle electricity; functional equivalence; sensitivity analysis; open-source software</w:t>
      </w:r>
    </w:p>
    <w:p>
      <w:pPr>
        <w:pStyle w:val="Heading1"/>
      </w:pPr>
      <w:r>
        <w:t>1. Introduction</w:t>
      </w:r>
    </w:p>
    <w:p>
      <w:pPr>
        <w:pStyle w:val="Heading2"/>
      </w:pPr>
      <w:r>
        <w:t>1.1. Cooling is an energy-system and lifecycle decision</w:t>
      </w:r>
    </w:p>
    <w:p>
      <w:r>
        <w:rPr>
          <w:rFonts w:ascii="Calibri" w:hAnsi="Calibri"/>
          <w:sz w:val="21"/>
        </w:rPr>
        <w:t>Data centers couple rapidly changing computing hardware to long-lived buildings, electrical systems, cooling plants, and regional energy and water systems. Global data-center electricity estimates remain uncertain, but the scale and growth of cloud and artificial-intelligence workloads make energy efficiency and supply decarbonization simultaneous design constraints [1,2]. At the equipment level, increasing processor heat flux and rack density are driving a transition from room air cooling toward rear-door heat exchangers, direct-to-chip cold plates, and single- or two-phase immersion [3-5].</w:t>
      </w:r>
    </w:p>
    <w:p>
      <w:r>
        <w:rPr>
          <w:rFonts w:ascii="Calibri" w:hAnsi="Calibri"/>
          <w:sz w:val="21"/>
        </w:rPr>
        <w:t>These alternatives are not interchangeable heat exchangers. They alter server fans, pumps, coolant distribution units, heat-rejection temperature, fluid inventory, rack or tank construction, packing density, repair procedures, and sometimes achievable clock rate. System experiments have reported materially different coefficient of performance and cost behavior for single- and two-phase immersion over load [6], while recent single-phase tests show that flow direction, coolant viscosity, and water temperature affect chip temperature, thermal resistance, and PUE [7]. Two-phase experiments similarly show that boiling, pressure stability, and condenser performance must be evaluated at server and system levels [8]. A comparison at equal rack count, equal IT electricity, or equal nameplate capacity risks comparing different computational services.</w:t>
      </w:r>
    </w:p>
    <w:p>
      <w:r>
        <w:rPr>
          <w:rFonts w:ascii="Calibri" w:hAnsi="Calibri"/>
          <w:sz w:val="21"/>
        </w:rPr>
        <w:t>PUE remains useful for facility energy management, but it is not a lifecycle functional unit and does not represent hardware production, cooling-fluid loss, replacement, water scarcity, or useful computation. Cooling selection is an energy-system decision with lifecycle consequences, not a single-metric efficiency contest.</w:t>
      </w:r>
    </w:p>
    <w:p>
      <w:pPr>
        <w:pStyle w:val="Heading2"/>
      </w:pPr>
      <w:r>
        <w:t>1.2. What existing data-center LCAs show</w:t>
      </w:r>
    </w:p>
    <w:p>
      <w:r>
        <w:rPr>
          <w:rFonts w:ascii="Calibri" w:hAnsi="Calibri"/>
          <w:sz w:val="21"/>
        </w:rPr>
        <w:t>Early environmental assessments showed that operating electricity dominates many data-center footprints and that PUE alone can transfer burdens outside the measured facility boundary [9]. U.S. studies subsequently linked data centers to spatially varying electricity and water burdens [10,11]. At the product scale, Isler-Kaya and Karaosmanoglu collected manufacturing inventory for a cooling device and evaluated electricity and waste scenarios [12]. Wenzel and Radgen compared energy, material-flow, exergy, and lifecycle assessment methods for a wet cooling tower, illustrating that method choice changes the question answered [13].</w:t>
      </w:r>
    </w:p>
    <w:p>
      <w:r>
        <w:rPr>
          <w:rFonts w:ascii="Calibri" w:hAnsi="Calibri"/>
          <w:sz w:val="21"/>
        </w:rPr>
        <w:t>Alissa et al. published the most detailed public hyperscale comparison of air, cold-plate, single-phase immersion, and two-phase immersion [14]. Their cradle-to-grave model included buildings, support equipment, servers, racks or tanks, cables, cooling fluids, use-phase electricity and water, replacement, and end of life. The use of Vcore-year as the functional unit was a major advance because it allowed packing density and cooling-enabled computation to enter the comparison. The accompanying archive includes normalized contributions, equations, uncertainty material, and a pedigree assessment [15]. It does not, however, disclose every licensed background process, architecture-specific bill of quantities, or a transferable mapping from electricity to workload performance.</w:t>
      </w:r>
    </w:p>
    <w:p>
      <w:r>
        <w:rPr>
          <w:rFonts w:ascii="Calibri" w:hAnsi="Calibri"/>
          <w:sz w:val="21"/>
        </w:rPr>
        <w:t>Recent work has moved closer to architecture- and service-level assessment. d'Orgeval et al. modeled complete data-center configurations and reported performance-normalized results for GPU-based subsets [44]. Wu et al. released and validated a cooling-plant virtual testbed against three months of operating data, with 7.62% mean absolute percentage error for power [45]. These studies provide performance and architecture evidence that a secondary normalized table cannot supply. ITU-T L.1410 likewise treats the functional unit and the rules for comparative ICT analysis as explicit study choices [48].</w:t>
      </w:r>
    </w:p>
    <w:p>
      <w:r>
        <w:rPr>
          <w:rFonts w:ascii="Calibri" w:hAnsi="Calibri"/>
          <w:sz w:val="21"/>
        </w:rPr>
        <w:t>Other LCA work confirms that electricity decarbonization and cooling efficiency are complementary but can shift impacts among categories [16]. Manufacturer and ICT studies also show wide dispersion in embodied server impacts [17,18]. Together, this literature exposes a specific gap: available primary studies do not provide a reusable audit for determining whether a published cooling comparison can be transferred to a different electricity system without changing its method, boundary, or computational service.</w:t>
      </w:r>
    </w:p>
    <w:p>
      <w:pPr>
        <w:pStyle w:val="Heading2"/>
      </w:pPr>
      <w:r>
        <w:t>1.3. Electricity accounting, time, and geography</w:t>
      </w:r>
    </w:p>
    <w:p>
      <w:r>
        <w:rPr>
          <w:rFonts w:ascii="Calibri" w:hAnsi="Calibri"/>
          <w:sz w:val="21"/>
        </w:rPr>
        <w:t>Electricity is not a scalar independent of method. Attributional LCA usually requires a consumption mix with upstream generation, transmission, and other indirect processes, whereas eGRID state total-output rates describe direct emissions from in-state generation. Location-based, market-based, and marginal factors answer different questions. Combining location- and market-based accounting inconsistently can double count renewable attributes [19,20]. Average rates can also fail to represent the effect of workload shifting; Dandres et al. found that average and marginal electricity signals can lead to different real-time data-center decisions [21].</w:t>
      </w:r>
    </w:p>
    <w:p>
      <w:r>
        <w:rPr>
          <w:rFonts w:ascii="Calibri" w:hAnsi="Calibri"/>
          <w:sz w:val="21"/>
        </w:rPr>
        <w:t>Time enters at several levels: cooling performance varies with load and weather; grid composition varies hourly and over years; equipment is replaced at discrete times; and background technologies evolve. Dynamic-LCA reviews distinguish temporal inventory, characterization, and prospective background change [22,23]. Open tools such as Temporalis and, more recently, bw_timex show how temporal information can be propagated through process networks [24-26]. For cooling, hourly operation is necessary but insufficient: the grid method, geography, and upstream boundary must also be aligned. A weather file cannot repair an incompatible electricity inventory.</w:t>
      </w:r>
    </w:p>
    <w:p>
      <w:pPr>
        <w:pStyle w:val="Heading2"/>
      </w:pPr>
      <w:r>
        <w:t>1.4. Data quality, uncertainty, and the decision value of evidence</w:t>
      </w:r>
    </w:p>
    <w:p>
      <w:r>
        <w:rPr>
          <w:rFonts w:ascii="Calibri" w:hAnsi="Calibri"/>
          <w:sz w:val="21"/>
        </w:rPr>
        <w:t>LCA uncertainty arises from parameters, scenarios, model form, allocation, system boundary, and incomplete knowledge. Monte Carlo propagation is useful when distributions and correlations are supportable; it becomes misleading when arbitrary ranges are presented as confidence. Correlation can materially change propagated uncertainty and cannot be inferred from marginal ranges alone [46]. Reviews recommend separating variability from uncertainty and using sensitivity analysis to identify influential assumptions [27]. Pedigree matrices can communicate reliability, temporal, geographic, and technological representativeness, but the conversion from qualitative scores to uncertainty is itself a modeling choice [28,29].</w:t>
      </w:r>
    </w:p>
    <w:p>
      <w:r>
        <w:rPr>
          <w:rFonts w:ascii="Calibri" w:hAnsi="Calibri"/>
          <w:sz w:val="21"/>
        </w:rPr>
        <w:t>Data-quality assessment is not a decorative appendix. EPA guidance emphasizes reproducible documentation at flow and process levels [29]. Decision analysis goes further: value-of-information methods prioritize data whose resolution is expected to change a decision, rather than simply improving every weak input [30]. This distinction is important for electronics-cooling laboratories. A parameter may have poor pedigree but negligible decision leverage; a seemingly precise PUE difference may be decisive if two lifecycle alternatives are nearly tied.</w:t>
      </w:r>
    </w:p>
    <w:p>
      <w:r>
        <w:rPr>
          <w:rFonts w:ascii="Calibri" w:hAnsi="Calibri"/>
          <w:sz w:val="21"/>
        </w:rPr>
        <w:t>The review standard also depends on the claim. ISO 14040 and ISO 14044 define the LCA framework and requirements, whereas ISO 14071:2024 specifies critical review processes and reviewer competencies, with particular relevance to comparative assertions intended for public disclosure [31,32]. Code tests, data checks, and coauthor review can strengthen traceability, but none is a substitute for an independent critical review.</w:t>
      </w:r>
    </w:p>
    <w:p>
      <w:pPr>
        <w:pStyle w:val="Heading2"/>
      </w:pPr>
      <w:r>
        <w:t>1.5. Research gap and contribution</w:t>
      </w:r>
    </w:p>
    <w:p>
      <w:r>
        <w:rPr>
          <w:rFonts w:ascii="Calibri" w:hAnsi="Calibri"/>
          <w:sz w:val="21"/>
        </w:rPr>
        <w:t>General engines such as openLCA and Brightway calculate process networks, exchange inventories, and apply LCIA methods [33,34]. They do not determine whether cooling alternatives deliver equivalent computation, whether a performance map covers the operating domain, whether a grid substitution preserves the original electricity boundary, or whether secondary screening results support a public comparative assertion. Conversely, cooling-plant models can validate operational power without closing lifecycle inventories or comparative-review requirements [45].</w:t>
      </w:r>
    </w:p>
    <w:p>
      <w:r>
        <w:rPr>
          <w:rFonts w:ascii="Calibri" w:hAnsi="Calibri"/>
          <w:sz w:val="21"/>
        </w:rPr>
        <w:t>Four gaps remain at the intersection of cooling engineering and LCA:</w:t>
      </w:r>
    </w:p>
    <w:p>
      <w:pPr>
        <w:spacing w:after="60"/>
        <w:ind w:left="374" w:hanging="288"/>
      </w:pPr>
      <w:r>
        <w:rPr>
          <w:rFonts w:ascii="Calibri" w:hAnsi="Calibri"/>
          <w:sz w:val="21"/>
        </w:rPr>
        <w:t>1. published normalized totals cannot be transparently updated when foreground</w:t>
      </w:r>
    </w:p>
    <w:p>
      <w:r>
        <w:rPr>
          <w:rFonts w:ascii="Calibri" w:hAnsi="Calibri"/>
          <w:sz w:val="21"/>
        </w:rPr>
        <w:t>quantities and licensed process mappings are incomplete;</w:t>
      </w:r>
    </w:p>
    <w:p>
      <w:pPr>
        <w:spacing w:after="60"/>
        <w:ind w:left="374" w:hanging="288"/>
      </w:pPr>
      <w:r>
        <w:rPr>
          <w:rFonts w:ascii="Calibri" w:hAnsi="Calibri"/>
          <w:sz w:val="21"/>
        </w:rPr>
        <w:t>2. common-unit electricity factors can retain incompatible characterization</w:t>
      </w:r>
    </w:p>
    <w:p>
      <w:r>
        <w:rPr>
          <w:rFonts w:ascii="Calibri" w:hAnsi="Calibri"/>
          <w:sz w:val="21"/>
        </w:rPr>
        <w:t>methods and system boundaries;</w:t>
      </w:r>
    </w:p>
    <w:p>
      <w:pPr>
        <w:spacing w:after="60"/>
        <w:ind w:left="374" w:hanging="288"/>
      </w:pPr>
      <w:r>
        <w:rPr>
          <w:rFonts w:ascii="Calibri" w:hAnsi="Calibri"/>
          <w:sz w:val="21"/>
        </w:rPr>
        <w:t>3. qualitative data-quality scores do not directly show which measurement</w:t>
      </w:r>
    </w:p>
    <w:p>
      <w:r>
        <w:rPr>
          <w:rFonts w:ascii="Calibri" w:hAnsi="Calibri"/>
          <w:sz w:val="21"/>
        </w:rPr>
        <w:t>could change the technology decision; and</w:t>
      </w:r>
    </w:p>
    <w:p>
      <w:pPr>
        <w:spacing w:after="60"/>
        <w:ind w:left="374" w:hanging="288"/>
      </w:pPr>
      <w:r>
        <w:rPr>
          <w:rFonts w:ascii="Calibri" w:hAnsi="Calibri"/>
          <w:sz w:val="21"/>
        </w:rPr>
        <w:t>4. software often produces a number without preserving whether it is</w:t>
      </w:r>
    </w:p>
    <w:p>
      <w:r>
        <w:rPr>
          <w:rFonts w:ascii="Calibri" w:hAnsi="Calibri"/>
          <w:sz w:val="21"/>
        </w:rPr>
        <w:t>reconstructed, screened, empirically supported, or suitable for a comparative claim.</w:t>
      </w:r>
    </w:p>
    <w:p>
      <w:r>
        <w:rPr>
          <w:rFonts w:ascii="Calibri" w:hAnsi="Calibri"/>
          <w:sz w:val="21"/>
        </w:rPr>
        <w:t>This study is a Technology Assessment of the transferability of the released Microsoft/WSP case. Its contributions are:</w:t>
      </w:r>
    </w:p>
    <w:p>
      <w:pPr>
        <w:spacing w:after="60"/>
        <w:ind w:left="374" w:hanging="288"/>
      </w:pPr>
      <w:r>
        <w:rPr>
          <w:rFonts w:ascii="Calibri" w:hAnsi="Calibri"/>
          <w:sz w:val="21"/>
        </w:rPr>
        <w:t>1. an exact reconstruction of 24 released totals and a cell-level audit that</w:t>
      </w:r>
    </w:p>
    <w:p>
      <w:r>
        <w:rPr>
          <w:rFonts w:ascii="Calibri" w:hAnsi="Calibri"/>
          <w:sz w:val="21"/>
        </w:rPr>
        <w:t>identifies an unresolved GTP100/GWP100 inconsistency in the public archive;</w:t>
      </w:r>
    </w:p>
    <w:p>
      <w:pPr>
        <w:spacing w:after="60"/>
        <w:ind w:left="374" w:hanging="288"/>
      </w:pPr>
      <w:r>
        <w:rPr>
          <w:rFonts w:ascii="Calibri" w:hAnsi="Calibri"/>
          <w:sz w:val="21"/>
        </w:rPr>
        <w:t>2. a common-basis reconstruction of nine eGRID releases from gas-specific</w:t>
      </w:r>
    </w:p>
    <w:p>
      <w:r>
        <w:rPr>
          <w:rFonts w:ascii="Calibri" w:hAnsi="Calibri"/>
          <w:sz w:val="21"/>
        </w:rPr>
        <w:t>emissions;</w:t>
      </w:r>
    </w:p>
    <w:p>
      <w:pPr>
        <w:spacing w:after="60"/>
        <w:ind w:left="374" w:hanging="288"/>
      </w:pPr>
      <w:r>
        <w:rPr>
          <w:rFonts w:ascii="Calibri" w:hAnsi="Calibri"/>
          <w:sz w:val="21"/>
        </w:rPr>
        <w:t>3. a linked openLCA JSON-LD calculation of 71 Federal LCA Commons 2023</w:t>
      </w:r>
    </w:p>
    <w:p>
      <w:r>
        <w:rPr>
          <w:rFonts w:ascii="Calibri" w:hAnsi="Calibri"/>
          <w:sz w:val="21"/>
        </w:rPr>
        <w:t>consumption systems, with process links, numerical residuals, and unlinked technosphere cutoffs reported rather than hidden;</w:t>
      </w:r>
    </w:p>
    <w:p>
      <w:pPr>
        <w:spacing w:after="60"/>
        <w:ind w:left="374" w:hanging="288"/>
      </w:pPr>
      <w:r>
        <w:rPr>
          <w:rFonts w:ascii="Calibri" w:hAnsi="Calibri"/>
          <w:sz w:val="21"/>
        </w:rPr>
        <w:t>4. exact, equal-width, deterministic rank-robustness certificates that</w:t>
      </w:r>
    </w:p>
    <w:p>
      <w:r>
        <w:rPr>
          <w:rFonts w:ascii="Calibri" w:hAnsi="Calibri"/>
          <w:sz w:val="21"/>
        </w:rPr>
        <w:t>distinguish the effects of grid, use phase, embodied burden, and service equivalence without assigning unsupported probabilities; and</w:t>
      </w:r>
    </w:p>
    <w:p>
      <w:pPr>
        <w:spacing w:after="60"/>
        <w:ind w:left="374" w:hanging="288"/>
      </w:pPr>
      <w:r>
        <w:rPr>
          <w:rFonts w:ascii="Calibri" w:hAnsi="Calibri"/>
          <w:sz w:val="21"/>
        </w:rPr>
        <w:t>5. an open comparison validator that blocks incompatible functional units,</w:t>
      </w:r>
    </w:p>
    <w:p>
      <w:r>
        <w:rPr>
          <w:rFonts w:ascii="Calibri" w:hAnsi="Calibri"/>
          <w:sz w:val="21"/>
        </w:rPr>
        <w:t>boundaries, electricity accounting, LCIA methods, or missing field-level lineage, while stating that metadata checks are not physical validation.</w:t>
      </w:r>
    </w:p>
    <w:p>
      <w:r>
        <w:rPr>
          <w:rFonts w:ascii="Calibri" w:hAnsi="Calibri"/>
          <w:sz w:val="21"/>
        </w:rPr>
        <w:t>The aim is not to reconstruct licensed background inventories or declare a winning cooling technology. It is to determine which claims survive a transferability audit and which require primary measurement, complete inventories, or external critical review.</w:t>
      </w:r>
    </w:p>
    <w:p>
      <w:pPr>
        <w:pStyle w:val="Heading1"/>
      </w:pPr>
      <w:r>
        <w:t>2. Framework and methods</w:t>
      </w:r>
    </w:p>
    <w:p>
      <w:pPr>
        <w:pStyle w:val="Heading2"/>
      </w:pPr>
      <w:r>
        <w:t>2.1. Evidence-to-decision architecture</w:t>
      </w:r>
    </w:p>
    <w:p>
      <w:r>
        <w:rPr>
          <w:rFonts w:ascii="Calibri" w:hAnsi="Calibri"/>
          <w:sz w:val="21"/>
        </w:rPr>
        <w:t>Figure 1 shows the OpenDC-LCA workflow. The repository records source-family metadata and a per-file path, byte count, and SHA-256 checksum. Dataset-specific tables retain the worksheet, field, unit, boundary, and numerical role used in each analysis. This is file-level integrity plus family-level provenance, not a complete flow-level data-lineage graph. The harmonization stage then asks, in order: are the alternatives functionally equivalent; are the units, characterization methods, time, and geography aligned; is the required transformation interpolation or extrapolation; and are uncertainty, correlation, and review status adequate for the proposed claim? The result is classified as reconstructed, screening-transformed, registered/unlinked, or supported by primary decision-grade evidence.</w:t>
      </w:r>
    </w:p>
    <w:p>
      <w:pPr>
        <w:keepNext/>
        <w:spacing w:before="120" w:after="40"/>
        <w:jc w:val="center"/>
      </w:pPr>
      <w:r>
        <w:drawing>
          <wp:inline xmlns:a="http://schemas.openxmlformats.org/drawingml/2006/main" xmlns:pic="http://schemas.openxmlformats.org/drawingml/2006/picture">
            <wp:extent cx="5897880" cy="3538728"/>
            <wp:docPr id="1" name="Picture 1" descr="Figure 1. OpenDC-LCA evidence-to-decision architecture. Inputs are assigned a numerical role before calculation. The harmonization spine makes functional equivalence, method alignment, extrapolation, uncertainty, and claim status explicit. Outputs combine the numerical result with its evidence class and next-data requirement." title="OpenDC-LCA Figure 1"/>
            <wp:cNvGraphicFramePr>
              <a:graphicFrameLocks noChangeAspect="1"/>
            </wp:cNvGraphicFramePr>
            <a:graphic>
              <a:graphicData uri="http://schemas.openxmlformats.org/drawingml/2006/picture">
                <pic:pic>
                  <pic:nvPicPr>
                    <pic:cNvPr id="0" name="figure0_opendc_lca_workflow.png"/>
                    <pic:cNvPicPr/>
                  </pic:nvPicPr>
                  <pic:blipFill>
                    <a:blip r:embed="rId11"/>
                    <a:stretch>
                      <a:fillRect/>
                    </a:stretch>
                  </pic:blipFill>
                  <pic:spPr>
                    <a:xfrm>
                      <a:off x="0" y="0"/>
                      <a:ext cx="5897880" cy="3538728"/>
                    </a:xfrm>
                    <a:prstGeom prst="rect"/>
                  </pic:spPr>
                </pic:pic>
              </a:graphicData>
            </a:graphic>
          </wp:inline>
        </w:drawing>
      </w:r>
    </w:p>
    <w:p>
      <w:pPr>
        <w:pStyle w:val="Caption"/>
      </w:pPr>
      <w:r>
        <w:rPr>
          <w:rFonts w:ascii="Calibri" w:hAnsi="Calibri"/>
          <w:sz w:val="18"/>
        </w:rPr>
        <w:t>Figure 1. OpenDC-LCA evidence-to-decision architecture. Inputs are assigned a numerical role before calculation. The harmonization spine makes functional equivalence, method alignment, extrapolation, uncertainty, and claim status explicit. Outputs combine the numerical result with its evidence class and next-data requirement.</w:t>
      </w:r>
    </w:p>
    <w:p>
      <w:r>
        <w:rPr>
          <w:rFonts w:ascii="Calibri" w:hAnsi="Calibri"/>
          <w:sz w:val="21"/>
        </w:rPr>
        <w:t>OpenDC-LCA is implemented in Python 3.10 or later and distributed under the MIT License [35]. The development branch evaluated here extends version 1.1.0 and provides a command-line interface, Python API, local browser GUI, scenario and performance-map schemas, reliability and replacement models, openLCA JSON-LD and Brightway mappings, evidence audits, and human- and machine-readable reports. Its comparison validator checks cross-scenario metadata and field-level source mappings before calculating a comparison. It cannot verify whether a declared source, uncertainty model, or review status is true. All interfaces call the same calculation engine.</w:t>
      </w:r>
    </w:p>
    <w:p>
      <w:pPr>
        <w:pStyle w:val="Heading2"/>
      </w:pPr>
      <w:r>
        <w:t>2.2. Goal, functional units, and system boundaries</w:t>
      </w:r>
    </w:p>
    <w:p>
      <w:r>
        <w:rPr>
          <w:rFonts w:ascii="Calibri" w:hAnsi="Calibri"/>
          <w:sz w:val="21"/>
        </w:rPr>
        <w:t>The practitioner package defaults to one MWh delivered to IT equipment (</w:t>
      </w:r>
      <w:r>
        <w:rPr>
          <w:rFonts w:ascii="Courier New" w:hAnsi="Courier New"/>
          <w:color w:val="17324D"/>
          <w:sz w:val="20"/>
        </w:rPr>
        <w:t>it_mwh</w:t>
      </w:r>
      <w:r>
        <w:rPr>
          <w:rFonts w:ascii="Calibri" w:hAnsi="Calibri"/>
          <w:sz w:val="21"/>
        </w:rPr>
        <w:t>) for operational screening. That unit is valid for comparison only when alternatives provide equivalent computational output, utilization, quality of service, reliability, and hardware life. The Microsoft/WSP secondary analysis remains in its released functional unit of one Vcore-year. No conversion between IT MWh and Vcore-year was made because the public archive does not provide a workload-independent mapping between them.</w:t>
      </w:r>
    </w:p>
    <w:p>
      <w:r>
        <w:rPr>
          <w:rFonts w:ascii="Calibri" w:hAnsi="Calibri"/>
          <w:sz w:val="21"/>
        </w:rPr>
        <w:t>The package supports a cooling-system cradle-to-grave boundary and a broader facility cradle-to-grave boundary. The former includes cooling and heat-rejection equipment, fluids, represented maintenance and replacement, operation, and end of life. The latter can also include building, electrical, and IT assets. Common systems may be excluded only when their quantity, performance, lifetime, and end-of-life treatment are unchanged. Onsite water and electricity-supply-chain water are reported separately; location- and market-based electricity are not merged.</w:t>
      </w:r>
    </w:p>
    <w:p>
      <w:pPr>
        <w:pStyle w:val="Heading2"/>
      </w:pPr>
      <w:r>
        <w:t>2.3. Dataset roles and inclusion logic</w:t>
      </w:r>
    </w:p>
    <w:p>
      <w:r>
        <w:rPr>
          <w:rFonts w:ascii="Calibri" w:hAnsi="Calibri"/>
          <w:sz w:val="21"/>
        </w:rPr>
        <w:t>Table 1 states how each downloaded source enters this study. This is an important methodological control: being readable by the software does not make a dataset compatible with the case model.</w:t>
      </w:r>
    </w:p>
    <w:p>
      <w:pPr>
        <w:pStyle w:val="Caption"/>
        <w:keepNext/>
      </w:pPr>
      <w:r>
        <w:rPr>
          <w:rFonts w:ascii="Calibri" w:hAnsi="Calibri"/>
          <w:sz w:val="18"/>
        </w:rPr>
        <w:t>Table 1. Numerical role and boundary assigned to downloaded evidence.</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Source and evidence used</w:t>
            </w:r>
          </w:p>
        </w:tc>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Numerical role in this paper</w:t>
            </w:r>
          </w:p>
        </w:tc>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Boundary or transfer limit</w:t>
            </w:r>
          </w:p>
        </w:tc>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Claim class</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Microsoft/WSP archive: 24 totals, component tables, 2 electricity anchors, pedigree records [14,15]</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Arithmetic reconstruction, foreground contribution model, crossover and stress analyses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Licensed background inventories and complete bills of quantities are not public</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Released/reconstructed</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EPA eGRID: 459 state/DC-year rows and 9 U.S. aggregates [36,37]</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Common-basis generation-rate scenarios and historical trend</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Direct generation rates are not consumption-based lifecycle electricity inventories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Screening transformation</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Federal LCA Commons U.S. Electricity Baseline 2023 and IPCC GWP method [47]</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Linked consumption-system factors for 60 balancing authorities, 10 FERC regions, and the United States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Unlinked technosphere inputs remain zero-burden cutoffs; not harmonized with the released cooling foreground</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Partial linked-system screen</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Boavizta: 48 server PCF records [38]</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Server-manufacturing dispersion and common-scaling stress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Products, configurations, PCRs, lifetimes, and performance are heterogeneous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Secondary cross-product evidence</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ÖKOBAUDAT: 6 selected A1-A3 processes [39]</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Matched steel- and cement-route procurement levers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German generic factors require architecture-specific bills of quantities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Secondary process evidence</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NOAA TMY: 8,760 Fayetteville weather rows [40]</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Performance-map and hourly-integration software test</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No measured four-architecture cooling surface is available</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Illustrative only</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USLCI and 7 GLAD hydrogen archives [41,42]</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Exchange and interoperability tests</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Product-system links, allocation, providers, and LCIA methods are unresolved</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Registered/unlinked</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USGS watershed boundary: HU12 geometry [43]</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Spatial data contract test</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Geometry is not withdrawal, consumption, or water-scarcity characterization</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Registered/unlinked</w:t>
            </w:r>
          </w:p>
        </w:tc>
      </w:tr>
    </w:tbl>
    <w:p>
      <w:pPr>
        <w:spacing w:after="40"/>
      </w:pPr>
    </w:p>
    <w:p>
      <w:r>
        <w:rPr>
          <w:rFonts w:ascii="Calibri" w:hAnsi="Calibri"/>
          <w:sz w:val="21"/>
        </w:rPr>
        <w:t>Provider-native raw files remain outside the public repository when redistribution permission is unclear or large upstream archives have not been reviewed for redistribution. Derived tables retain filenames, worksheets, fields, units, and checksums.</w:t>
      </w:r>
    </w:p>
    <w:p>
      <w:pPr>
        <w:pStyle w:val="Heading2"/>
      </w:pPr>
      <w:r>
        <w:t>2.4. Static energy, equipment, fluid, and replacement calculations</w:t>
      </w:r>
    </w:p>
    <w:p>
      <w:r>
        <w:rPr>
          <w:rFonts w:ascii="Calibri" w:hAnsi="Calibri"/>
          <w:sz w:val="21"/>
        </w:rPr>
        <w:t>For IT capacity P_IT, utilization u, and one year, annual IT electricity is</w:t>
      </w:r>
    </w:p>
    <w:p>
      <w:pPr>
        <w:keepLines/>
        <w:spacing w:before="80" w:after="140"/>
        <w:jc w:val="center"/>
      </w:pPr>
      <w:r>
        <w:rPr>
          <w:rFonts w:ascii="Cambria Math" w:hAnsi="Cambria Math"/>
          <w:i/>
          <w:color w:val="17324D"/>
          <w:sz w:val="21"/>
        </w:rPr>
        <w:t>E_IT = P_IT u (8760)                                                     (1)</w:t>
      </w:r>
    </w:p>
    <w:p>
      <w:r>
        <w:rPr>
          <w:rFonts w:ascii="Calibri" w:hAnsi="Calibri"/>
          <w:sz w:val="21"/>
        </w:rPr>
        <w:t>Facility electricity is</w:t>
      </w:r>
    </w:p>
    <w:p>
      <w:pPr>
        <w:keepLines/>
        <w:spacing w:before="80" w:after="140"/>
        <w:jc w:val="center"/>
      </w:pPr>
      <w:r>
        <w:rPr>
          <w:rFonts w:ascii="Cambria Math" w:hAnsi="Cambria Math"/>
          <w:i/>
          <w:color w:val="17324D"/>
          <w:sz w:val="21"/>
        </w:rPr>
        <w:t>E_facility = E_IT PUE                                                   (2)</w:t>
      </w:r>
    </w:p>
    <w:p>
      <w:r>
        <w:rPr>
          <w:rFonts w:ascii="Calibri" w:hAnsi="Calibri"/>
          <w:sz w:val="21"/>
        </w:rPr>
        <w:t>For operational impact factor EF_k, the operational impact per delivered IT electricity is</w:t>
      </w:r>
    </w:p>
    <w:p>
      <w:pPr>
        <w:keepLines/>
        <w:spacing w:before="80" w:after="140"/>
        <w:jc w:val="center"/>
      </w:pPr>
      <w:r>
        <w:rPr>
          <w:rFonts w:ascii="Cambria Math" w:hAnsi="Cambria Math"/>
          <w:i/>
          <w:color w:val="17324D"/>
          <w:sz w:val="21"/>
        </w:rPr>
        <w:t>I_k,op = EF_k PUE                                                       (3)</w:t>
      </w:r>
    </w:p>
    <w:p>
      <w:r>
        <w:rPr>
          <w:rFonts w:ascii="Calibri" w:hAnsi="Calibri"/>
          <w:sz w:val="21"/>
        </w:rPr>
        <w:t>Equipment production and end-of-life burdens are annualized with discrete replacement:</w:t>
      </w:r>
    </w:p>
    <w:p>
      <w:pPr>
        <w:keepLines/>
        <w:spacing w:before="80" w:after="140"/>
        <w:jc w:val="center"/>
      </w:pPr>
      <w:r>
        <w:rPr>
          <w:rFonts w:ascii="Cambria Math" w:hAnsi="Cambria Math"/>
          <w:i/>
          <w:color w:val="17324D"/>
          <w:sz w:val="21"/>
        </w:rPr>
        <w:t>I_k,eq = Σ_i q_i ceil(L_s/L_i) (I_k,i^prod + I_k,i^EOL) / L_s          (4)</w:t>
      </w:r>
    </w:p>
    <w:p>
      <w:r>
        <w:rPr>
          <w:rFonts w:ascii="Calibri" w:hAnsi="Calibri"/>
          <w:sz w:val="21"/>
        </w:rPr>
        <w:t>where q_i is quantity, L_s the study period, and L_i service life. The package also supports a linear screening option. For initial fluid mass m_0, facility life L_f, annual loss m_loss, production factor I_k^prod, end-of-life factor I_k^EOL, and direct global-warming factor GWP_direct,</w:t>
      </w:r>
    </w:p>
    <w:p>
      <w:pPr>
        <w:keepLines/>
        <w:spacing w:before="80" w:after="140"/>
        <w:jc w:val="center"/>
      </w:pPr>
      <w:r>
        <w:rPr>
          <w:rFonts w:ascii="Cambria Math" w:hAnsi="Cambria Math"/>
          <w:i/>
          <w:color w:val="17324D"/>
          <w:sz w:val="21"/>
        </w:rPr>
        <w:t>m_prod,annual = m_0 / L_f + m_loss                                      (5)</w:t>
      </w:r>
    </w:p>
    <w:p>
      <w:pPr>
        <w:keepLines/>
        <w:spacing w:before="80" w:after="140"/>
        <w:jc w:val="center"/>
      </w:pPr>
      <w:r>
        <w:rPr>
          <w:rFonts w:ascii="Cambria Math" w:hAnsi="Cambria Math"/>
          <w:i/>
          <w:color w:val="17324D"/>
          <w:sz w:val="21"/>
        </w:rPr>
        <w:t>I_k,fluid = m_prod,annual I_k^prod + (m_0/L_f) I_k^EOL;  GHG_direct = m_loss GWP_direct   (6)</w:t>
      </w:r>
    </w:p>
    <w:p>
      <w:r>
        <w:rPr>
          <w:rFonts w:ascii="Calibri" w:hAnsi="Calibri"/>
          <w:sz w:val="21"/>
        </w:rPr>
        <w:t>The model assumes that annual losses are replaced, so the charge remains m_0, and that the full remaining charge is treated at facility end of life. Annual purchases and outputs balance as m_0/L_f+m_loss. These equations are part of the software engine. The secondary Microsoft/WSP analysis uses the normalized component values released by the authors rather than inventing missing quantities.</w:t>
      </w:r>
    </w:p>
    <w:p>
      <w:pPr>
        <w:pStyle w:val="Heading2"/>
      </w:pPr>
      <w:r>
        <w:t>2.5. Released-model reconstruction and electricity-intensity index</w:t>
      </w:r>
    </w:p>
    <w:p>
      <w:r>
        <w:rPr>
          <w:rFonts w:ascii="Calibri" w:hAnsi="Calibri"/>
          <w:sz w:val="21"/>
        </w:rPr>
        <w:t xml:space="preserve">For each of four cooling architectures, two electricity cases, and three impact metrics, the released total was recomputed from the seven aggregate categories in the Nature supplementary workbook </w:t>
      </w:r>
      <w:r>
        <w:rPr>
          <w:rFonts w:ascii="Courier New" w:hAnsi="Courier New"/>
          <w:color w:val="17324D"/>
          <w:sz w:val="20"/>
        </w:rPr>
        <w:t>Figure4</w:t>
      </w:r>
      <w:r>
        <w:rPr>
          <w:rFonts w:ascii="Calibri" w:hAnsi="Calibri"/>
          <w:sz w:val="21"/>
        </w:rPr>
        <w:t xml:space="preserve"> sheet: use phase, building, server, rack/tank, cable, supporting equipment, and fluid impacts. This 24-cell test is an arithmetic-consistency audit. It does not validate confidential quantities, licensed LCA for Experts or ecoinvent processes, allocation, performance, or field operation.</w:t>
      </w:r>
    </w:p>
    <w:p>
      <w:r>
        <w:rPr>
          <w:rFonts w:ascii="Calibri" w:hAnsi="Calibri"/>
          <w:sz w:val="21"/>
        </w:rPr>
        <w:t xml:space="preserve">The public files do not establish one unambiguous climate-method identity for the electricity endpoints. The article reports IPCC AR5 GWP100 [14]. In the archived detailed workbook, the numeric values 524.893 and 6.133 kg CO2e/MWh appear in cells F26 labeled “IPCC AR5 GTP100,” while the GWP100 cells F29 are blank. Direct worksheet-XML inspection further shows that </w:t>
      </w:r>
      <w:r>
        <w:rPr>
          <w:rFonts w:ascii="Courier New" w:hAnsi="Courier New"/>
          <w:color w:val="17324D"/>
          <w:sz w:val="20"/>
        </w:rPr>
        <w:t>Comparative results 0% RE!D118</w:t>
      </w:r>
      <w:r>
        <w:rPr>
          <w:rFonts w:ascii="Calibri" w:hAnsi="Calibri"/>
          <w:sz w:val="21"/>
        </w:rPr>
        <w:t xml:space="preserve"> and </w:t>
      </w:r>
      <w:r>
        <w:rPr>
          <w:rFonts w:ascii="Courier New" w:hAnsi="Courier New"/>
          <w:color w:val="17324D"/>
          <w:sz w:val="20"/>
        </w:rPr>
        <w:t>Comparative results 100% RE!D122</w:t>
      </w:r>
      <w:r>
        <w:rPr>
          <w:rFonts w:ascii="Calibri" w:hAnsi="Calibri"/>
          <w:sz w:val="21"/>
        </w:rPr>
        <w:t xml:space="preserve"> reference the blank F29 cells for conventional and renewable electricity. We treat the two numbers as label-free numerical anchors, not verified GWP100 or GTP100 factors, and define an intensity-position index</w:t>
      </w:r>
    </w:p>
    <w:p>
      <w:pPr>
        <w:keepLines/>
        <w:spacing w:before="80" w:after="140"/>
        <w:jc w:val="center"/>
      </w:pPr>
      <w:r>
        <w:rPr>
          <w:rFonts w:ascii="Cambria Math" w:hAnsi="Cambria Math"/>
          <w:i/>
          <w:color w:val="17324D"/>
          <w:sz w:val="21"/>
        </w:rPr>
        <w:t>z_s = (g_s - g_R) / (g_G - g_R)                                        (7)</w:t>
      </w:r>
    </w:p>
    <w:p>
      <w:r>
        <w:rPr>
          <w:rFonts w:ascii="Calibri" w:hAnsi="Calibri"/>
          <w:sz w:val="21"/>
        </w:rPr>
        <w:t>where g_G and g_R are the released GaBi electricity anchors and g_s is an external screening rate. The released impact for technology j is then transferred as</w:t>
      </w:r>
    </w:p>
    <w:p>
      <w:pPr>
        <w:keepLines/>
        <w:spacing w:before="80" w:after="140"/>
        <w:jc w:val="center"/>
      </w:pPr>
      <w:r>
        <w:rPr>
          <w:rFonts w:ascii="Cambria Math" w:hAnsi="Cambria Math"/>
          <w:i/>
          <w:color w:val="17324D"/>
          <w:sz w:val="21"/>
        </w:rPr>
        <w:t>I_j,s = I_j,R + (I_j,G - I_j,R) z_s                                    (8)</w:t>
      </w:r>
    </w:p>
    <w:p>
      <w:r>
        <w:rPr>
          <w:rFonts w:ascii="Calibri" w:hAnsi="Calibri"/>
          <w:sz w:val="21"/>
        </w:rPr>
        <w:t xml:space="preserve">Equations (7)-(8) reproduce both numerical endpoints exactly. They are not a background-process substitution. Common units do not resolve the endpoint method identity or the upstream-boundary mismatch with eGRID. In this study, g_s is a screening index and every extrapolation is counted. The slope of each use-phase line has units of MWh/Vcore-year and is reported as an </w:t>
      </w:r>
      <w:r>
        <w:rPr>
          <w:rFonts w:ascii="Calibri" w:hAnsi="Calibri"/>
          <w:i/>
          <w:sz w:val="21"/>
        </w:rPr>
        <w:t>implied electricity-response coefficient</w:t>
      </w:r>
      <w:r>
        <w:rPr>
          <w:rFonts w:ascii="Calibri" w:hAnsi="Calibri"/>
          <w:sz w:val="21"/>
        </w:rPr>
        <w:t>. It is not a measured energy demand because the two endpoint methods are unresolved.</w:t>
      </w:r>
    </w:p>
    <w:p>
      <w:r>
        <w:rPr>
          <w:rFonts w:ascii="Calibri" w:hAnsi="Calibri"/>
          <w:sz w:val="21"/>
        </w:rPr>
        <w:t>The crossover of technologies a and b follows from equality in Eq. (8):</w:t>
      </w:r>
    </w:p>
    <w:p>
      <w:pPr>
        <w:keepLines/>
        <w:spacing w:before="80" w:after="140"/>
        <w:jc w:val="center"/>
      </w:pPr>
      <w:r>
        <w:rPr>
          <w:rFonts w:ascii="Cambria Math" w:hAnsi="Cambria Math"/>
          <w:i/>
          <w:color w:val="17324D"/>
          <w:sz w:val="21"/>
        </w:rPr>
        <w:t>g* = g_R + (g_G-g_R)(I_b,R-I_a,R)/[(I_a,G-I_a,R)-(I_b,G-I_b,R)]        (9)</w:t>
      </w:r>
    </w:p>
    <w:p>
      <w:pPr>
        <w:pStyle w:val="Heading2"/>
      </w:pPr>
      <w:r>
        <w:t>2.6. Common-basis eGRID reconstruction</w:t>
      </w:r>
    </w:p>
    <w:p>
      <w:r>
        <w:rPr>
          <w:rFonts w:ascii="Calibri" w:hAnsi="Calibri"/>
          <w:sz w:val="21"/>
        </w:rPr>
        <w:t>EPA changed the GWP values used by eGRID: releases before 2018 used IPCC SAR, 2018-2022 used AR4, and 2023 used AR5 without climate-carbon feedback [36,37]. To remove this avoidable discontinuity, every state and U.S. factor was reconstructed from net generation and gas-specific annual emissions:</w:t>
      </w:r>
    </w:p>
    <w:p>
      <w:pPr>
        <w:keepLines/>
        <w:spacing w:before="80" w:after="140"/>
        <w:jc w:val="center"/>
      </w:pPr>
      <w:r>
        <w:rPr>
          <w:rFonts w:ascii="Cambria Math" w:hAnsi="Cambria Math"/>
          <w:i/>
          <w:color w:val="17324D"/>
          <w:sz w:val="21"/>
        </w:rPr>
        <w:t>g_y^AR5 = [2000 M_CO2 + 28 M_CH4 + 265 M_N2O] 0.45359237 / E_y       (10)</w:t>
      </w:r>
    </w:p>
    <w:p>
      <w:r>
        <w:rPr>
          <w:rFonts w:ascii="Calibri" w:hAnsi="Calibri"/>
          <w:sz w:val="21"/>
        </w:rPr>
        <w:t>where CO2 is reported in short tons, CH4 and N2O in pounds, E_y in MWh, and the final factor converts pounds to kilograms. The provider-published CO2e rate was retained as a comparison. The provider U.S. aggregate, rather than the 50-state-plus-DC reconstruction, was used for national results. Puerto Rico was excluded from the state/DC panel; the resulting scope coverage was reported for each year.</w:t>
      </w:r>
    </w:p>
    <w:p>
      <w:r>
        <w:rPr>
          <w:rFonts w:ascii="Calibri" w:hAnsi="Calibri"/>
          <w:sz w:val="21"/>
        </w:rPr>
        <w:t>The eGRID factors describe in-state generation. They are not consumption mixes, marginal rates, hourly signals, contractual procurement, or LCIs with upstream fuel and infrastructure. No state-specific LCA is claimed.</w:t>
      </w:r>
    </w:p>
    <w:p>
      <w:pPr>
        <w:pStyle w:val="Heading2"/>
      </w:pPr>
      <w:r>
        <w:t>2.7. Federal LCA Commons consumption-system calculation</w:t>
      </w:r>
    </w:p>
    <w:p>
      <w:r>
        <w:rPr>
          <w:rFonts w:ascii="Calibri" w:hAnsi="Calibri"/>
          <w:sz w:val="21"/>
        </w:rPr>
        <w:t>The 2023 U.S. Electricity Baseline was downloaded from the Federal LCA Commons as openLCA 2 JSON-LD together with the repository's IPCC GWP method [47]. The inventory contains 947 processes and 142 product systems generated with ElectricityLCI 3.0.0. We retained 71 non-residual, at-user consumption systems: 60 balancing authorities, 10 FERC regions, and the national mix. The matched residual-consumption systems were calculated separately as a market-based accounting sensitivity and were never pooled with the ordinary consumption systems.</w:t>
      </w:r>
    </w:p>
    <w:p>
      <w:r>
        <w:rPr>
          <w:rFonts w:ascii="Calibri" w:hAnsi="Calibri"/>
          <w:sz w:val="21"/>
        </w:rPr>
        <w:t xml:space="preserve">For each product system, process links defined the technosphere coefficients. Activities were solved by fixed-point iteration for the declared target of 1 MWh at user; all exchange and target units were converted through the JSON-LD unit groups. Elementary exchanges were characterized with IPCC AR5-100 category UUID </w:t>
      </w:r>
      <w:r>
        <w:rPr>
          <w:rFonts w:ascii="Courier New" w:hAnsi="Courier New"/>
          <w:color w:val="17324D"/>
          <w:sz w:val="20"/>
        </w:rPr>
        <w:t>7d05b807-2caa-3cd9-b55c-399d3b820cbc</w:t>
      </w:r>
      <w:r>
        <w:rPr>
          <w:rFonts w:ascii="Calibri" w:hAnsi="Calibri"/>
          <w:sz w:val="21"/>
        </w:rPr>
        <w:t>. The calculation reports process count, link count, iteration count, maximum balance residual, impacts from generation processes, and all other linked upstream and infrastructure impacts.</w:t>
      </w:r>
    </w:p>
    <w:p>
      <w:r>
        <w:rPr>
          <w:rFonts w:ascii="Calibri" w:hAnsi="Calibri"/>
          <w:sz w:val="21"/>
        </w:rPr>
        <w:t xml:space="preserve">An input without a product-system provider link was assigned no upstream burden, consistent with the published link structure, and was recorded as a cutoff. The national system contained 287 such exchanges. Because their omitted magnitude was not bounded and the calculation was not independently reproduced in openLCA or Brightway, the resulting factors are termed </w:t>
      </w:r>
      <w:r>
        <w:rPr>
          <w:rFonts w:ascii="Calibri" w:hAnsi="Calibri"/>
          <w:i/>
          <w:sz w:val="21"/>
        </w:rPr>
        <w:t>partial linked-system factors</w:t>
      </w:r>
      <w:r>
        <w:rPr>
          <w:rFonts w:ascii="Calibri" w:hAnsi="Calibri"/>
          <w:sz w:val="21"/>
        </w:rPr>
        <w:t>. They improve on a direct-generation proxy but do not constitute complete lifecycle benchmarks.</w:t>
      </w:r>
    </w:p>
    <w:p>
      <w:r>
        <w:rPr>
          <w:rFonts w:ascii="Calibri" w:hAnsi="Calibri"/>
          <w:sz w:val="21"/>
        </w:rPr>
        <w:t>The provider scope includes trade, transmission and distribution losses, and upstream fuel supply. Generation infrastructure is included only for the provider-specified gas, oil, coal, solar, wind, and geothermal technologies; other generation infrastructure and transmission/distribution infrastructure are outside scope [47]. The very low factors in some hydropower-dominated systems must not be interpreted as complete electricity LCAs.</w:t>
      </w:r>
    </w:p>
    <w:p>
      <w:pPr>
        <w:pStyle w:val="Heading2"/>
      </w:pPr>
      <w:r>
        <w:t>2.8. Extrapolation, boundary, and functional-unit diagnostics</w:t>
      </w:r>
    </w:p>
    <w:p>
      <w:r>
        <w:rPr>
          <w:rFonts w:ascii="Calibri" w:hAnsi="Calibri"/>
          <w:sz w:val="21"/>
        </w:rPr>
        <w:t>Each of the 459 state-year rates was classified as below, between, or above the two released electricity anchors. Equation (8) is interpolation only for the middle class.</w:t>
      </w:r>
    </w:p>
    <w:p>
      <w:r>
        <w:rPr>
          <w:rFonts w:ascii="Calibri" w:hAnsi="Calibri"/>
          <w:sz w:val="21"/>
        </w:rPr>
        <w:t>The earlier analysis added transparent allowances of 0, 25, 50, 75, and 100 kg CO2e/MWh to every 2023 eGRID rate. Those values were not data-based and are retained only in the Supplementary Information as a diagnostic of the direct generation boundary. The primary boundary analysis instead uses the partial linked-system factors in Section 2.7. We also report the exact numerical clearance between the lowest 2023 direct rate and the cold-plate/single-phase crossover, g^*-\min(g_s), without interpreting it as an upstream estimate.</w:t>
      </w:r>
    </w:p>
    <w:p>
      <w:r>
        <w:rPr>
          <w:rFonts w:ascii="Calibri" w:hAnsi="Calibri"/>
          <w:sz w:val="21"/>
        </w:rPr>
        <w:t>Functional-unit sensitivity was evaluated separately. At each state-year, the minimum multiplicative increase in two-phase impact per equivalent useful computation required to equal the second-ranked architecture was</w:t>
      </w:r>
    </w:p>
    <w:p>
      <w:pPr>
        <w:keepLines/>
        <w:spacing w:before="80" w:after="140"/>
        <w:jc w:val="center"/>
      </w:pPr>
      <w:r>
        <w:rPr>
          <w:rFonts w:ascii="Cambria Math" w:hAnsi="Cambria Math"/>
          <w:i/>
          <w:color w:val="17324D"/>
          <w:sz w:val="21"/>
        </w:rPr>
        <w:t>delta_service = min_(j != 2P)(I_j / I_2P) - 1                         (11)</w:t>
      </w:r>
    </w:p>
    <w:p>
      <w:r>
        <w:rPr>
          <w:rFonts w:ascii="Calibri" w:hAnsi="Calibri"/>
          <w:sz w:val="21"/>
        </w:rPr>
        <w:t>This correction represents an unresolved combination of useful throughput, server count, quality of service, lifetime, and replacement. It is not a measured two-phase penalty.</w:t>
      </w:r>
    </w:p>
    <w:p>
      <w:pPr>
        <w:pStyle w:val="Heading2"/>
      </w:pPr>
      <w:r>
        <w:t>2.9. Deterministic rank-robustness and secondary stress designs</w:t>
      </w:r>
    </w:p>
    <w:p>
      <w:r>
        <w:rPr>
          <w:rFonts w:ascii="Calibri" w:hAnsi="Calibri"/>
          <w:sz w:val="21"/>
        </w:rPr>
        <w:t>The main robustness analysis uses equal relative half-widths so that one assumption block is not made influential merely by assigning it a wider range. For every Federal LCA Commons factor, we found the smallest half-width h at which the nominal numerical first rank could be reversed. Five sets were tested: shared grid only; technology-specific use phase only; embodied burden only; service equivalence only; and all four blocks at the same h. The grid multiplier was common and nonnegative. Foreground multipliers could vary in opposite adverse directions for the nominal winner and each competitor. All monotone adverse foreground directions and both shared-grid endpoints were evaluated, and the first crossing was found by bisection. The reported threshold is an exact certificate for the declared box, not a probability or empirical uncertainty interval.</w:t>
      </w:r>
    </w:p>
    <w:p>
      <w:r>
        <w:rPr>
          <w:rFonts w:ascii="Calibri" w:hAnsi="Calibri"/>
          <w:sz w:val="21"/>
        </w:rPr>
        <w:t>For comparison with the earlier screening analysis, we also retained seeded, 20,000-iteration triangular stress designs for the 2023 U.S. generation factor and the lowest-carbon 2023 state. The headline design used one shared grid multiplier and independent technology-specific multipliers for use phase, embodied contribution, and impact per equivalent service. It is the all-block, zero-correlation member of the dependence analysis described below. Three declared envelopes were used (Table 2).</w:t>
      </w:r>
    </w:p>
    <w:p>
      <w:pPr>
        <w:pStyle w:val="Caption"/>
        <w:keepNext/>
      </w:pPr>
      <w:r>
        <w:rPr>
          <w:rFonts w:ascii="Calibri" w:hAnsi="Calibri"/>
          <w:sz w:val="18"/>
        </w:rPr>
        <w:t>Table 2. Declared half-widths for joint assumption-stress ensembles.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Envelope</w:t>
            </w:r>
          </w:p>
        </w:tc>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Grid, use, and service half-width</w:t>
            </w:r>
          </w:p>
        </w:tc>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Embodied half-width</w:t>
            </w:r>
          </w:p>
        </w:tc>
        <w:tc>
          <w:tcPr>
            <w:tcW w:type="dxa" w:w="2340"/>
            <w:vAlign w:val="center"/>
            <w:shd w:fill="1F4E79"/>
            <w:tcMar>
              <w:top w:w="80" w:type="dxa"/>
              <w:start w:w="120" w:type="dxa"/>
              <w:bottom w:w="80" w:type="dxa"/>
              <w:end w:w="120" w:type="dxa"/>
            </w:tcMar>
          </w:tcPr>
          <w:p>
            <w:pPr>
              <w:spacing w:after="0" w:line="240" w:lineRule="auto"/>
              <w:jc w:val="left"/>
            </w:pPr>
            <w:r>
              <w:rPr>
                <w:rFonts w:ascii="Calibri" w:hAnsi="Calibri"/>
                <w:b/>
                <w:color w:val="FFFFFF"/>
                <w:sz w:val="18"/>
              </w:rPr>
              <w:t>Purpose</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Narrow</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±2%</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±20%</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Numerical stability near released values</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Screening</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±5%</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±50%</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Intermediate declared stress; not a fitted range</w:t>
            </w:r>
          </w:p>
        </w:tc>
      </w:tr>
      <w:tr>
        <w:trPr>
          <w:cantSplit w:val="true"/>
        </w:trPr>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Wide</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±10%</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±100%</w:t>
            </w:r>
          </w:p>
        </w:tc>
        <w:tc>
          <w:tcPr>
            <w:tcW w:type="dxa" w:w="2340"/>
            <w:vAlign w:val="center"/>
            <w:tcMar>
              <w:top w:w="80" w:type="dxa"/>
              <w:start w:w="120" w:type="dxa"/>
              <w:bottom w:w="80" w:type="dxa"/>
              <w:end w:w="120" w:type="dxa"/>
            </w:tcMar>
          </w:tcPr>
          <w:p>
            <w:pPr>
              <w:spacing w:after="0" w:line="240" w:lineRule="auto"/>
              <w:jc w:val="left"/>
            </w:pPr>
            <w:r>
              <w:rPr>
                <w:rFonts w:ascii="Calibri" w:hAnsi="Calibri"/>
                <w:sz w:val="18"/>
              </w:rPr>
              <w:t>Deliberately severe robustness test</w:t>
            </w:r>
          </w:p>
        </w:tc>
      </w:tr>
    </w:tbl>
    <w:p>
      <w:pPr>
        <w:spacing w:after="40"/>
      </w:pPr>
    </w:p>
    <w:p>
      <w:r>
        <w:rPr>
          <w:rFonts w:ascii="Calibri" w:hAnsi="Calibri"/>
          <w:sz w:val="21"/>
        </w:rPr>
        <w:t>The triangular mode was 1.0 and the base seed was 20250730. A stable hash of the context, envelope, active block, and dependence case generated a separate seed for every design, so output does not depend on loop order. We then repeated the stress with grid only, use phase only, embodied contribution only, service equivalence only, and all four blocks active. Technology-specific multipliers were coupled with a Gaussian copula at declared latent correlations of 0, 0.5, and 1 while retaining the same triangular marginals. These correlations are not measurements. Rank frequencies describe the declared designs; they are not posterior probabilities, confidence levels, or a substitute for empirical uncertainty distributions.</w:t>
      </w:r>
    </w:p>
    <w:p>
      <w:r>
        <w:rPr>
          <w:rFonts w:ascii="Calibri" w:hAnsi="Calibri"/>
          <w:sz w:val="21"/>
        </w:rPr>
        <w:t>Numerical convergence was checked with nested 5,000-, 20,000-, and 80,000-draw runs using the same scenario seeds. The binomial Monte Carlo standard error is reported only as integration precision within each declared design. It is not a confidence interval for cooling performance or a remedy for unsupported input distributions.</w:t>
      </w:r>
    </w:p>
    <w:p>
      <w:pPr>
        <w:pStyle w:val="Heading2"/>
      </w:pPr>
      <w:r>
        <w:t>2.10. Server, construction, and data-priority analyses</w:t>
      </w:r>
    </w:p>
    <w:p>
      <w:r>
        <w:rPr>
          <w:rFonts w:ascii="Calibri" w:hAnsi="Calibri"/>
          <w:sz w:val="21"/>
        </w:rPr>
        <w:t xml:space="preserve">Boavizta records were filtered to </w:t>
      </w:r>
      <w:r>
        <w:rPr>
          <w:rFonts w:ascii="Courier New" w:hAnsi="Courier New"/>
          <w:color w:val="17324D"/>
          <w:sz w:val="20"/>
        </w:rPr>
        <w:t>Datacenter/Server</w:t>
      </w:r>
      <w:r>
        <w:rPr>
          <w:rFonts w:ascii="Calibri" w:hAnsi="Calibri"/>
          <w:sz w:val="21"/>
        </w:rPr>
        <w:t xml:space="preserve"> products with total GHG, manufacturing share, and lifetime. Manufacturing GHG was calculated as total product GHG times manufacturing share and annualized by declared lifetime. The candidate-flow table retains all 55 server records: 48 met the three-field rule, while seven Lenovo records were excluded because manufacturing share was blank. No candidate was silently discarded. The minimum, quartiles, median, and maximum annualized values were divided by the empirical median and used only as common multiplicative stresses on the released compute, storage, and networking contributions. This preserves a unitless scale test without treating different servers as functionally interchangeable.</w:t>
      </w:r>
    </w:p>
    <w:p>
      <w:r>
        <w:rPr>
          <w:rFonts w:ascii="Calibri" w:hAnsi="Calibri"/>
          <w:sz w:val="21"/>
        </w:rPr>
        <w:t>Selected ÖKOBAUDAT A1-A3 steel and cement records were compared within product families:</w:t>
      </w:r>
    </w:p>
    <w:p>
      <w:pPr>
        <w:keepLines/>
        <w:spacing w:before="80" w:after="140"/>
        <w:jc w:val="center"/>
      </w:pPr>
      <w:r>
        <w:rPr>
          <w:rFonts w:ascii="Cambria Math" w:hAnsi="Cambria Math"/>
          <w:i/>
          <w:color w:val="17324D"/>
          <w:sz w:val="21"/>
        </w:rPr>
        <w:t>R = 100 (1 - I_alternative / I_baseline)                              (12)</w:t>
      </w:r>
    </w:p>
    <w:p>
      <w:r>
        <w:rPr>
          <w:rFonts w:ascii="Calibri" w:hAnsi="Calibri"/>
          <w:sz w:val="21"/>
        </w:rPr>
        <w:t>No material factor was multiplied by an assumed data-center quantity.</w:t>
      </w:r>
    </w:p>
    <w:p>
      <w:r>
        <w:rPr>
          <w:rFonts w:ascii="Calibri" w:hAnsi="Calibri"/>
          <w:sz w:val="21"/>
        </w:rPr>
        <w:t>For data priority, released pedigree scores were averaged by component and combined with mean GHG contribution share S_c:</w:t>
      </w:r>
    </w:p>
    <w:p>
      <w:pPr>
        <w:keepLines/>
        <w:spacing w:before="80" w:after="140"/>
        <w:jc w:val="center"/>
      </w:pPr>
      <w:r>
        <w:rPr>
          <w:rFonts w:ascii="Cambria Math" w:hAnsi="Cambria Math"/>
          <w:i/>
          <w:color w:val="17324D"/>
          <w:sz w:val="21"/>
        </w:rPr>
        <w:t>P_c = S_c [(D_c - 1) / 4]                                             (13)</w:t>
      </w:r>
    </w:p>
    <w:p>
      <w:r>
        <w:rPr>
          <w:rFonts w:ascii="Calibri" w:hAnsi="Calibri"/>
          <w:sz w:val="21"/>
        </w:rPr>
        <w:t>where D_c=1 is best and 5 worst. Because Eq. (13) is heuristic, rank robustness was tested using P_c=S_c^a[(D_c-1)/4]^b for a,b\in\{0.5,1,2\. This is a screening priority, not formal value-of-information.</w:t>
      </w:r>
    </w:p>
    <w:p>
      <w:pPr>
        <w:pStyle w:val="Heading2"/>
      </w:pPr>
      <w:r>
        <w:t>2.11. Temporal performance, reliability, interoperability, and claims</w:t>
      </w:r>
    </w:p>
    <w:p>
      <w:r>
        <w:rPr>
          <w:rFonts w:ascii="Calibri" w:hAnsi="Calibri"/>
          <w:sz w:val="21"/>
        </w:rPr>
        <w:t>The package can bilinearly interpolate a bounded IT-load/dry-bulb performance map and integrate its cooling-only partial PUE against hourly conditions using one declared, constant grid factor. Wet-bulb values are schema-checked but are not an interpolation coordinate, and non-cooling facility overhead is outside this partial-PUE calculation. It rejects uncovered operating points; extrapolation is disabled. The Fayetteville TMY file and synthetic performance surface are used only in software examples because no measured four-architecture surface was available.</w:t>
      </w:r>
    </w:p>
    <w:p>
      <w:r>
        <w:rPr>
          <w:rFonts w:ascii="Calibri" w:hAnsi="Calibri"/>
          <w:sz w:val="21"/>
        </w:rPr>
        <w:t>Reliability is represented with Weibull failure, F(t)=1-\exp[-(t/\eta)^β], renewal expectation, and optional Arrhenius life acceleration. openLCA JSON-LD and Brightway mappings preserve process and flow identifiers, providers, units, locations, and uncertainty metadata. USLCI and GLAD imports test exchange, not case-model completeness.</w:t>
      </w:r>
    </w:p>
    <w:p>
      <w:r>
        <w:rPr>
          <w:rFonts w:ascii="Calibri" w:hAnsi="Calibri"/>
          <w:sz w:val="21"/>
        </w:rPr>
        <w:t>The scenario audit checks required metadata, duplicate identifiers, physical values, uncertainty declarations, evidence labels, and comparative intent. The comparison validator additionally requires matching functional units, system boundaries, electricity accounting, allocation and replacement rules, and LCIA methods. For a declared public assertion, each modeled input group must map to a registered source identifier. Synthetic inputs, unquantified uncertainty, and insufficient declared review remain blockers. These checks also reject non-finite numeric inputs, retain the field-to-source map in result manifests, and require a matching inclusion/exclusion record for custom comparative boundaries. They verify metadata consistency only: they cannot authenticate a citation, distribution, review status, physical model, or ISO conformity [31,32].</w:t>
      </w:r>
    </w:p>
    <w:p>
      <w:pPr>
        <w:pStyle w:val="Heading1"/>
      </w:pPr>
      <w:r>
        <w:t>3. Results</w:t>
      </w:r>
    </w:p>
    <w:p>
      <w:pPr>
        <w:pStyle w:val="Heading2"/>
      </w:pPr>
      <w:r>
        <w:t>3.1. Arithmetic reconstruction exposed an unresolved method identity</w:t>
      </w:r>
    </w:p>
    <w:p>
      <w:r>
        <w:rPr>
          <w:rFonts w:ascii="Calibri" w:hAnsi="Calibri"/>
          <w:sz w:val="21"/>
        </w:rPr>
        <w:t>All 24 released combinations of architecture, electricity scenario, and impact metric reconciled to the seven published Figure-4 contributions at workbook precision. Under the released U.S. grid case, the reconstructed table reports 20.66% lower GHG, 20.00% lower primary energy, and 46.78% lower blue water for two-phase immersion than air cooling. These are reproduced source results, not independent comparisons.</w:t>
      </w:r>
    </w:p>
    <w:p>
      <w:r>
        <w:rPr>
          <w:rFonts w:ascii="Calibri" w:hAnsi="Calibri"/>
          <w:sz w:val="21"/>
        </w:rPr>
        <w:t>The cell-level audit changed their permissible use. The article identifies AR5 GWP100, but the detailed workbook's numeric endpoint cells are labeled AR5 GTP100 and the corresponding GWP100 cells are blank. Comparative use-phase formulas also reference those blank F29 cells. The two numeric endpoints lack a resolved LCIA-method identity in the public archive. The implied use-phase response coefficients were 0.06317, 0.05364, 0.05259, and 0.05006 MWh/Vcore-year for air, cold plate, single-phase, and two-phase, respectively, with zero-intensity intercepts of 0.010-0.013 kg CO2e/Vcore-year. These slopes are useful diagnostics, but they are not independently measured electricity demand.</w:t>
      </w:r>
    </w:p>
    <w:p>
      <w:pPr>
        <w:keepNext/>
        <w:spacing w:before="120" w:after="40"/>
        <w:jc w:val="center"/>
      </w:pPr>
      <w:r>
        <w:drawing>
          <wp:inline xmlns:a="http://schemas.openxmlformats.org/drawingml/2006/main" xmlns:pic="http://schemas.openxmlformats.org/drawingml/2006/picture">
            <wp:extent cx="5897880" cy="3408483"/>
            <wp:docPr id="2" name="Picture 2" descr="Figure 2. Relative reductions versus air cooling obtained by summing the released Microsoft/WSP normalized contributions. All 24 totals were reconciled at workbook precision. This figure reproduces released arithmetic; it does not validate inventories, method identity, or field performance." title="OpenDC-LCA Figure 2"/>
            <wp:cNvGraphicFramePr>
              <a:graphicFrameLocks noChangeAspect="1"/>
            </wp:cNvGraphicFramePr>
            <a:graphic>
              <a:graphicData uri="http://schemas.openxmlformats.org/drawingml/2006/picture">
                <pic:pic>
                  <pic:nvPicPr>
                    <pic:cNvPr id="0" name="figure1_microsoft_grid_reductions.png"/>
                    <pic:cNvPicPr/>
                  </pic:nvPicPr>
                  <pic:blipFill>
                    <a:blip r:embed="rId12"/>
                    <a:stretch>
                      <a:fillRect/>
                    </a:stretch>
                  </pic:blipFill>
                  <pic:spPr>
                    <a:xfrm>
                      <a:off x="0" y="0"/>
                      <a:ext cx="5897880" cy="3408483"/>
                    </a:xfrm>
                    <a:prstGeom prst="rect"/>
                  </pic:spPr>
                </pic:pic>
              </a:graphicData>
            </a:graphic>
          </wp:inline>
        </w:drawing>
      </w:r>
    </w:p>
    <w:p>
      <w:pPr>
        <w:pStyle w:val="Caption"/>
      </w:pPr>
      <w:r>
        <w:rPr>
          <w:rFonts w:ascii="Calibri" w:hAnsi="Calibri"/>
          <w:sz w:val="18"/>
        </w:rPr>
        <w:t>Figure 2. Relative reductions versus air cooling obtained by summing the released Microsoft/WSP normalized contributions. All 24 totals were reconciled at workbook precision. This figure reproduces released arithmetic; it does not validate inventories, method identity, or field performance.</w:t>
      </w:r>
    </w:p>
    <w:p>
      <w:pPr>
        <w:pStyle w:val="Heading2"/>
      </w:pPr>
      <w:r>
        <w:t>3.2. The historical direct-generation trend is insensitive to eGRID's GWP update</w:t>
      </w:r>
    </w:p>
    <w:p>
      <w:r>
        <w:rPr>
          <w:rFonts w:ascii="Calibri" w:hAnsi="Calibri"/>
          <w:sz w:val="21"/>
        </w:rPr>
        <w:t>The common-basis U.S. generation factor declined from 517.731 kg CO2e/MWh in 2012 to 349.667 kg CO2e/MWh in 2023, a 32.462% reduction. The trajectory was not monotonic: the factor rose from 373.097 in 2020 to 388.699 in 2021 before declining. Reconstructing every year with AR5 GWP100 changed the provider-published national rate by no more than 0.248 kg CO2e/MWh, in 2012. The direct CO2-only rate was 348.000 kg/MWh in 2023. Thus, the long-run decline is not an artifact of eGRID's transition from SAR to AR4 and AR5.</w:t>
      </w:r>
    </w:p>
    <w:p>
      <w:r>
        <w:rPr>
          <w:rFonts w:ascii="Calibri" w:hAnsi="Calibri"/>
          <w:sz w:val="21"/>
        </w:rPr>
        <w:t>The 50-state-plus-DC reconstruction matched the official national result through 2018. From 2019 onward it was 0.32-0.43% lower because the panel covered 99.55-99.58% of the provider U.S. generation after excluding Puerto Rico. We retained the provider aggregate for the national series. Across the full panel, 137 of 459 numerical rates lay outside the two released cooling anchors, so 29.85% of the transfers were extrapolations.</w:t>
      </w:r>
    </w:p>
    <w:p>
      <w:pPr>
        <w:keepNext/>
        <w:spacing w:before="120" w:after="40"/>
        <w:jc w:val="center"/>
      </w:pPr>
      <w:r>
        <w:drawing>
          <wp:inline xmlns:a="http://schemas.openxmlformats.org/drawingml/2006/main" xmlns:pic="http://schemas.openxmlformats.org/drawingml/2006/picture">
            <wp:extent cx="5897880" cy="3324930"/>
            <wp:docPr id="3" name="Picture 3" descr="Figure 3. Harmonized AR5-GWP100 eGRID state/DC generation rates for nine releases. Orange denotes the provider U.S. aggregate. Blue points fall below the released-model numerical cold-plate/single-phase crossover. These are direct-generation scenarios, not consumption LCIs or state cooling LCAs." title="OpenDC-LCA Figure 3"/>
            <wp:cNvGraphicFramePr>
              <a:graphicFrameLocks noChangeAspect="1"/>
            </wp:cNvGraphicFramePr>
            <a:graphic>
              <a:graphicData uri="http://schemas.openxmlformats.org/drawingml/2006/picture">
                <pic:pic>
                  <pic:nvPicPr>
                    <pic:cNvPr id="0" name="figure6_historical_grid_transition.png"/>
                    <pic:cNvPicPr/>
                  </pic:nvPicPr>
                  <pic:blipFill>
                    <a:blip r:embed="rId13"/>
                    <a:stretch>
                      <a:fillRect/>
                    </a:stretch>
                  </pic:blipFill>
                  <pic:spPr>
                    <a:xfrm>
                      <a:off x="0" y="0"/>
                      <a:ext cx="5897880" cy="3324930"/>
                    </a:xfrm>
                    <a:prstGeom prst="rect"/>
                  </pic:spPr>
                </pic:pic>
              </a:graphicData>
            </a:graphic>
          </wp:inline>
        </w:drawing>
      </w:r>
    </w:p>
    <w:p>
      <w:pPr>
        <w:pStyle w:val="Caption"/>
      </w:pPr>
      <w:r>
        <w:rPr>
          <w:rFonts w:ascii="Calibri" w:hAnsi="Calibri"/>
          <w:sz w:val="18"/>
        </w:rPr>
        <w:t>Figure 3. Harmonized AR5-GWP100 eGRID state/DC generation rates for nine releases. Orange denotes the provider U.S. aggregate. Blue points fall below the released-model numerical cold-plate/single-phase crossover. These are direct-generation scenarios, not consumption LCIs or state cooling LCAs.</w:t>
      </w:r>
    </w:p>
    <w:p>
      <w:pPr>
        <w:pStyle w:val="Heading2"/>
      </w:pPr>
      <w:r>
        <w:t>3.3. Consumption-system factors remove the arbitrary boundary adder but retain documented cutoffs</w:t>
      </w:r>
    </w:p>
    <w:p>
      <w:r>
        <w:rPr>
          <w:rFonts w:ascii="Calibri" w:hAnsi="Calibri"/>
          <w:sz w:val="21"/>
        </w:rPr>
        <w:t>The 71 non-residual Federal LCA Commons systems ranged from 0.921 to 987.844 kg CO2e/MWh. The national linked-system factor was 422.931 kg CO2e/MWh: 369.848 from electricity-generation processes and 53.084 from other linked upstream and infrastructure processes. It exceeded the 2023 national eGRID direct-generation rate by 73.264 kg CO2e/MWh, although the difference also contains consumption-mix, delivery-loss, flow-coverage, and boundary effects and is not an isolated upstream correction.</w:t>
      </w:r>
    </w:p>
    <w:p>
      <w:r>
        <w:rPr>
          <w:rFonts w:ascii="Calibri" w:hAnsi="Calibri"/>
          <w:sz w:val="21"/>
        </w:rPr>
        <w:t>All 10 FERC-region systems exceeded the 96.704 kg CO2e/MWh numerical cold-plate/single-phase crossover; they ranged from 238.897 kg CO2e/MWh for NYISO to 557.110 kg CO2e/MWh for MISO. Ten of 60 balancing-authority systems fell below the crossover, and 15 of all 71 systems exceeded the released high anchor of 524.893 kg CO2e/MWh. The numerical cooling screen placed two-phase first in all 71 systems, but this is not a common-method comparative LCA because the cooling foreground method remains unresolved.</w:t>
      </w:r>
    </w:p>
    <w:p>
      <w:r>
        <w:rPr>
          <w:rFonts w:ascii="Calibri" w:hAnsi="Calibri"/>
          <w:sz w:val="21"/>
        </w:rPr>
        <w:t>The national result converged in five fixed-point iterations with a balance residual of zero at the reporting precision, using 582 processes and 1,174 links. It also contained 287 unlinked technosphere exchanges across 47 processes, including fuels, construction materials, chemicals, and reclaimed water. Their upstream burdens were zero in the linked calculation and were not bounded. The factor is more complete than eGRID direct emissions but still a partial linked-system result.</w:t>
      </w:r>
    </w:p>
    <w:p>
      <w:r>
        <w:rPr>
          <w:rFonts w:ascii="Calibri" w:hAnsi="Calibri"/>
          <w:sz w:val="21"/>
        </w:rPr>
        <w:t>The national residual-consumption system was 455.350 kg CO2e/MWh, comprising 399.934 from generation processes and 55.417 from other linked processes. It was 7.67% above the ordinary consumption-system result. This difference is an electricity-accounting sensitivity, not an uncertainty interval, and the two accounting products were not mixed within any cooling screen.</w:t>
      </w:r>
    </w:p>
    <w:p>
      <w:pPr>
        <w:keepNext/>
        <w:spacing w:before="120" w:after="40"/>
        <w:jc w:val="center"/>
      </w:pPr>
      <w:r>
        <w:drawing>
          <wp:inline xmlns:a="http://schemas.openxmlformats.org/drawingml/2006/main" xmlns:pic="http://schemas.openxmlformats.org/drawingml/2006/picture">
            <wp:extent cx="5897880" cy="4030218"/>
            <wp:docPr id="4" name="Picture 4" descr="Figure 4. IPCC AR5-GWP100 partial linked-system electricity factors for 10 FERC regions and the United States. Bars separate generation-process impacts from other linked upstream and infrastructure impacts. Vertical lines show the two released numerical cooling landmarks; they do not create method equivalence." title="OpenDC-LCA Figure 4"/>
            <wp:cNvGraphicFramePr>
              <a:graphicFrameLocks noChangeAspect="1"/>
            </wp:cNvGraphicFramePr>
            <a:graphic>
              <a:graphicData uri="http://schemas.openxmlformats.org/drawingml/2006/picture">
                <pic:pic>
                  <pic:nvPicPr>
                    <pic:cNvPr id="0" name="figure10_lifecycle_electricity.png"/>
                    <pic:cNvPicPr/>
                  </pic:nvPicPr>
                  <pic:blipFill>
                    <a:blip r:embed="rId14"/>
                    <a:stretch>
                      <a:fillRect/>
                    </a:stretch>
                  </pic:blipFill>
                  <pic:spPr>
                    <a:xfrm>
                      <a:off x="0" y="0"/>
                      <a:ext cx="5897880" cy="4030218"/>
                    </a:xfrm>
                    <a:prstGeom prst="rect"/>
                  </pic:spPr>
                </pic:pic>
              </a:graphicData>
            </a:graphic>
          </wp:inline>
        </w:drawing>
      </w:r>
    </w:p>
    <w:p>
      <w:pPr>
        <w:pStyle w:val="Caption"/>
      </w:pPr>
      <w:r>
        <w:rPr>
          <w:rFonts w:ascii="Calibri" w:hAnsi="Calibri"/>
          <w:sz w:val="18"/>
        </w:rPr>
        <w:t>Figure 4. IPCC AR5-GWP100 partial linked-system electricity factors for 10 FERC regions and the United States. Bars separate generation-process impacts from other linked upstream and infrastructure impacts. Vertical lines show the two released numerical cooling landmarks; they do not create method equivalence.</w:t>
      </w:r>
    </w:p>
    <w:p>
      <w:pPr>
        <w:pStyle w:val="Heading2"/>
      </w:pPr>
      <w:r>
        <w:t>3.4. Equal-width bounds identify service equivalence and use phase as the limiting blocks</w:t>
      </w:r>
    </w:p>
    <w:p>
      <w:r>
        <w:rPr>
          <w:rFonts w:ascii="Calibri" w:hAnsi="Calibri"/>
          <w:sz w:val="21"/>
        </w:rPr>
        <w:t>At the national lifecycle factor, the numerical two-phase first rank could not be reversed by a shared grid-factor change within the tested nonnegative range through a 99.999% half-width. With technology-specific variation, reversal occurred at 2.994% for use phase, 22.154% for embodied burden, and 2.637% for service equivalence. When all four blocks used the same half-width, the first reversal occurred at 1.318%, against single-phase.</w:t>
      </w:r>
    </w:p>
    <w:p>
      <w:r>
        <w:rPr>
          <w:rFonts w:ascii="Calibri" w:hAnsi="Calibri"/>
          <w:sz w:val="21"/>
        </w:rPr>
        <w:t>Across all 71 electricity contexts, the all-block critical half-width ranged from 1.123% at PUD No. 1 of Douglas County to 1.479% at Duke Energy Progress West. At the lowest-carbon system, the critical competitor was cold plate; the embodied-only and service-only thresholds were 2.291% and 2.246%, while use-phase and shared-grid changes did not reverse rank through 99.999%. The ranking is numerically fragile even though it survives every unperturbed electricity factor.</w:t>
      </w:r>
    </w:p>
    <w:p>
      <w:r>
        <w:rPr>
          <w:rFonts w:ascii="Calibri" w:hAnsi="Calibri"/>
          <w:sz w:val="21"/>
        </w:rPr>
        <w:t>This equalized analysis reverses one conclusion from the earlier triangular stress design. Embodied variation had appeared to cause the largest rank loss because its assigned half-width was 10 times those of use phase and service. At equal widths, embodied burden has the largest national one-block tolerance; service equivalence and use phase are limiting. The earlier stress frequencies and their dependence/convergence diagnostics remain in the Supplementary Information as evidence about the chosen design, not the technologies.</w:t>
      </w:r>
    </w:p>
    <w:p>
      <w:r>
        <w:rPr>
          <w:rFonts w:ascii="Calibri" w:hAnsi="Calibri"/>
          <w:sz w:val="21"/>
        </w:rPr>
        <w:t>The one-sided functional-unit diagnostic gives a complementary threshold: across 2023 direct-rate contexts, a 5.24-6.04% adverse correction to two-phase impact per equivalent useful computation would erase its numerical first rank. This is a break-even requirement for future measurements, not an observed performance difference.</w:t>
      </w:r>
    </w:p>
    <w:p>
      <w:pPr>
        <w:keepNext/>
        <w:spacing w:before="120" w:after="40"/>
        <w:jc w:val="center"/>
      </w:pPr>
      <w:r>
        <w:drawing>
          <wp:inline xmlns:a="http://schemas.openxmlformats.org/drawingml/2006/main" xmlns:pic="http://schemas.openxmlformats.org/drawingml/2006/picture">
            <wp:extent cx="5897880" cy="3538728"/>
            <wp:docPr id="5" name="Picture 5" descr="Figure 5. Deterministic equal-width rank-robustness certificates. (A) National critical half-width by active block. (B) all-block thresholds across 60 balancing authorities, 10 FERC regions, and the national system. Bounds are uncertainty sets, not probability distributions or physical validation." title="OpenDC-LCA Figure 5"/>
            <wp:cNvGraphicFramePr>
              <a:graphicFrameLocks noChangeAspect="1"/>
            </wp:cNvGraphicFramePr>
            <a:graphic>
              <a:graphicData uri="http://schemas.openxmlformats.org/drawingml/2006/picture">
                <pic:pic>
                  <pic:nvPicPr>
                    <pic:cNvPr id="0" name="figure11_standardized_robustness.png"/>
                    <pic:cNvPicPr/>
                  </pic:nvPicPr>
                  <pic:blipFill>
                    <a:blip r:embed="rId15"/>
                    <a:stretch>
                      <a:fillRect/>
                    </a:stretch>
                  </pic:blipFill>
                  <pic:spPr>
                    <a:xfrm>
                      <a:off x="0" y="0"/>
                      <a:ext cx="5897880" cy="3538728"/>
                    </a:xfrm>
                    <a:prstGeom prst="rect"/>
                  </pic:spPr>
                </pic:pic>
              </a:graphicData>
            </a:graphic>
          </wp:inline>
        </w:drawing>
      </w:r>
    </w:p>
    <w:p>
      <w:pPr>
        <w:pStyle w:val="Caption"/>
      </w:pPr>
      <w:r>
        <w:rPr>
          <w:rFonts w:ascii="Calibri" w:hAnsi="Calibri"/>
          <w:sz w:val="18"/>
        </w:rPr>
        <w:t>Figure 5. Deterministic equal-width rank-robustness certificates. (A) National critical half-width by active block. (B) all-block thresholds across 60 balancing authorities, 10 FERC regions, and the national system. Bounds are uncertainty sets, not probability distributions or physical validation.</w:t>
      </w:r>
    </w:p>
    <w:p>
      <w:pPr>
        <w:pStyle w:val="Heading2"/>
      </w:pPr>
      <w:r>
        <w:t>3.5. Server and construction data reveal leverage but not architecture totals</w:t>
      </w:r>
    </w:p>
    <w:p>
      <w:r>
        <w:rPr>
          <w:rFonts w:ascii="Calibri" w:hAnsi="Calibri"/>
          <w:sz w:val="21"/>
        </w:rPr>
        <w:t xml:space="preserve">Of 55 Boavizta </w:t>
      </w:r>
      <w:r>
        <w:rPr>
          <w:rFonts w:ascii="Courier New" w:hAnsi="Courier New"/>
          <w:color w:val="17324D"/>
          <w:sz w:val="20"/>
        </w:rPr>
        <w:t>Datacenter/Server</w:t>
      </w:r>
      <w:r>
        <w:rPr>
          <w:rFonts w:ascii="Calibri" w:hAnsi="Calibri"/>
          <w:sz w:val="21"/>
        </w:rPr>
        <w:t xml:space="preserve"> candidates, 48 included records spanned 465-2,503 kg CO2e/server for manufacturing, a 5.38-fold range. Annualized values spanned 116-626 kg CO2e/server-year. Commonly scaling the released server-related contributions across the empirical 0.38-2.06-fold annualized envelope did not change the deterministic two-phase first rank. That result is a structural stress only: it does not model architecture-specific server count, configuration, throughput, or lifetime.</w:t>
      </w:r>
    </w:p>
    <w:p>
      <w:r>
        <w:rPr>
          <w:rFonts w:ascii="Calibri" w:hAnsi="Calibri"/>
          <w:sz w:val="21"/>
        </w:rPr>
        <w:t>The selected ÖKOBAUDAT high-scrap electric-arc-furnace galvanized steel record had 59.9% lower A1-A3 GHG, 47.9% lower nonrenewable primary energy, and 52.0% lower freshwater use per kilogram than the selected low-scrap blast-furnace-route record. The selected CEM III cement record had 49.8% lower GHG, 12.1% lower nonrenewable primary energy, and 23.5% lower freshwater use than CEM II/A. These are procurement levers, not data-center reductions. Their facility effect remains unknown until each architecture has a reviewed bill of quantities.</w:t>
      </w:r>
    </w:p>
    <w:p>
      <w:pPr>
        <w:pStyle w:val="Heading2"/>
      </w:pPr>
      <w:r>
        <w:t>3.6. Data-priority rank is useful but not invariant</w:t>
      </w:r>
    </w:p>
    <w:p>
      <w:r>
        <w:rPr>
          <w:rFonts w:ascii="Calibri" w:hAnsi="Calibri"/>
          <w:sz w:val="21"/>
        </w:rPr>
        <w:t>Under the base contribution-times-weakness index, use phase was the highest priority, followed by storage, networking, and compute-server evidence. Across the nine alternative exponent combinations, use phase ranked first in eight and in the top three in eight. Networking ranked first once; storage was in the top three in all nine; compute was in the top three in four. The rank of use phase ranged from first to fourth.</w:t>
      </w:r>
    </w:p>
    <w:p>
      <w:r>
        <w:rPr>
          <w:rFonts w:ascii="Calibri" w:hAnsi="Calibri"/>
          <w:sz w:val="21"/>
        </w:rPr>
        <w:t>This sensitivity changes the interpretation of the pedigree result. It supports a near-term measurement sequence—hourly IT and cooling electricity, then server inventories and functional performance—but not a unique value of information. A formal acquisition decision requires empirical parameter distributions, correlations, measurement cost, and the loss associated with a wrong architecture choice [30].</w:t>
      </w:r>
    </w:p>
    <w:p>
      <w:pPr>
        <w:pStyle w:val="Heading2"/>
      </w:pPr>
      <w:r>
        <w:t>3.7. Software checks and practitioner outputs</w:t>
      </w:r>
    </w:p>
    <w:p>
      <w:r>
        <w:rPr>
          <w:rFonts w:ascii="Calibri" w:hAnsi="Calibri"/>
          <w:sz w:val="21"/>
        </w:rPr>
        <w:t>The full local test suite covers calculation, fluid mass conservation, interoperability, reliability, public-data parsing, practitioner workflow, GUI/API parity, endpoint reconstruction, eGRID harmonization, Federal LCA Commons process-system solution, cutoff reporting, equal-width robustness, comparison incompatibility, field-level lineage, stress-design determinism, and provenance integrity. Paper-reconstruction tests skip explicitly when locally held provider files are absent; no substitute values are inserted.</w:t>
      </w:r>
    </w:p>
    <w:p>
      <w:r>
        <w:rPr>
          <w:rFonts w:ascii="Calibri" w:hAnsi="Calibri"/>
          <w:sz w:val="21"/>
        </w:rPr>
        <w:t>A practitioner supplies IT capacity, utilization, PUE, facility lifetime, onsite water, location- and market-based electricity factors, optional equipment/fluid inventories, and a citable source record. The package returns annual and per-IT-MWh impacts, contribution breakdowns, evidence classification, warnings or blockers, a scenario digest, model version, and the next-data list. Advanced users can add hourly performance maps, replacement and reliability, and openLCA/Brightway inventories. Software consistency does not validate user inputs, the truth of metadata labels, or the physical adequacy of a screening model.</w:t>
      </w:r>
    </w:p>
    <w:p>
      <w:pPr>
        <w:pStyle w:val="Heading1"/>
      </w:pPr>
      <w:r>
        <w:t>4. Discussion</w:t>
      </w:r>
    </w:p>
    <w:p>
      <w:pPr>
        <w:pStyle w:val="Heading2"/>
      </w:pPr>
      <w:r>
        <w:t>4.1. The central result is a claim boundary, not a cooling winner</w:t>
      </w:r>
    </w:p>
    <w:p>
      <w:r>
        <w:rPr>
          <w:rFonts w:ascii="Calibri" w:hAnsi="Calibri"/>
          <w:sz w:val="21"/>
        </w:rPr>
        <w:t>The released table and every unperturbed electricity screen place two-phase first. Three independent findings prevent that order from becoming a public comparative conclusion: the archive does not resolve the climate method of the numeric electricity endpoints; the cooling foreground cannot be recalculated under the same AR5 method as the electricity inventories; and useful computation has not been measured across the four architectures. The most important outcome is the boundary between reproduced arithmetic and a physically identified comparison.</w:t>
      </w:r>
    </w:p>
    <w:p>
      <w:r>
        <w:rPr>
          <w:rFonts w:ascii="Calibri" w:hAnsi="Calibri"/>
          <w:sz w:val="21"/>
        </w:rPr>
        <w:t>The 96.704 kg CO2e/MWh cold-plate/single-phase crossover is a property of two released numerical endpoints. It helps locate where their affine lines cross, but it is not an environmental threshold for a real site. Likewise, survival across 71 electricity factors explores one background dimension; it does not provide 71 independent observations of cooling performance. A transferable assessment must report the numerical result together with its functional unit, method identity, system boundary, cutoff structure, robustness definition, and claim status.</w:t>
      </w:r>
    </w:p>
    <w:p>
      <w:pPr>
        <w:pStyle w:val="Heading2"/>
      </w:pPr>
      <w:r>
        <w:t>4.2. Lifecycle electricity materially changes the boundary diagnosis</w:t>
      </w:r>
    </w:p>
    <w:p>
      <w:r>
        <w:rPr>
          <w:rFonts w:ascii="Calibri" w:hAnsi="Calibri"/>
          <w:sz w:val="21"/>
        </w:rPr>
        <w:t>The eGRID reconstruction shows that the 32.46% historical national decline is robust to changing GWP conventions. The Federal LCA Commons calculation then replaces an arbitrary additive boundary allowance with a provider-linked consumption model. At the national point, linked upstream and infrastructure processes add 53.084 kg CO2e/MWh beyond generation processes, and the total is 73.264 kg CO2e/MWh above the eGRID national rate. All FERC regions lie above the numerical cold-plate/single-phase crossover.</w:t>
      </w:r>
    </w:p>
    <w:p>
      <w:r>
        <w:rPr>
          <w:rFonts w:ascii="Calibri" w:hAnsi="Calibri"/>
          <w:sz w:val="21"/>
        </w:rPr>
        <w:t>This is a material advance, but not full harmonization. The difference between the two national factors also reflects delivery losses, consumption versus generation geography, and elementary-flow coverage. More importantly, 287 unlinked technosphere exchanges still carry zero upstream burden. A complete calculation requires those providers to be linked or their omitted impacts to be bounded and independently reproduced. Even then, electricity cannot repair the unresolved cooling-foreground LCIA method. Location- and market-based cases must also remain consistent throughout the product system [19,20]. The 7.67% national difference between ordinary and residual consumption mixes shows that the accounting choice is consequential even before the cooling foreground is harmonized.</w:t>
      </w:r>
    </w:p>
    <w:p>
      <w:pPr>
        <w:pStyle w:val="Heading2"/>
      </w:pPr>
      <w:r>
        <w:t>4.3. Equalized bounds correct an attribution error in the earlier stress design</w:t>
      </w:r>
    </w:p>
    <w:p>
      <w:r>
        <w:rPr>
          <w:rFonts w:ascii="Calibri" w:hAnsi="Calibri"/>
          <w:sz w:val="21"/>
        </w:rPr>
        <w:t>The earlier triangular analysis assigned embodied burden a half-width 10 times the use-phase and service widths. Its conclusion that embodied variation was the largest one-block source of rank loss conflated sensitivity with an arbitrary range choice. The equal-width certificate separates those effects. At the national lifecycle factor, embodied burden can vary by 22.15% before a worst-case one-block reversal, whereas service equivalence and use phase require only 2.64% and 2.99%.</w:t>
      </w:r>
    </w:p>
    <w:p>
      <w:r>
        <w:rPr>
          <w:rFonts w:ascii="Calibri" w:hAnsi="Calibri"/>
          <w:sz w:val="21"/>
        </w:rPr>
        <w:t>The all-block threshold of 1.32% is not a confidence bound. It is the radius of a specified box in which a shared grid multiplier and adverse technology-specific foreground multipliers cannot reverse the numerical first rank. Its value lies in falsifiability: any proposed empirical uncertainty model can be compared against the same bound structure. A probability of rank would additionally require measured marginal distributions and correlations [46].</w:t>
      </w:r>
    </w:p>
    <w:p>
      <w:r>
        <w:rPr>
          <w:rFonts w:ascii="Calibri" w:hAnsi="Calibri"/>
          <w:sz w:val="21"/>
        </w:rPr>
        <w:t>This correction changes the near-term research priority. Measurements should first close functional equivalence and use-phase demand, while bills of quantities and material inventories remain necessary for a common-method lifecycle comparison. The legacy triangular results still demonstrate that dependence assumptions matter, but they do not rank the real-world importance of uncertainty blocks.</w:t>
      </w:r>
    </w:p>
    <w:p>
      <w:pPr>
        <w:pStyle w:val="Heading2"/>
      </w:pPr>
      <w:r>
        <w:t>4.4. Useful computation is the decisive experimental bridge</w:t>
      </w:r>
    </w:p>
    <w:p>
      <w:r>
        <w:rPr>
          <w:rFonts w:ascii="Calibri" w:hAnsi="Calibri"/>
          <w:sz w:val="21"/>
        </w:rPr>
        <w:t>Vcore-year is more informative than facility area or rack count, but it is still a proxy. Equivalent useful computation depends on workload, accelerator utilization, memory and network constraints, throttling, overclocking, availability, and quality of service. The one-sided 5.50% median threshold and the symmetric 2.64% national service bound are break-even requirements, not measured penalties. They define the approximate resolution required of a comparative experiment. ITU-T L.1410 similarly requires an explicit functional unit and comparative baseline for ICT services [48].</w:t>
      </w:r>
    </w:p>
    <w:p>
      <w:r>
        <w:rPr>
          <w:rFonts w:ascii="Calibri" w:hAnsi="Calibri"/>
          <w:sz w:val="21"/>
        </w:rPr>
        <w:t>A shared protocol should measure, for every architecture, completed workload or benchmark output; IT and cooling power; inlet and component temperatures; flow and pressure drop; fan, pump, CDU and heat-rejection power; onsite water; failure and maintenance events; and uncertainty/calibration lineage over the same load-weather domain. Server count, configuration, and replacement must be tracked with that performance. A thermal result without useful computation cannot close the LCA functional unit; a product carbon footprint without architecture quantity cannot close the embodied inventory.</w:t>
      </w:r>
    </w:p>
    <w:p>
      <w:pPr>
        <w:pStyle w:val="Heading2"/>
      </w:pPr>
      <w:r>
        <w:t>4.5. Decarbonization changes the value of evidence</w:t>
      </w:r>
    </w:p>
    <w:p>
      <w:r>
        <w:rPr>
          <w:rFonts w:ascii="Calibri" w:hAnsi="Calibri"/>
          <w:sz w:val="21"/>
        </w:rPr>
        <w:t>The national analysis shows a dual effect. Cleaner generation lowers every electricity-dependent cooling result and contracts the absolute value of operational efficiency, while increasing the fraction supplied by embodied terms. Percentage savings alone hide this transition: the absolute modeled two-phase-versus-air benefit fell 29.45% between the 2012 and 2023 generation conditions.</w:t>
      </w:r>
    </w:p>
    <w:p>
      <w:r>
        <w:rPr>
          <w:rFonts w:ascii="Calibri" w:hAnsi="Calibri"/>
          <w:sz w:val="21"/>
        </w:rPr>
        <w:t>This shift explains why the Boavizta and ÖKOBAUDAT datasets matter even though they were not inserted into architecture totals. The 5.38-fold server manufacturing range is larger than many cooling differences, but heterogeneous PCFs cannot be treated as an uncertainty distribution for interchangeable servers. The approximately 50-60% material-route GHG levers are large per kilogram, but kilograms by architecture are missing. The needed research product is a linked foreground dataset: useful computation, server configuration and lifetime, cooling bill of quantities, material route, and measured operation under one functional unit.</w:t>
      </w:r>
    </w:p>
    <w:p>
      <w:pPr>
        <w:pStyle w:val="Heading2"/>
      </w:pPr>
      <w:r>
        <w:t>4.6. Role relative to openLCA, Brightway, and dynamic-LCA tools</w:t>
      </w:r>
    </w:p>
    <w:p>
      <w:r>
        <w:rPr>
          <w:rFonts w:ascii="Calibri" w:hAnsi="Calibri"/>
          <w:sz w:val="21"/>
        </w:rPr>
        <w:t>OpenDC-LCA does not replace openLCA, Brightway, Temporalis, premise, or bw_timex. Those tools provide process-network calculation, database management, prospective backgrounds, or time-explicit LCA [24-26,33,34]. The assessment layer here adds:</w:t>
      </w:r>
    </w:p>
    <w:p>
      <w:pPr>
        <w:spacing w:after="60"/>
        <w:ind w:left="374" w:hanging="288"/>
      </w:pPr>
      <w:r>
        <w:rPr>
          <w:rFonts w:ascii="Calibri" w:hAnsi="Calibri"/>
          <w:sz w:val="21"/>
        </w:rPr>
        <w:t>1. a functional-equivalence check tied to useful computation;</w:t>
      </w:r>
    </w:p>
    <w:p>
      <w:pPr>
        <w:spacing w:after="60"/>
        <w:ind w:left="374" w:hanging="288"/>
      </w:pPr>
      <w:r>
        <w:rPr>
          <w:rFonts w:ascii="Calibri" w:hAnsi="Calibri"/>
          <w:sz w:val="21"/>
        </w:rPr>
        <w:t>2. load-weather cooling performance and bounded annual integration;</w:t>
      </w:r>
    </w:p>
    <w:p>
      <w:pPr>
        <w:spacing w:after="60"/>
        <w:ind w:left="374" w:hanging="288"/>
      </w:pPr>
      <w:r>
        <w:rPr>
          <w:rFonts w:ascii="Calibri" w:hAnsi="Calibri"/>
          <w:sz w:val="21"/>
        </w:rPr>
        <w:t>3. reliability, replacement, and cooling-fluid representations;</w:t>
      </w:r>
    </w:p>
    <w:p>
      <w:pPr>
        <w:spacing w:after="60"/>
        <w:ind w:left="374" w:hanging="288"/>
      </w:pPr>
      <w:r>
        <w:rPr>
          <w:rFonts w:ascii="Calibri" w:hAnsi="Calibri"/>
          <w:sz w:val="21"/>
        </w:rPr>
        <w:t>4. explicit separation of lifecycle electricity, direct generation rates,</w:t>
      </w:r>
    </w:p>
    <w:p>
      <w:r>
        <w:rPr>
          <w:rFonts w:ascii="Calibri" w:hAnsi="Calibri"/>
          <w:sz w:val="21"/>
        </w:rPr>
        <w:t>market instruments, and marginal signals;</w:t>
      </w:r>
    </w:p>
    <w:p>
      <w:pPr>
        <w:spacing w:after="60"/>
        <w:ind w:left="374" w:hanging="288"/>
      </w:pPr>
      <w:r>
        <w:rPr>
          <w:rFonts w:ascii="Calibri" w:hAnsi="Calibri"/>
          <w:sz w:val="21"/>
        </w:rPr>
        <w:t>5. source and transformation provenance; and</w:t>
      </w:r>
    </w:p>
    <w:p>
      <w:pPr>
        <w:spacing w:after="60"/>
        <w:ind w:left="374" w:hanging="288"/>
      </w:pPr>
      <w:r>
        <w:rPr>
          <w:rFonts w:ascii="Calibri" w:hAnsi="Calibri"/>
          <w:sz w:val="21"/>
        </w:rPr>
        <w:t>6. an automated metadata validator that blocks declared comparisons with</w:t>
      </w:r>
    </w:p>
    <w:p>
      <w:r>
        <w:rPr>
          <w:rFonts w:ascii="Calibri" w:hAnsi="Calibri"/>
          <w:sz w:val="21"/>
        </w:rPr>
        <w:t>incompatible methods, boundaries, or source mappings.</w:t>
      </w:r>
    </w:p>
    <w:p>
      <w:r>
        <w:rPr>
          <w:rFonts w:ascii="Calibri" w:hAnsi="Calibri"/>
          <w:sz w:val="21"/>
        </w:rPr>
        <w:t>The validator is deliberately narrower than a scientific review. It trusts the metadata supplied by the user and cannot determine whether a performance map is representative, a distribution is empirical, or an external review occurred. Its role is to catch machine-detectable incompatibilities before calculation, not to authorize a public environmental claim.</w:t>
      </w:r>
    </w:p>
    <w:p>
      <w:r>
        <w:rPr>
          <w:rFonts w:ascii="Calibri" w:hAnsi="Calibri"/>
          <w:sz w:val="21"/>
        </w:rPr>
        <w:t>This role also differs from recent data-center models. AlphaDataCenterCooling provides operational validation of a cooling plant [45], while d'Orgeval et al. compare full data-center architectures and, for a subset, normalize by computational performance [44]. The present work tests whether published secondary LCA results retain their meaning when moved across electricity datasets and claim contexts; it does not duplicate either primary modeling capability.</w:t>
      </w:r>
    </w:p>
    <w:p>
      <w:r>
        <w:rPr>
          <w:rFonts w:ascii="Calibri" w:hAnsi="Calibri"/>
          <w:sz w:val="21"/>
        </w:rPr>
        <w:t>This is why USLCI and GLAD hydrogen archives were exchange-tested but not forced into the results. Backup power is a relevant future application, yet a hydrogen dataset becomes numerical evidence only after technology, electricity source, compression/storage, allocation, geography, and LCIA method are linked to a declared product system.</w:t>
      </w:r>
    </w:p>
    <w:p>
      <w:pPr>
        <w:pStyle w:val="Heading2"/>
      </w:pPr>
      <w:r>
        <w:t>4.7. Implications for hyperscale practitioners and the Microsoft study</w:t>
      </w:r>
    </w:p>
    <w:p>
      <w:r>
        <w:rPr>
          <w:rFonts w:ascii="Calibri" w:hAnsi="Calibri"/>
          <w:sz w:val="21"/>
        </w:rPr>
        <w:t>The most useful extension of the Microsoft/WSP work is not another static national scenario. It is a jointly governed evidence package that allows the released model to be updated without weakening its functional-unit insight. Five additions are needed:</w:t>
      </w:r>
    </w:p>
    <w:p>
      <w:pPr>
        <w:spacing w:after="60"/>
        <w:ind w:left="374" w:hanging="288"/>
      </w:pPr>
      <w:r>
        <w:rPr>
          <w:rFonts w:ascii="Calibri" w:hAnsi="Calibri"/>
          <w:sz w:val="21"/>
        </w:rPr>
        <w:t>1. the original GWP100 electricity factors or elementary-flow inventories</w:t>
      </w:r>
    </w:p>
    <w:p>
      <w:r>
        <w:rPr>
          <w:rFonts w:ascii="Calibri" w:hAnsi="Calibri"/>
          <w:sz w:val="21"/>
        </w:rPr>
        <w:t>needed to resolve the public workbook's blank F29 cells;</w:t>
      </w:r>
    </w:p>
    <w:p>
      <w:pPr>
        <w:spacing w:after="60"/>
        <w:ind w:left="374" w:hanging="288"/>
      </w:pPr>
      <w:r>
        <w:rPr>
          <w:rFonts w:ascii="Calibri" w:hAnsi="Calibri"/>
          <w:sz w:val="21"/>
        </w:rPr>
        <w:t>2. architecture-specific, anonymized bills of quantities and service lives;</w:t>
      </w:r>
    </w:p>
    <w:p>
      <w:pPr>
        <w:spacing w:after="60"/>
        <w:ind w:left="374" w:hanging="288"/>
      </w:pPr>
      <w:r>
        <w:rPr>
          <w:rFonts w:ascii="Calibri" w:hAnsi="Calibri"/>
          <w:sz w:val="21"/>
        </w:rPr>
        <w:t>3. measured performance surfaces for IT output, server power, facility</w:t>
      </w:r>
    </w:p>
    <w:p>
      <w:r>
        <w:rPr>
          <w:rFonts w:ascii="Calibri" w:hAnsi="Calibri"/>
          <w:sz w:val="21"/>
        </w:rPr>
        <w:t>parasitics, and onsite water across load and weather;</w:t>
      </w:r>
    </w:p>
    <w:p>
      <w:pPr>
        <w:spacing w:after="60"/>
        <w:ind w:left="374" w:hanging="288"/>
      </w:pPr>
      <w:r>
        <w:rPr>
          <w:rFonts w:ascii="Calibri" w:hAnsi="Calibri"/>
          <w:sz w:val="21"/>
        </w:rPr>
        <w:t>4. a complete provider-linked lifecycle electricity model under the same LCIA</w:t>
      </w:r>
    </w:p>
    <w:p>
      <w:r>
        <w:rPr>
          <w:rFonts w:ascii="Calibri" w:hAnsi="Calibri"/>
          <w:sz w:val="21"/>
        </w:rPr>
        <w:t>method, with cutoffs linked or bounded and location-, market-, and marginal operational signals reported separately; and</w:t>
      </w:r>
    </w:p>
    <w:p>
      <w:pPr>
        <w:spacing w:after="60"/>
        <w:ind w:left="374" w:hanging="288"/>
      </w:pPr>
      <w:r>
        <w:rPr>
          <w:rFonts w:ascii="Calibri" w:hAnsi="Calibri"/>
          <w:sz w:val="21"/>
        </w:rPr>
        <w:t>5. empirical uncertainty and correlation information sufficient for rank</w:t>
      </w:r>
    </w:p>
    <w:p>
      <w:r>
        <w:rPr>
          <w:rFonts w:ascii="Calibri" w:hAnsi="Calibri"/>
          <w:sz w:val="21"/>
        </w:rPr>
        <w:t>probability and value-of-information analysis.</w:t>
      </w:r>
    </w:p>
    <w:p>
      <w:r>
        <w:rPr>
          <w:rFonts w:ascii="Calibri" w:hAnsi="Calibri"/>
          <w:sz w:val="21"/>
        </w:rPr>
        <w:t>OpenDC-LCA supplies schemas, transformations, tests, and claim boundaries for that collaboration. The two conclusions supported independently here are the released arithmetic and the national direct-generation trend. The cooling crossovers, first ranks, and response coefficients remain conditional numerical screens until the five evidence gaps are closed.</w:t>
      </w:r>
    </w:p>
    <w:p>
      <w:pPr>
        <w:pStyle w:val="Heading2"/>
      </w:pPr>
      <w:r>
        <w:t>4.8. Limitations and submission-grade evidence needs</w:t>
      </w:r>
    </w:p>
    <w:p>
      <w:r>
        <w:rPr>
          <w:rFonts w:ascii="Calibri" w:hAnsi="Calibri"/>
          <w:sz w:val="21"/>
        </w:rPr>
        <w:t>The analysis remains secondary. It does not recreate proprietary background inventories, confidential bills of quantities, the full virtual-core model, or measured hyperscale operation. Equation (8) uses a numerical axis whose climate-method identity is unresolved in the public archive. The Federal LCA Commons factors contain 287 national unlinked technosphere exchanges; the custom solver has not been independently reproduced in openLCA or Brightway. The additive allowance, triangular marginals, and copula dependence cases are secondary diagnostics, not estimates. The convergence check limits numerical sampling error within those designs; it does not reduce epistemic uncertainty in the ranges, dependence structure, cutoffs, or foreground model. eGRID state rates omit consumption transfers, contracts, hourly dispatch, and marginal effects.</w:t>
      </w:r>
    </w:p>
    <w:p>
      <w:r>
        <w:rPr>
          <w:rFonts w:ascii="Calibri" w:hAnsi="Calibri"/>
          <w:sz w:val="21"/>
        </w:rPr>
        <w:t>The assessment focuses on climate results. It does not provide a boundary-consistent comparison of primary energy, water scarcity, toxicity, resource use, or other impact categories. The Boavizta sample mixes products and methods. ÖKOBAUDAT records are German generic A1-A3 factors. The TMY and synthetic performance examples validate software pathways, not technology performance. The USGS file provides watershed geometry rather than water consumption or AWARE characterization. Reliability models omit dependent failures, repair queues, redundancy and maintenance logistics unless the user supplies them. A coauthor methodology review is not an independent critical review.</w:t>
      </w:r>
    </w:p>
    <w:p>
      <w:r>
        <w:rPr>
          <w:rFonts w:ascii="Calibri" w:hAnsi="Calibri"/>
          <w:sz w:val="21"/>
        </w:rPr>
        <w:t>The evidence supports a methodological Technology Assessment of transferability, not a public assertion that one cooling architecture is environmentally preferable. Such an assertion would require resolved common-method inventories, reviewed primary performance and useful-computation data, architecture bills of quantities, water-scarcity characterization, empirically supported joint uncertainty, and an external critical review panel.</w:t>
      </w:r>
    </w:p>
    <w:p>
      <w:pPr>
        <w:pStyle w:val="Heading1"/>
      </w:pPr>
      <w:r>
        <w:t>5. Conclusions</w:t>
      </w:r>
    </w:p>
    <w:p>
      <w:r>
        <w:rPr>
          <w:rFonts w:ascii="Calibri" w:hAnsi="Calibri"/>
          <w:sz w:val="21"/>
        </w:rPr>
        <w:t>This assessment separates three evidence levels that had previously been combined: reproduced source arithmetic, direct-generation trend analysis, and conditional cooling screens. All 24 published totals were arithmetically reproduced, but the public archive does not resolve whether the two numeric electricity endpoints used by the screening axis are AR5 GWP100 or GTP100. Cooling ranks derived from that axis cannot be interpreted as common-method comparative LCA results.</w:t>
      </w:r>
    </w:p>
    <w:p>
      <w:r>
        <w:rPr>
          <w:rFonts w:ascii="Calibri" w:hAnsi="Calibri"/>
          <w:sz w:val="21"/>
        </w:rPr>
        <w:t>The national eGRID generation factor declined 32.46% from 2012 to 2023 after all nine releases were harmonized to AR5 GWP100. The Federal LCA Commons national consumption system yielded 422.93 kg CO2e/MWh, including 53.08 kg CO2e/MWh from linked processes beyond generation, and all 10 FERC systems lay above the 96.70 kg CO2e/MWh numerical crossover. These partial linked-system factors retain documented technosphere cutoffs and require independent calculator verification before benchmark use.</w:t>
      </w:r>
    </w:p>
    <w:p>
      <w:r>
        <w:rPr>
          <w:rFonts w:ascii="Calibri" w:hAnsi="Calibri"/>
          <w:sz w:val="21"/>
        </w:rPr>
        <w:t>Equal-width robustness analysis corrected the earlier attribution of rank loss to embodied variation. At the national lifecycle factor, the first-rank screen failed at 2.64% service-equivalence variation, 2.99% use-phase variation, and 22.15% embodied variation; simultaneous equal-width changes failed at 1.32%. The dominant near-term evidence needs are architecture-resolved useful computation and use-phase demand, followed by complete bills of quantities and common-method inventories.</w:t>
      </w:r>
    </w:p>
    <w:p>
      <w:r>
        <w:rPr>
          <w:rFonts w:ascii="Calibri" w:hAnsi="Calibri"/>
          <w:sz w:val="21"/>
        </w:rPr>
        <w:t>OpenDC-LCA now blocks comparisons with mismatched functional units, boundaries, electricity accounting, LCIA methods, or missing field-level source mappings. That validator catches declared metadata incompatibilities but does not verify the underlying science. The study is suitable as a transferability Technology Assessment; it does not support a public claim of environmental superiority among cooling architectures.</w:t>
      </w:r>
    </w:p>
    <w:p>
      <w:pPr>
        <w:pStyle w:val="Heading1"/>
      </w:pPr>
      <w:r>
        <w:t>Data and code availability</w:t>
      </w:r>
    </w:p>
    <w:p>
      <w:r>
        <w:rPr>
          <w:rFonts w:ascii="Calibri" w:hAnsi="Calibri"/>
          <w:sz w:val="21"/>
        </w:rPr>
        <w:t>OpenDC-LCA version 1.1.0 is publicly available at https://github.com/UARK-NED3/OpenDC-LCA and https://github.com/UARK-NED3/OpenDC-LCA/releases/tag/v1.1.0. The development revision evaluated here adds the Federal LCA Commons solver, cutoff reporting, equal-width robustness certificates, and comparison-level metadata checks; it will be tagged and archived before submission. Analysis metadata and the provider-file manifest record file sizes and SHA-256 checksums. Provider-native files remain outside Git when redistribution permission is unclear or a large upstream archive has not been reviewed for redistribution. The Microsoft archive, eGRID files, Federal LCA Commons baseline and method, and NOAA data are available from their public providers [15,36,37,40,47]. No DOI-bearing software archive is available at the time of this draft.</w:t>
      </w:r>
    </w:p>
    <w:p>
      <w:pPr>
        <w:pStyle w:val="Heading1"/>
      </w:pPr>
      <w:r>
        <w:t>References</w:t>
      </w:r>
    </w:p>
    <w:p>
      <w:pPr>
        <w:spacing w:after="60"/>
        <w:ind w:left="374" w:hanging="288"/>
      </w:pPr>
      <w:r>
        <w:rPr>
          <w:rFonts w:ascii="Calibri" w:hAnsi="Calibri"/>
          <w:sz w:val="21"/>
        </w:rPr>
        <w:t>1. Masanet, E., Shehabi, A., Lei, N., Smith, S. &amp; Koomey, J. Recalibrating</w:t>
      </w:r>
    </w:p>
    <w:p>
      <w:r>
        <w:rPr>
          <w:rFonts w:ascii="Calibri" w:hAnsi="Calibri"/>
          <w:sz w:val="21"/>
        </w:rPr>
        <w:t xml:space="preserve">global data center energy-use estimates. </w:t>
      </w:r>
      <w:r>
        <w:rPr>
          <w:rFonts w:ascii="Calibri" w:hAnsi="Calibri"/>
          <w:i/>
          <w:sz w:val="21"/>
        </w:rPr>
        <w:t>Science</w:t>
      </w:r>
      <w:r>
        <w:rPr>
          <w:rFonts w:ascii="Calibri" w:hAnsi="Calibri"/>
          <w:sz w:val="21"/>
        </w:rPr>
        <w:t xml:space="preserve"> </w:t>
      </w:r>
      <w:r>
        <w:rPr>
          <w:rFonts w:ascii="Calibri" w:hAnsi="Calibri"/>
          <w:b/>
          <w:sz w:val="21"/>
        </w:rPr>
        <w:t>367</w:t>
      </w:r>
      <w:r>
        <w:rPr>
          <w:rFonts w:ascii="Calibri" w:hAnsi="Calibri"/>
          <w:sz w:val="21"/>
        </w:rPr>
        <w:t>, 984-986 (2020). https://doi.org/10.1126/science.aba3758</w:t>
      </w:r>
    </w:p>
    <w:p>
      <w:pPr>
        <w:spacing w:after="60"/>
        <w:ind w:left="374" w:hanging="288"/>
      </w:pPr>
      <w:r>
        <w:rPr>
          <w:rFonts w:ascii="Calibri" w:hAnsi="Calibri"/>
          <w:sz w:val="21"/>
        </w:rPr>
        <w:t>2. International Energy Agency. Data centres and data transmission networks.</w:t>
      </w:r>
    </w:p>
    <w:p>
      <w:r>
        <w:rPr>
          <w:rFonts w:ascii="Calibri" w:hAnsi="Calibri"/>
          <w:sz w:val="21"/>
        </w:rPr>
        <w:t>https://www.iea.org/energy-system/buildings/data-centres-and-data-transmission-networks</w:t>
      </w:r>
    </w:p>
    <w:p>
      <w:pPr>
        <w:spacing w:after="60"/>
        <w:ind w:left="374" w:hanging="288"/>
      </w:pPr>
      <w:r>
        <w:rPr>
          <w:rFonts w:ascii="Calibri" w:hAnsi="Calibri"/>
          <w:sz w:val="21"/>
        </w:rPr>
        <w:t>3. Khalaj, A. H. &amp; Halgamuge, S. K. A review on efficient thermal management</w:t>
      </w:r>
    </w:p>
    <w:p>
      <w:r>
        <w:rPr>
          <w:rFonts w:ascii="Calibri" w:hAnsi="Calibri"/>
          <w:sz w:val="21"/>
        </w:rPr>
        <w:t xml:space="preserve">of air- and liquid-cooled data centers. </w:t>
      </w:r>
      <w:r>
        <w:rPr>
          <w:rFonts w:ascii="Calibri" w:hAnsi="Calibri"/>
          <w:i/>
          <w:sz w:val="21"/>
        </w:rPr>
        <w:t>Applied Energy</w:t>
      </w:r>
      <w:r>
        <w:rPr>
          <w:rFonts w:ascii="Calibri" w:hAnsi="Calibri"/>
          <w:sz w:val="21"/>
        </w:rPr>
        <w:t xml:space="preserve"> </w:t>
      </w:r>
      <w:r>
        <w:rPr>
          <w:rFonts w:ascii="Calibri" w:hAnsi="Calibri"/>
          <w:b/>
          <w:sz w:val="21"/>
        </w:rPr>
        <w:t>205</w:t>
      </w:r>
      <w:r>
        <w:rPr>
          <w:rFonts w:ascii="Calibri" w:hAnsi="Calibri"/>
          <w:sz w:val="21"/>
        </w:rPr>
        <w:t>, 1165-1184 (2017). https://doi.org/10.1016/j.apenergy.2017.08.037</w:t>
      </w:r>
    </w:p>
    <w:p>
      <w:pPr>
        <w:spacing w:after="60"/>
        <w:ind w:left="374" w:hanging="288"/>
      </w:pPr>
      <w:r>
        <w:rPr>
          <w:rFonts w:ascii="Calibri" w:hAnsi="Calibri"/>
          <w:sz w:val="21"/>
        </w:rPr>
        <w:t>4. Alkrush, A. A., Salem, M. S., Abdelrehim, O. &amp; Hegazi, A. A. Data centers</w:t>
      </w:r>
    </w:p>
    <w:p>
      <w:r>
        <w:rPr>
          <w:rFonts w:ascii="Calibri" w:hAnsi="Calibri"/>
          <w:sz w:val="21"/>
        </w:rPr>
        <w:t xml:space="preserve">cooling: a critical review of techniques, challenges, and energy saving solutions. </w:t>
      </w:r>
      <w:r>
        <w:rPr>
          <w:rFonts w:ascii="Calibri" w:hAnsi="Calibri"/>
          <w:i/>
          <w:sz w:val="21"/>
        </w:rPr>
        <w:t>International Journal of Refrigeration</w:t>
      </w:r>
      <w:r>
        <w:rPr>
          <w:rFonts w:ascii="Calibri" w:hAnsi="Calibri"/>
          <w:sz w:val="21"/>
        </w:rPr>
        <w:t xml:space="preserve"> </w:t>
      </w:r>
      <w:r>
        <w:rPr>
          <w:rFonts w:ascii="Calibri" w:hAnsi="Calibri"/>
          <w:b/>
          <w:sz w:val="21"/>
        </w:rPr>
        <w:t>160</w:t>
      </w:r>
      <w:r>
        <w:rPr>
          <w:rFonts w:ascii="Calibri" w:hAnsi="Calibri"/>
          <w:sz w:val="21"/>
        </w:rPr>
        <w:t>, 246-262 (2024). https://doi.org/10.1016/j.ijrefrig.2024.02.007</w:t>
      </w:r>
    </w:p>
    <w:p>
      <w:pPr>
        <w:spacing w:after="60"/>
        <w:ind w:left="374" w:hanging="288"/>
      </w:pPr>
      <w:r>
        <w:rPr>
          <w:rFonts w:ascii="Calibri" w:hAnsi="Calibri"/>
          <w:sz w:val="21"/>
        </w:rPr>
        <w:t>5. Kanbur, B. B., Wu, C., Fan, S. &amp; Duan, F. Two-phase liquid-immersion data</w:t>
      </w:r>
    </w:p>
    <w:p>
      <w:r>
        <w:rPr>
          <w:rFonts w:ascii="Calibri" w:hAnsi="Calibri"/>
          <w:sz w:val="21"/>
        </w:rPr>
        <w:t xml:space="preserve">center cooling system: experimental performance and thermoeconomic analysis. </w:t>
      </w:r>
      <w:r>
        <w:rPr>
          <w:rFonts w:ascii="Calibri" w:hAnsi="Calibri"/>
          <w:i/>
          <w:sz w:val="21"/>
        </w:rPr>
        <w:t>International Journal of Refrigeration</w:t>
      </w:r>
      <w:r>
        <w:rPr>
          <w:rFonts w:ascii="Calibri" w:hAnsi="Calibri"/>
          <w:sz w:val="21"/>
        </w:rPr>
        <w:t xml:space="preserve"> </w:t>
      </w:r>
      <w:r>
        <w:rPr>
          <w:rFonts w:ascii="Calibri" w:hAnsi="Calibri"/>
          <w:b/>
          <w:sz w:val="21"/>
        </w:rPr>
        <w:t>118</w:t>
      </w:r>
      <w:r>
        <w:rPr>
          <w:rFonts w:ascii="Calibri" w:hAnsi="Calibri"/>
          <w:sz w:val="21"/>
        </w:rPr>
        <w:t>, 290-301 (2020). https://doi.org/10.1016/j.ijrefrig.2020.05.026</w:t>
      </w:r>
    </w:p>
    <w:p>
      <w:pPr>
        <w:spacing w:after="60"/>
        <w:ind w:left="374" w:hanging="288"/>
      </w:pPr>
      <w:r>
        <w:rPr>
          <w:rFonts w:ascii="Calibri" w:hAnsi="Calibri"/>
          <w:sz w:val="21"/>
        </w:rPr>
        <w:t>6. Kanbur, B. B., Wu, C., Fan, S. &amp; Duan, F. System-level experimental</w:t>
      </w:r>
    </w:p>
    <w:p>
      <w:r>
        <w:rPr>
          <w:rFonts w:ascii="Calibri" w:hAnsi="Calibri"/>
          <w:sz w:val="21"/>
        </w:rPr>
        <w:t xml:space="preserve">investigations of direct immersion cooling data center units with thermodynamic and thermoeconomic assessments. </w:t>
      </w:r>
      <w:r>
        <w:rPr>
          <w:rFonts w:ascii="Calibri" w:hAnsi="Calibri"/>
          <w:i/>
          <w:sz w:val="21"/>
        </w:rPr>
        <w:t>Energy</w:t>
      </w:r>
      <w:r>
        <w:rPr>
          <w:rFonts w:ascii="Calibri" w:hAnsi="Calibri"/>
          <w:sz w:val="21"/>
        </w:rPr>
        <w:t xml:space="preserve"> </w:t>
      </w:r>
      <w:r>
        <w:rPr>
          <w:rFonts w:ascii="Calibri" w:hAnsi="Calibri"/>
          <w:b/>
          <w:sz w:val="21"/>
        </w:rPr>
        <w:t>217</w:t>
      </w:r>
      <w:r>
        <w:rPr>
          <w:rFonts w:ascii="Calibri" w:hAnsi="Calibri"/>
          <w:sz w:val="21"/>
        </w:rPr>
        <w:t>, 119373 (2021). https://doi.org/10.1016/j.energy.2020.119373</w:t>
      </w:r>
    </w:p>
    <w:p>
      <w:pPr>
        <w:spacing w:after="60"/>
        <w:ind w:left="374" w:hanging="288"/>
      </w:pPr>
      <w:r>
        <w:rPr>
          <w:rFonts w:ascii="Calibri" w:hAnsi="Calibri"/>
          <w:sz w:val="21"/>
        </w:rPr>
        <w:t>7. Huang, Y., Liu, B., Xu, S., Bao, C., Zhong, Y. &amp; Zhang, C. Experimental</w:t>
      </w:r>
    </w:p>
    <w:p>
      <w:r>
        <w:rPr>
          <w:rFonts w:ascii="Calibri" w:hAnsi="Calibri"/>
          <w:sz w:val="21"/>
        </w:rPr>
        <w:t xml:space="preserve">study on immersion liquid cooling performance of high-power data center servers. </w:t>
      </w:r>
      <w:r>
        <w:rPr>
          <w:rFonts w:ascii="Calibri" w:hAnsi="Calibri"/>
          <w:i/>
          <w:sz w:val="21"/>
        </w:rPr>
        <w:t>Energy</w:t>
      </w:r>
      <w:r>
        <w:rPr>
          <w:rFonts w:ascii="Calibri" w:hAnsi="Calibri"/>
          <w:sz w:val="21"/>
        </w:rPr>
        <w:t xml:space="preserve"> </w:t>
      </w:r>
      <w:r>
        <w:rPr>
          <w:rFonts w:ascii="Calibri" w:hAnsi="Calibri"/>
          <w:b/>
          <w:sz w:val="21"/>
        </w:rPr>
        <w:t>297</w:t>
      </w:r>
      <w:r>
        <w:rPr>
          <w:rFonts w:ascii="Calibri" w:hAnsi="Calibri"/>
          <w:sz w:val="21"/>
        </w:rPr>
        <w:t>, 131195 (2024). https://doi.org/10.1016/j.energy.2024.131195</w:t>
      </w:r>
    </w:p>
    <w:p>
      <w:pPr>
        <w:spacing w:after="60"/>
        <w:ind w:left="374" w:hanging="288"/>
      </w:pPr>
      <w:r>
        <w:rPr>
          <w:rFonts w:ascii="Calibri" w:hAnsi="Calibri"/>
          <w:sz w:val="21"/>
        </w:rPr>
        <w:t>8. Wu, X. et al. Investigations on heat dissipation performance and overall</w:t>
      </w:r>
    </w:p>
    <w:p>
      <w:r>
        <w:rPr>
          <w:rFonts w:ascii="Calibri" w:hAnsi="Calibri"/>
          <w:sz w:val="21"/>
        </w:rPr>
        <w:t xml:space="preserve">characteristics of two-phase liquid immersion cooling systems for data center. </w:t>
      </w:r>
      <w:r>
        <w:rPr>
          <w:rFonts w:ascii="Calibri" w:hAnsi="Calibri"/>
          <w:i/>
          <w:sz w:val="21"/>
        </w:rPr>
        <w:t>International Journal of Heat and Mass Transfer</w:t>
      </w:r>
      <w:r>
        <w:rPr>
          <w:rFonts w:ascii="Calibri" w:hAnsi="Calibri"/>
          <w:sz w:val="21"/>
        </w:rPr>
        <w:t xml:space="preserve"> </w:t>
      </w:r>
      <w:r>
        <w:rPr>
          <w:rFonts w:ascii="Calibri" w:hAnsi="Calibri"/>
          <w:b/>
          <w:sz w:val="21"/>
        </w:rPr>
        <w:t>239</w:t>
      </w:r>
      <w:r>
        <w:rPr>
          <w:rFonts w:ascii="Calibri" w:hAnsi="Calibri"/>
          <w:sz w:val="21"/>
        </w:rPr>
        <w:t>, 126575 (2025). https://doi.org/10.1016/j.ijheatmasstransfer.2024.126575</w:t>
      </w:r>
    </w:p>
    <w:p>
      <w:pPr>
        <w:spacing w:after="60"/>
        <w:ind w:left="374" w:hanging="288"/>
      </w:pPr>
      <w:r>
        <w:rPr>
          <w:rFonts w:ascii="Calibri" w:hAnsi="Calibri"/>
          <w:sz w:val="21"/>
        </w:rPr>
        <w:t>9. Whitehead, B., Andrews, D., Shah, A. &amp; Maidment, G. Assessing the</w:t>
      </w:r>
    </w:p>
    <w:p>
      <w:r>
        <w:rPr>
          <w:rFonts w:ascii="Calibri" w:hAnsi="Calibri"/>
          <w:sz w:val="21"/>
        </w:rPr>
        <w:t xml:space="preserve">environmental impact of data centres. Part 1: background, energy use and metrics. </w:t>
      </w:r>
      <w:r>
        <w:rPr>
          <w:rFonts w:ascii="Calibri" w:hAnsi="Calibri"/>
          <w:i/>
          <w:sz w:val="21"/>
        </w:rPr>
        <w:t>Building and Environment</w:t>
      </w:r>
      <w:r>
        <w:rPr>
          <w:rFonts w:ascii="Calibri" w:hAnsi="Calibri"/>
          <w:sz w:val="21"/>
        </w:rPr>
        <w:t xml:space="preserve"> </w:t>
      </w:r>
      <w:r>
        <w:rPr>
          <w:rFonts w:ascii="Calibri" w:hAnsi="Calibri"/>
          <w:b/>
          <w:sz w:val="21"/>
        </w:rPr>
        <w:t>82</w:t>
      </w:r>
      <w:r>
        <w:rPr>
          <w:rFonts w:ascii="Calibri" w:hAnsi="Calibri"/>
          <w:sz w:val="21"/>
        </w:rPr>
        <w:t>, 151-159 (2014). https://doi.org/10.1016/j.buildenv.2014.08.021</w:t>
      </w:r>
    </w:p>
    <w:p>
      <w:pPr>
        <w:spacing w:after="60"/>
        <w:ind w:left="374" w:hanging="288"/>
      </w:pPr>
      <w:r>
        <w:rPr>
          <w:rFonts w:ascii="Calibri" w:hAnsi="Calibri"/>
          <w:sz w:val="21"/>
        </w:rPr>
        <w:t>10. Siddik, M. A. B., Shehabi, A. &amp; Marston, L. The environmental footprint</w:t>
      </w:r>
    </w:p>
    <w:p>
      <w:r>
        <w:rPr>
          <w:rFonts w:ascii="Calibri" w:hAnsi="Calibri"/>
          <w:sz w:val="21"/>
        </w:rPr>
        <w:t xml:space="preserve">of data centers in the United States. </w:t>
      </w:r>
      <w:r>
        <w:rPr>
          <w:rFonts w:ascii="Calibri" w:hAnsi="Calibri"/>
          <w:i/>
          <w:sz w:val="21"/>
        </w:rPr>
        <w:t>Environmental Research Letters</w:t>
      </w:r>
      <w:r>
        <w:rPr>
          <w:rFonts w:ascii="Calibri" w:hAnsi="Calibri"/>
          <w:sz w:val="21"/>
        </w:rPr>
        <w:t xml:space="preserve"> </w:t>
      </w:r>
      <w:r>
        <w:rPr>
          <w:rFonts w:ascii="Calibri" w:hAnsi="Calibri"/>
          <w:b/>
          <w:sz w:val="21"/>
        </w:rPr>
        <w:t>16</w:t>
      </w:r>
      <w:r>
        <w:rPr>
          <w:rFonts w:ascii="Calibri" w:hAnsi="Calibri"/>
          <w:sz w:val="21"/>
        </w:rPr>
        <w:t>, 064017 (2021). https://doi.org/10.1088/1748-9326/abfba1</w:t>
      </w:r>
    </w:p>
    <w:p>
      <w:pPr>
        <w:spacing w:after="60"/>
        <w:ind w:left="374" w:hanging="288"/>
      </w:pPr>
      <w:r>
        <w:rPr>
          <w:rFonts w:ascii="Calibri" w:hAnsi="Calibri"/>
          <w:sz w:val="21"/>
        </w:rPr>
        <w:t>11. Ristic, B., Madani, K. &amp; Makuch, Z. The water footprint of data centers.</w:t>
      </w:r>
    </w:p>
    <w:p>
      <w:r>
        <w:rPr>
          <w:rFonts w:ascii="Calibri" w:hAnsi="Calibri"/>
          <w:i/>
          <w:sz w:val="21"/>
        </w:rPr>
        <w:t>Sustainability</w:t>
      </w:r>
      <w:r>
        <w:rPr>
          <w:rFonts w:ascii="Calibri" w:hAnsi="Calibri"/>
          <w:sz w:val="21"/>
        </w:rPr>
        <w:t xml:space="preserve"> </w:t>
      </w:r>
      <w:r>
        <w:rPr>
          <w:rFonts w:ascii="Calibri" w:hAnsi="Calibri"/>
          <w:b/>
          <w:sz w:val="21"/>
        </w:rPr>
        <w:t>7</w:t>
      </w:r>
      <w:r>
        <w:rPr>
          <w:rFonts w:ascii="Calibri" w:hAnsi="Calibri"/>
          <w:sz w:val="21"/>
        </w:rPr>
        <w:t>, 11260-11284 (2015). https://doi.org/10.3390/su70811260</w:t>
      </w:r>
    </w:p>
    <w:p>
      <w:pPr>
        <w:spacing w:after="60"/>
        <w:ind w:left="374" w:hanging="288"/>
      </w:pPr>
      <w:r>
        <w:rPr>
          <w:rFonts w:ascii="Calibri" w:hAnsi="Calibri"/>
          <w:sz w:val="21"/>
        </w:rPr>
        <w:t>12. Isler-Kaya, A. &amp; Karaosmanoglu, F. Life cycle assessment of a</w:t>
      </w:r>
    </w:p>
    <w:p>
      <w:r>
        <w:rPr>
          <w:rFonts w:ascii="Calibri" w:hAnsi="Calibri"/>
          <w:sz w:val="21"/>
        </w:rPr>
        <w:t xml:space="preserve">climate-friendly data center cooling device. </w:t>
      </w:r>
      <w:r>
        <w:rPr>
          <w:rFonts w:ascii="Calibri" w:hAnsi="Calibri"/>
          <w:i/>
          <w:sz w:val="21"/>
        </w:rPr>
        <w:t>Energy and Buildings</w:t>
      </w:r>
      <w:r>
        <w:rPr>
          <w:rFonts w:ascii="Calibri" w:hAnsi="Calibri"/>
          <w:sz w:val="21"/>
        </w:rPr>
        <w:t xml:space="preserve"> </w:t>
      </w:r>
      <w:r>
        <w:rPr>
          <w:rFonts w:ascii="Calibri" w:hAnsi="Calibri"/>
          <w:b/>
          <w:sz w:val="21"/>
        </w:rPr>
        <w:t>288</w:t>
      </w:r>
      <w:r>
        <w:rPr>
          <w:rFonts w:ascii="Calibri" w:hAnsi="Calibri"/>
          <w:sz w:val="21"/>
        </w:rPr>
        <w:t>, 113006 (2023). https://doi.org/10.1016/j.enbuild.2023.113006</w:t>
      </w:r>
    </w:p>
    <w:p>
      <w:pPr>
        <w:spacing w:after="60"/>
        <w:ind w:left="374" w:hanging="288"/>
      </w:pPr>
      <w:r>
        <w:rPr>
          <w:rFonts w:ascii="Calibri" w:hAnsi="Calibri"/>
          <w:sz w:val="21"/>
        </w:rPr>
        <w:t>13. Wenzel, P. M. &amp; Radgen, P. Extending effectiveness to efficiency:</w:t>
      </w:r>
    </w:p>
    <w:p>
      <w:r>
        <w:rPr>
          <w:rFonts w:ascii="Calibri" w:hAnsi="Calibri"/>
          <w:sz w:val="21"/>
        </w:rPr>
        <w:t xml:space="preserve">comparing energy and environmental assessment methods for a wet cooling tower. </w:t>
      </w:r>
      <w:r>
        <w:rPr>
          <w:rFonts w:ascii="Calibri" w:hAnsi="Calibri"/>
          <w:i/>
          <w:sz w:val="21"/>
        </w:rPr>
        <w:t>Journal of Industrial Ecology</w:t>
      </w:r>
      <w:r>
        <w:rPr>
          <w:rFonts w:ascii="Calibri" w:hAnsi="Calibri"/>
          <w:sz w:val="21"/>
        </w:rPr>
        <w:t xml:space="preserve"> </w:t>
      </w:r>
      <w:r>
        <w:rPr>
          <w:rFonts w:ascii="Calibri" w:hAnsi="Calibri"/>
          <w:b/>
          <w:sz w:val="21"/>
        </w:rPr>
        <w:t>27</w:t>
      </w:r>
      <w:r>
        <w:rPr>
          <w:rFonts w:ascii="Calibri" w:hAnsi="Calibri"/>
          <w:sz w:val="21"/>
        </w:rPr>
        <w:t>, 693-706 (2023). https://doi.org/10.1111/jiec.13396</w:t>
      </w:r>
    </w:p>
    <w:p>
      <w:pPr>
        <w:spacing w:after="60"/>
        <w:ind w:left="374" w:hanging="288"/>
      </w:pPr>
      <w:r>
        <w:rPr>
          <w:rFonts w:ascii="Calibri" w:hAnsi="Calibri"/>
          <w:sz w:val="21"/>
        </w:rPr>
        <w:t>14. Alissa, H. et al. Using life cycle assessment to drive innovation for</w:t>
      </w:r>
    </w:p>
    <w:p>
      <w:r>
        <w:rPr>
          <w:rFonts w:ascii="Calibri" w:hAnsi="Calibri"/>
          <w:sz w:val="21"/>
        </w:rPr>
        <w:t xml:space="preserve">sustainable cool clouds. </w:t>
      </w:r>
      <w:r>
        <w:rPr>
          <w:rFonts w:ascii="Calibri" w:hAnsi="Calibri"/>
          <w:i/>
          <w:sz w:val="21"/>
        </w:rPr>
        <w:t>Nature</w:t>
      </w:r>
      <w:r>
        <w:rPr>
          <w:rFonts w:ascii="Calibri" w:hAnsi="Calibri"/>
          <w:sz w:val="21"/>
        </w:rPr>
        <w:t xml:space="preserve"> </w:t>
      </w:r>
      <w:r>
        <w:rPr>
          <w:rFonts w:ascii="Calibri" w:hAnsi="Calibri"/>
          <w:b/>
          <w:sz w:val="21"/>
        </w:rPr>
        <w:t>641</w:t>
      </w:r>
      <w:r>
        <w:rPr>
          <w:rFonts w:ascii="Calibri" w:hAnsi="Calibri"/>
          <w:sz w:val="21"/>
        </w:rPr>
        <w:t>, 331-338 (2025). https://doi.org/10.1038/s41586-025-08832-3</w:t>
      </w:r>
    </w:p>
    <w:p>
      <w:pPr>
        <w:spacing w:after="60"/>
        <w:ind w:left="374" w:hanging="288"/>
      </w:pPr>
      <w:r>
        <w:rPr>
          <w:rFonts w:ascii="Calibri" w:hAnsi="Calibri"/>
          <w:sz w:val="21"/>
        </w:rPr>
        <w:t>15. Alissa, H. et al. Data and model archive for “Using life cycle assessment</w:t>
      </w:r>
    </w:p>
    <w:p>
      <w:r>
        <w:rPr>
          <w:rFonts w:ascii="Calibri" w:hAnsi="Calibri"/>
          <w:sz w:val="21"/>
        </w:rPr>
        <w:t>to drive innovation for sustainable cool clouds.” Zenodo record 14268168 (2024). https://doi.org/10.5281/zenodo.14268168</w:t>
      </w:r>
    </w:p>
    <w:p>
      <w:pPr>
        <w:spacing w:after="60"/>
        <w:ind w:left="374" w:hanging="288"/>
      </w:pPr>
      <w:r>
        <w:rPr>
          <w:rFonts w:ascii="Calibri" w:hAnsi="Calibri"/>
          <w:sz w:val="21"/>
        </w:rPr>
        <w:t>16. Zhang, M., Carbajales-Dale, M., Ma, X., Guo, L. &amp; Fan, C. Cleaner grid or</w:t>
      </w:r>
    </w:p>
    <w:p>
      <w:r>
        <w:rPr>
          <w:rFonts w:ascii="Calibri" w:hAnsi="Calibri"/>
          <w:sz w:val="21"/>
        </w:rPr>
        <w:t xml:space="preserve">smarter cooling? Environmental impact trade-offs of a data center using the life cycle assessment method. </w:t>
      </w:r>
      <w:r>
        <w:rPr>
          <w:rFonts w:ascii="Calibri" w:hAnsi="Calibri"/>
          <w:i/>
          <w:sz w:val="21"/>
        </w:rPr>
        <w:t>Cleaner Energy Systems</w:t>
      </w:r>
      <w:r>
        <w:rPr>
          <w:rFonts w:ascii="Calibri" w:hAnsi="Calibri"/>
          <w:sz w:val="21"/>
        </w:rPr>
        <w:t xml:space="preserve"> </w:t>
      </w:r>
      <w:r>
        <w:rPr>
          <w:rFonts w:ascii="Calibri" w:hAnsi="Calibri"/>
          <w:b/>
          <w:sz w:val="21"/>
        </w:rPr>
        <w:t>12</w:t>
      </w:r>
      <w:r>
        <w:rPr>
          <w:rFonts w:ascii="Calibri" w:hAnsi="Calibri"/>
          <w:sz w:val="21"/>
        </w:rPr>
        <w:t>, 100223 (2025). https://doi.org/10.1016/j.cles.2025.100223</w:t>
      </w:r>
    </w:p>
    <w:p>
      <w:pPr>
        <w:spacing w:after="60"/>
        <w:ind w:left="374" w:hanging="288"/>
      </w:pPr>
      <w:r>
        <w:rPr>
          <w:rFonts w:ascii="Calibri" w:hAnsi="Calibri"/>
          <w:sz w:val="21"/>
        </w:rPr>
        <w:t>17. Boyd, S. B., Horvath, A. &amp; Dornfeld, D. Life-cycle assessment of</w:t>
      </w:r>
    </w:p>
    <w:p>
      <w:r>
        <w:rPr>
          <w:rFonts w:ascii="Calibri" w:hAnsi="Calibri"/>
          <w:sz w:val="21"/>
        </w:rPr>
        <w:t xml:space="preserve">computational logic produced from 1995 through 2010. </w:t>
      </w:r>
      <w:r>
        <w:rPr>
          <w:rFonts w:ascii="Calibri" w:hAnsi="Calibri"/>
          <w:i/>
          <w:sz w:val="21"/>
        </w:rPr>
        <w:t>Environmental Science &amp; Technology</w:t>
      </w:r>
      <w:r>
        <w:rPr>
          <w:rFonts w:ascii="Calibri" w:hAnsi="Calibri"/>
          <w:sz w:val="21"/>
        </w:rPr>
        <w:t xml:space="preserve"> </w:t>
      </w:r>
      <w:r>
        <w:rPr>
          <w:rFonts w:ascii="Calibri" w:hAnsi="Calibri"/>
          <w:b/>
          <w:sz w:val="21"/>
        </w:rPr>
        <w:t>47</w:t>
      </w:r>
      <w:r>
        <w:rPr>
          <w:rFonts w:ascii="Calibri" w:hAnsi="Calibri"/>
          <w:sz w:val="21"/>
        </w:rPr>
        <w:t>, 2947-2954 (2013). https://doi.org/10.1021/es303012r</w:t>
      </w:r>
    </w:p>
    <w:p>
      <w:pPr>
        <w:spacing w:after="60"/>
        <w:ind w:left="374" w:hanging="288"/>
      </w:pPr>
      <w:r>
        <w:rPr>
          <w:rFonts w:ascii="Calibri" w:hAnsi="Calibri"/>
          <w:sz w:val="21"/>
        </w:rPr>
        <w:t>18. Malmodin, J. &amp; Lundén, D. The energy and carbon footprint of the global</w:t>
      </w:r>
    </w:p>
    <w:p>
      <w:r>
        <w:rPr>
          <w:rFonts w:ascii="Calibri" w:hAnsi="Calibri"/>
          <w:sz w:val="21"/>
        </w:rPr>
        <w:t xml:space="preserve">ICT and E&amp;M sectors 2010-2015. </w:t>
      </w:r>
      <w:r>
        <w:rPr>
          <w:rFonts w:ascii="Calibri" w:hAnsi="Calibri"/>
          <w:i/>
          <w:sz w:val="21"/>
        </w:rPr>
        <w:t>Sustainability</w:t>
      </w:r>
      <w:r>
        <w:rPr>
          <w:rFonts w:ascii="Calibri" w:hAnsi="Calibri"/>
          <w:sz w:val="21"/>
        </w:rPr>
        <w:t xml:space="preserve"> </w:t>
      </w:r>
      <w:r>
        <w:rPr>
          <w:rFonts w:ascii="Calibri" w:hAnsi="Calibri"/>
          <w:b/>
          <w:sz w:val="21"/>
        </w:rPr>
        <w:t>10</w:t>
      </w:r>
      <w:r>
        <w:rPr>
          <w:rFonts w:ascii="Calibri" w:hAnsi="Calibri"/>
          <w:sz w:val="21"/>
        </w:rPr>
        <w:t>, 3027 (2018). https://doi.org/10.3390/su10093027</w:t>
      </w:r>
    </w:p>
    <w:p>
      <w:pPr>
        <w:spacing w:after="60"/>
        <w:ind w:left="374" w:hanging="288"/>
      </w:pPr>
      <w:r>
        <w:rPr>
          <w:rFonts w:ascii="Calibri" w:hAnsi="Calibri"/>
          <w:sz w:val="21"/>
        </w:rPr>
        <w:t>19. Holzapfel, P., Bach, V. &amp; Finkbeiner, M. Electricity accounting in life</w:t>
      </w:r>
    </w:p>
    <w:p>
      <w:r>
        <w:rPr>
          <w:rFonts w:ascii="Calibri" w:hAnsi="Calibri"/>
          <w:sz w:val="21"/>
        </w:rPr>
        <w:t xml:space="preserve">cycle assessment: the challenge of double counting. </w:t>
      </w:r>
      <w:r>
        <w:rPr>
          <w:rFonts w:ascii="Calibri" w:hAnsi="Calibri"/>
          <w:i/>
          <w:sz w:val="21"/>
        </w:rPr>
        <w:t>International Journal of Life Cycle Assessment</w:t>
      </w:r>
      <w:r>
        <w:rPr>
          <w:rFonts w:ascii="Calibri" w:hAnsi="Calibri"/>
          <w:sz w:val="21"/>
        </w:rPr>
        <w:t xml:space="preserve"> </w:t>
      </w:r>
      <w:r>
        <w:rPr>
          <w:rFonts w:ascii="Calibri" w:hAnsi="Calibri"/>
          <w:b/>
          <w:sz w:val="21"/>
        </w:rPr>
        <w:t>28</w:t>
      </w:r>
      <w:r>
        <w:rPr>
          <w:rFonts w:ascii="Calibri" w:hAnsi="Calibri"/>
          <w:sz w:val="21"/>
        </w:rPr>
        <w:t>, 771-787 (2023). https://doi.org/10.1007/s11367-023-02158-w</w:t>
      </w:r>
    </w:p>
    <w:p>
      <w:pPr>
        <w:spacing w:after="60"/>
        <w:ind w:left="374" w:hanging="288"/>
      </w:pPr>
      <w:r>
        <w:rPr>
          <w:rFonts w:ascii="Calibri" w:hAnsi="Calibri"/>
          <w:sz w:val="21"/>
        </w:rPr>
        <w:t>20. Holzapfel, P., Bunsen, J., Schmidt-Sierra, I., Bach, V. &amp; Finkbeiner, M.</w:t>
      </w:r>
    </w:p>
    <w:p>
      <w:r>
        <w:rPr>
          <w:rFonts w:ascii="Calibri" w:hAnsi="Calibri"/>
          <w:sz w:val="21"/>
        </w:rPr>
        <w:t xml:space="preserve">Replacing location-based electricity consumption with market-based residual mixes in background data to avoid possible double counting. </w:t>
      </w:r>
      <w:r>
        <w:rPr>
          <w:rFonts w:ascii="Calibri" w:hAnsi="Calibri"/>
          <w:i/>
          <w:sz w:val="21"/>
        </w:rPr>
        <w:t>International Journal of Life Cycle Assessment</w:t>
      </w:r>
      <w:r>
        <w:rPr>
          <w:rFonts w:ascii="Calibri" w:hAnsi="Calibri"/>
          <w:sz w:val="21"/>
        </w:rPr>
        <w:t xml:space="preserve"> </w:t>
      </w:r>
      <w:r>
        <w:rPr>
          <w:rFonts w:ascii="Calibri" w:hAnsi="Calibri"/>
          <w:b/>
          <w:sz w:val="21"/>
        </w:rPr>
        <w:t>29</w:t>
      </w:r>
      <w:r>
        <w:rPr>
          <w:rFonts w:ascii="Calibri" w:hAnsi="Calibri"/>
          <w:sz w:val="21"/>
        </w:rPr>
        <w:t>, 1279-1289 (2024). https://doi.org/10.1007/s11367-024-02294-x</w:t>
      </w:r>
    </w:p>
    <w:p>
      <w:pPr>
        <w:spacing w:after="60"/>
        <w:ind w:left="374" w:hanging="288"/>
      </w:pPr>
      <w:r>
        <w:rPr>
          <w:rFonts w:ascii="Calibri" w:hAnsi="Calibri"/>
          <w:sz w:val="21"/>
        </w:rPr>
        <w:t>21. Dandres, T., Farrahi Moghaddam, R., Nguyen, K. K., Lemieux, Y., Samson,</w:t>
      </w:r>
    </w:p>
    <w:p>
      <w:r>
        <w:rPr>
          <w:rFonts w:ascii="Calibri" w:hAnsi="Calibri"/>
          <w:sz w:val="21"/>
        </w:rPr>
        <w:t xml:space="preserve">R. &amp; Cheriet, M. Consideration of marginal electricity in real-time minimization of distributed data centre emissions. </w:t>
      </w:r>
      <w:r>
        <w:rPr>
          <w:rFonts w:ascii="Calibri" w:hAnsi="Calibri"/>
          <w:i/>
          <w:sz w:val="21"/>
        </w:rPr>
        <w:t>Journal of Cleaner Production</w:t>
      </w:r>
      <w:r>
        <w:rPr>
          <w:rFonts w:ascii="Calibri" w:hAnsi="Calibri"/>
          <w:sz w:val="21"/>
        </w:rPr>
        <w:t xml:space="preserve"> </w:t>
      </w:r>
      <w:r>
        <w:rPr>
          <w:rFonts w:ascii="Calibri" w:hAnsi="Calibri"/>
          <w:b/>
          <w:sz w:val="21"/>
        </w:rPr>
        <w:t>143</w:t>
      </w:r>
      <w:r>
        <w:rPr>
          <w:rFonts w:ascii="Calibri" w:hAnsi="Calibri"/>
          <w:sz w:val="21"/>
        </w:rPr>
        <w:t>, 116-124 (2017). https://doi.org/10.1016/j.jclepro.2016.12.143</w:t>
      </w:r>
    </w:p>
    <w:p>
      <w:pPr>
        <w:spacing w:after="60"/>
        <w:ind w:left="374" w:hanging="288"/>
      </w:pPr>
      <w:r>
        <w:rPr>
          <w:rFonts w:ascii="Calibri" w:hAnsi="Calibri"/>
          <w:sz w:val="21"/>
        </w:rPr>
        <w:t>22. Sohn, J., Kalbar, P., Goldstein, B. &amp; Birkved, M. Defining temporally</w:t>
      </w:r>
    </w:p>
    <w:p>
      <w:r>
        <w:rPr>
          <w:rFonts w:ascii="Calibri" w:hAnsi="Calibri"/>
          <w:sz w:val="21"/>
        </w:rPr>
        <w:t xml:space="preserve">dynamic life cycle assessment: a review. </w:t>
      </w:r>
      <w:r>
        <w:rPr>
          <w:rFonts w:ascii="Calibri" w:hAnsi="Calibri"/>
          <w:i/>
          <w:sz w:val="21"/>
        </w:rPr>
        <w:t>Integrated Environmental Assessment and Management</w:t>
      </w:r>
      <w:r>
        <w:rPr>
          <w:rFonts w:ascii="Calibri" w:hAnsi="Calibri"/>
          <w:sz w:val="21"/>
        </w:rPr>
        <w:t xml:space="preserve"> </w:t>
      </w:r>
      <w:r>
        <w:rPr>
          <w:rFonts w:ascii="Calibri" w:hAnsi="Calibri"/>
          <w:b/>
          <w:sz w:val="21"/>
        </w:rPr>
        <w:t>16</w:t>
      </w:r>
      <w:r>
        <w:rPr>
          <w:rFonts w:ascii="Calibri" w:hAnsi="Calibri"/>
          <w:sz w:val="21"/>
        </w:rPr>
        <w:t>, 314-323 (2020). https://doi.org/10.1002/ieam.4235</w:t>
      </w:r>
    </w:p>
    <w:p>
      <w:pPr>
        <w:spacing w:after="60"/>
        <w:ind w:left="374" w:hanging="288"/>
      </w:pPr>
      <w:r>
        <w:rPr>
          <w:rFonts w:ascii="Calibri" w:hAnsi="Calibri"/>
          <w:sz w:val="21"/>
        </w:rPr>
        <w:t>23. Beloin-Saint-Pierre, D. et al. Addressing temporal considerations in life</w:t>
      </w:r>
    </w:p>
    <w:p>
      <w:r>
        <w:rPr>
          <w:rFonts w:ascii="Calibri" w:hAnsi="Calibri"/>
          <w:sz w:val="21"/>
        </w:rPr>
        <w:t xml:space="preserve">cycle assessment. </w:t>
      </w:r>
      <w:r>
        <w:rPr>
          <w:rFonts w:ascii="Calibri" w:hAnsi="Calibri"/>
          <w:i/>
          <w:sz w:val="21"/>
        </w:rPr>
        <w:t>Science of the Total Environment</w:t>
      </w:r>
      <w:r>
        <w:rPr>
          <w:rFonts w:ascii="Calibri" w:hAnsi="Calibri"/>
          <w:sz w:val="21"/>
        </w:rPr>
        <w:t xml:space="preserve"> </w:t>
      </w:r>
      <w:r>
        <w:rPr>
          <w:rFonts w:ascii="Calibri" w:hAnsi="Calibri"/>
          <w:b/>
          <w:sz w:val="21"/>
        </w:rPr>
        <w:t>743</w:t>
      </w:r>
      <w:r>
        <w:rPr>
          <w:rFonts w:ascii="Calibri" w:hAnsi="Calibri"/>
          <w:sz w:val="21"/>
        </w:rPr>
        <w:t>, 140700 (2020). https://doi.org/10.1016/j.scitotenv.2020.140700</w:t>
      </w:r>
    </w:p>
    <w:p>
      <w:pPr>
        <w:spacing w:after="60"/>
        <w:ind w:left="374" w:hanging="288"/>
      </w:pPr>
      <w:r>
        <w:rPr>
          <w:rFonts w:ascii="Calibri" w:hAnsi="Calibri"/>
          <w:sz w:val="21"/>
        </w:rPr>
        <w:t>24. Cardellini, G., Mutel, C. L., Vial, E. &amp; Muys, B. Temporalis, a generic</w:t>
      </w:r>
    </w:p>
    <w:p>
      <w:r>
        <w:rPr>
          <w:rFonts w:ascii="Calibri" w:hAnsi="Calibri"/>
          <w:sz w:val="21"/>
        </w:rPr>
        <w:t xml:space="preserve">method and tool for dynamic life cycle assessment. </w:t>
      </w:r>
      <w:r>
        <w:rPr>
          <w:rFonts w:ascii="Calibri" w:hAnsi="Calibri"/>
          <w:i/>
          <w:sz w:val="21"/>
        </w:rPr>
        <w:t>Science of the Total Environment</w:t>
      </w:r>
      <w:r>
        <w:rPr>
          <w:rFonts w:ascii="Calibri" w:hAnsi="Calibri"/>
          <w:sz w:val="21"/>
        </w:rPr>
        <w:t xml:space="preserve"> </w:t>
      </w:r>
      <w:r>
        <w:rPr>
          <w:rFonts w:ascii="Calibri" w:hAnsi="Calibri"/>
          <w:b/>
          <w:sz w:val="21"/>
        </w:rPr>
        <w:t>645</w:t>
      </w:r>
      <w:r>
        <w:rPr>
          <w:rFonts w:ascii="Calibri" w:hAnsi="Calibri"/>
          <w:sz w:val="21"/>
        </w:rPr>
        <w:t>, 585-595 (2018). https://doi.org/10.1016/j.scitotenv.2018.07.044</w:t>
      </w:r>
    </w:p>
    <w:p>
      <w:pPr>
        <w:spacing w:after="60"/>
        <w:ind w:left="374" w:hanging="288"/>
      </w:pPr>
      <w:r>
        <w:rPr>
          <w:rFonts w:ascii="Calibri" w:hAnsi="Calibri"/>
          <w:sz w:val="21"/>
        </w:rPr>
        <w:t>25. Müller, A. et al. Time-explicit life cycle assessment: a flexible</w:t>
      </w:r>
    </w:p>
    <w:p>
      <w:r>
        <w:rPr>
          <w:rFonts w:ascii="Calibri" w:hAnsi="Calibri"/>
          <w:sz w:val="21"/>
        </w:rPr>
        <w:t xml:space="preserve">framework for coherent consideration of temporal dynamics. </w:t>
      </w:r>
      <w:r>
        <w:rPr>
          <w:rFonts w:ascii="Calibri" w:hAnsi="Calibri"/>
          <w:i/>
          <w:sz w:val="21"/>
        </w:rPr>
        <w:t>International Journal of Life Cycle Assessment</w:t>
      </w:r>
      <w:r>
        <w:rPr>
          <w:rFonts w:ascii="Calibri" w:hAnsi="Calibri"/>
          <w:sz w:val="21"/>
        </w:rPr>
        <w:t xml:space="preserve"> (2025). https://doi.org/10.1007/s11367-025-02539-3</w:t>
      </w:r>
    </w:p>
    <w:p>
      <w:pPr>
        <w:spacing w:after="60"/>
        <w:ind w:left="374" w:hanging="288"/>
      </w:pPr>
      <w:r>
        <w:rPr>
          <w:rFonts w:ascii="Calibri" w:hAnsi="Calibri"/>
          <w:sz w:val="21"/>
        </w:rPr>
        <w:t>26. Diepers, T., Müller, A. &amp; Jakobs, A. bw_timex: a Python package for</w:t>
      </w:r>
    </w:p>
    <w:p>
      <w:r>
        <w:rPr>
          <w:rFonts w:ascii="Calibri" w:hAnsi="Calibri"/>
          <w:sz w:val="21"/>
        </w:rPr>
        <w:t xml:space="preserve">time-explicit life cycle assessment. </w:t>
      </w:r>
      <w:r>
        <w:rPr>
          <w:rFonts w:ascii="Calibri" w:hAnsi="Calibri"/>
          <w:i/>
          <w:sz w:val="21"/>
        </w:rPr>
        <w:t>Journal of Open Source Software</w:t>
      </w:r>
      <w:r>
        <w:rPr>
          <w:rFonts w:ascii="Calibri" w:hAnsi="Calibri"/>
          <w:sz w:val="21"/>
        </w:rPr>
        <w:t xml:space="preserve"> </w:t>
      </w:r>
      <w:r>
        <w:rPr>
          <w:rFonts w:ascii="Calibri" w:hAnsi="Calibri"/>
          <w:b/>
          <w:sz w:val="21"/>
        </w:rPr>
        <w:t>11</w:t>
      </w:r>
      <w:r>
        <w:rPr>
          <w:rFonts w:ascii="Calibri" w:hAnsi="Calibri"/>
          <w:sz w:val="21"/>
        </w:rPr>
        <w:t>, 9621 (2026). https://doi.org/10.21105/joss.09621</w:t>
      </w:r>
    </w:p>
    <w:p>
      <w:pPr>
        <w:spacing w:after="60"/>
        <w:ind w:left="374" w:hanging="288"/>
      </w:pPr>
      <w:r>
        <w:rPr>
          <w:rFonts w:ascii="Calibri" w:hAnsi="Calibri"/>
          <w:sz w:val="21"/>
        </w:rPr>
        <w:t>27. Michiels, F. &amp; Geeraerd, A. How to decide and visualize whether</w:t>
      </w:r>
    </w:p>
    <w:p>
      <w:r>
        <w:rPr>
          <w:rFonts w:ascii="Calibri" w:hAnsi="Calibri"/>
          <w:sz w:val="21"/>
        </w:rPr>
        <w:t xml:space="preserve">uncertainty or variability is dominating in life cycle assessment results: a systematic review. </w:t>
      </w:r>
      <w:r>
        <w:rPr>
          <w:rFonts w:ascii="Calibri" w:hAnsi="Calibri"/>
          <w:i/>
          <w:sz w:val="21"/>
        </w:rPr>
        <w:t>Environmental Modelling &amp; Software</w:t>
      </w:r>
      <w:r>
        <w:rPr>
          <w:rFonts w:ascii="Calibri" w:hAnsi="Calibri"/>
          <w:sz w:val="21"/>
        </w:rPr>
        <w:t xml:space="preserve"> </w:t>
      </w:r>
      <w:r>
        <w:rPr>
          <w:rFonts w:ascii="Calibri" w:hAnsi="Calibri"/>
          <w:b/>
          <w:sz w:val="21"/>
        </w:rPr>
        <w:t>133</w:t>
      </w:r>
      <w:r>
        <w:rPr>
          <w:rFonts w:ascii="Calibri" w:hAnsi="Calibri"/>
          <w:sz w:val="21"/>
        </w:rPr>
        <w:t>, 104841 (2020). https://doi.org/10.1016/j.envsoft.2020.104841</w:t>
      </w:r>
    </w:p>
    <w:p>
      <w:pPr>
        <w:spacing w:after="60"/>
        <w:ind w:left="374" w:hanging="288"/>
      </w:pPr>
      <w:r>
        <w:rPr>
          <w:rFonts w:ascii="Calibri" w:hAnsi="Calibri"/>
          <w:sz w:val="21"/>
        </w:rPr>
        <w:t>28. Lloyd, S. M. &amp; Ries, R. Characterizing, propagating, and analyzing</w:t>
      </w:r>
    </w:p>
    <w:p>
      <w:r>
        <w:rPr>
          <w:rFonts w:ascii="Calibri" w:hAnsi="Calibri"/>
          <w:sz w:val="21"/>
        </w:rPr>
        <w:t xml:space="preserve">uncertainty in life-cycle assessment: a survey of quantitative approaches. </w:t>
      </w:r>
      <w:r>
        <w:rPr>
          <w:rFonts w:ascii="Calibri" w:hAnsi="Calibri"/>
          <w:i/>
          <w:sz w:val="21"/>
        </w:rPr>
        <w:t>Journal of Industrial Ecology</w:t>
      </w:r>
      <w:r>
        <w:rPr>
          <w:rFonts w:ascii="Calibri" w:hAnsi="Calibri"/>
          <w:sz w:val="21"/>
        </w:rPr>
        <w:t xml:space="preserve"> </w:t>
      </w:r>
      <w:r>
        <w:rPr>
          <w:rFonts w:ascii="Calibri" w:hAnsi="Calibri"/>
          <w:b/>
          <w:sz w:val="21"/>
        </w:rPr>
        <w:t>11</w:t>
      </w:r>
      <w:r>
        <w:rPr>
          <w:rFonts w:ascii="Calibri" w:hAnsi="Calibri"/>
          <w:sz w:val="21"/>
        </w:rPr>
        <w:t>, 161-179 (2007). https://doi.org/10.1162/jiec.2007.1136</w:t>
      </w:r>
    </w:p>
    <w:p>
      <w:pPr>
        <w:spacing w:after="60"/>
        <w:ind w:left="374" w:hanging="288"/>
      </w:pPr>
      <w:r>
        <w:rPr>
          <w:rFonts w:ascii="Calibri" w:hAnsi="Calibri"/>
          <w:sz w:val="21"/>
        </w:rPr>
        <w:t>29. Edelen, A. &amp; Ingwersen, W. Guidance on Data Quality Assessment for Life</w:t>
      </w:r>
    </w:p>
    <w:p>
      <w:r>
        <w:rPr>
          <w:rFonts w:ascii="Calibri" w:hAnsi="Calibri"/>
          <w:sz w:val="21"/>
        </w:rPr>
        <w:t>Cycle Inventory Data. U.S. EPA, EPA/600/R-16/096 (2016). https://cfpub.epa.gov/si/si_public_record_report.cfm?Lab=NRMRL&amp;dirEntryId=321834</w:t>
      </w:r>
    </w:p>
    <w:p>
      <w:pPr>
        <w:spacing w:after="60"/>
        <w:ind w:left="374" w:hanging="288"/>
      </w:pPr>
      <w:r>
        <w:rPr>
          <w:rFonts w:ascii="Calibri" w:hAnsi="Calibri"/>
          <w:sz w:val="21"/>
        </w:rPr>
        <w:t>30. Marchese, D. C., Bates, M. E., Keisler, J. M., Alcaraz, M. L., Linkov, I.</w:t>
      </w:r>
    </w:p>
    <w:p>
      <w:r>
        <w:rPr>
          <w:rFonts w:ascii="Calibri" w:hAnsi="Calibri"/>
          <w:sz w:val="21"/>
        </w:rPr>
        <w:t xml:space="preserve">&amp; Olivetti, E. A. Value of information analysis for life cycle assessment: uncertain emissions in green manufacturing of electronic tablets. </w:t>
      </w:r>
      <w:r>
        <w:rPr>
          <w:rFonts w:ascii="Calibri" w:hAnsi="Calibri"/>
          <w:i/>
          <w:sz w:val="21"/>
        </w:rPr>
        <w:t>Journal of Cleaner Production</w:t>
      </w:r>
      <w:r>
        <w:rPr>
          <w:rFonts w:ascii="Calibri" w:hAnsi="Calibri"/>
          <w:sz w:val="21"/>
        </w:rPr>
        <w:t xml:space="preserve"> </w:t>
      </w:r>
      <w:r>
        <w:rPr>
          <w:rFonts w:ascii="Calibri" w:hAnsi="Calibri"/>
          <w:b/>
          <w:sz w:val="21"/>
        </w:rPr>
        <w:t>197</w:t>
      </w:r>
      <w:r>
        <w:rPr>
          <w:rFonts w:ascii="Calibri" w:hAnsi="Calibri"/>
          <w:sz w:val="21"/>
        </w:rPr>
        <w:t>, 1540-1545 (2018). https://doi.org/10.1016/j.jclepro.2018.06.113</w:t>
      </w:r>
    </w:p>
    <w:p>
      <w:pPr>
        <w:spacing w:after="60"/>
        <w:ind w:left="374" w:hanging="288"/>
      </w:pPr>
      <w:r>
        <w:rPr>
          <w:rFonts w:ascii="Calibri" w:hAnsi="Calibri"/>
          <w:sz w:val="21"/>
        </w:rPr>
        <w:t>31. International Organization for Standardization. ISO 14040:2006,</w:t>
      </w:r>
    </w:p>
    <w:p>
      <w:r>
        <w:rPr>
          <w:rFonts w:ascii="Calibri" w:hAnsi="Calibri"/>
          <w:sz w:val="21"/>
        </w:rPr>
        <w:t>Environmental management - Life cycle assessment - Principles and framework; and ISO 14044:2006, Environmental management - Life cycle assessment - Requirements and guidelines. https://www.iso.org/committee/54854/x/catalogue/; https://www.iso.org/standard/38498.html</w:t>
      </w:r>
    </w:p>
    <w:p>
      <w:pPr>
        <w:spacing w:after="60"/>
        <w:ind w:left="374" w:hanging="288"/>
      </w:pPr>
      <w:r>
        <w:rPr>
          <w:rFonts w:ascii="Calibri" w:hAnsi="Calibri"/>
          <w:sz w:val="21"/>
        </w:rPr>
        <w:t>32. International Organization for Standardization. ISO 14071:2024,</w:t>
      </w:r>
    </w:p>
    <w:p>
      <w:r>
        <w:rPr>
          <w:rFonts w:ascii="Calibri" w:hAnsi="Calibri"/>
          <w:sz w:val="21"/>
        </w:rPr>
        <w:t>Environmental management - Life cycle assessment - Critical review processes and reviewer competencies (2024). https://www.iso.org/standard/82464.html</w:t>
      </w:r>
    </w:p>
    <w:p>
      <w:pPr>
        <w:spacing w:after="60"/>
        <w:ind w:left="374" w:hanging="288"/>
      </w:pPr>
      <w:r>
        <w:rPr>
          <w:rFonts w:ascii="Calibri" w:hAnsi="Calibri"/>
          <w:sz w:val="21"/>
        </w:rPr>
        <w:t>33. GreenDelta. openLCA: open source life cycle assessment software.</w:t>
      </w:r>
    </w:p>
    <w:p>
      <w:r>
        <w:rPr>
          <w:rFonts w:ascii="Calibri" w:hAnsi="Calibri"/>
          <w:sz w:val="21"/>
        </w:rPr>
        <w:t>https://www.openlca.org/</w:t>
      </w:r>
    </w:p>
    <w:p>
      <w:pPr>
        <w:spacing w:after="60"/>
        <w:ind w:left="374" w:hanging="288"/>
      </w:pPr>
      <w:r>
        <w:rPr>
          <w:rFonts w:ascii="Calibri" w:hAnsi="Calibri"/>
          <w:sz w:val="21"/>
        </w:rPr>
        <w:t>34. Mutel, C. Brightway: an open source framework for life cycle assessment.</w:t>
      </w:r>
    </w:p>
    <w:p>
      <w:r>
        <w:rPr>
          <w:rFonts w:ascii="Calibri" w:hAnsi="Calibri"/>
          <w:i/>
          <w:sz w:val="21"/>
        </w:rPr>
        <w:t>Journal of Open Source Software</w:t>
      </w:r>
      <w:r>
        <w:rPr>
          <w:rFonts w:ascii="Calibri" w:hAnsi="Calibri"/>
          <w:sz w:val="21"/>
        </w:rPr>
        <w:t xml:space="preserve"> </w:t>
      </w:r>
      <w:r>
        <w:rPr>
          <w:rFonts w:ascii="Calibri" w:hAnsi="Calibri"/>
          <w:b/>
          <w:sz w:val="21"/>
        </w:rPr>
        <w:t>2</w:t>
      </w:r>
      <w:r>
        <w:rPr>
          <w:rFonts w:ascii="Calibri" w:hAnsi="Calibri"/>
          <w:sz w:val="21"/>
        </w:rPr>
        <w:t>, 236 (2017). https://doi.org/10.21105/joss.00236</w:t>
      </w:r>
    </w:p>
    <w:p>
      <w:pPr>
        <w:spacing w:after="60"/>
        <w:ind w:left="374" w:hanging="288"/>
      </w:pPr>
      <w:r>
        <w:rPr>
          <w:rFonts w:ascii="Calibri" w:hAnsi="Calibri"/>
          <w:sz w:val="21"/>
        </w:rPr>
        <w:t>35. UARK-NED3. OpenDC-LCA version 1.1.0.</w:t>
      </w:r>
    </w:p>
    <w:p>
      <w:r>
        <w:rPr>
          <w:rFonts w:ascii="Calibri" w:hAnsi="Calibri"/>
          <w:sz w:val="21"/>
        </w:rPr>
        <w:t>https://github.com/UARK-NED3/OpenDC-LCA</w:t>
      </w:r>
    </w:p>
    <w:p>
      <w:pPr>
        <w:spacing w:after="60"/>
        <w:ind w:left="374" w:hanging="288"/>
      </w:pPr>
      <w:r>
        <w:rPr>
          <w:rFonts w:ascii="Calibri" w:hAnsi="Calibri"/>
          <w:sz w:val="21"/>
        </w:rPr>
        <w:t>36. U.S. Environmental Protection Agency. Emissions &amp; Generation Resource</w:t>
      </w:r>
    </w:p>
    <w:p>
      <w:r>
        <w:rPr>
          <w:rFonts w:ascii="Calibri" w:hAnsi="Calibri"/>
          <w:sz w:val="21"/>
        </w:rPr>
        <w:t>Integrated Database (eGRID), detailed data. https://www.epa.gov/egrid/detailed-data</w:t>
      </w:r>
    </w:p>
    <w:p>
      <w:pPr>
        <w:spacing w:after="60"/>
        <w:ind w:left="374" w:hanging="288"/>
      </w:pPr>
      <w:r>
        <w:rPr>
          <w:rFonts w:ascii="Calibri" w:hAnsi="Calibri"/>
          <w:sz w:val="21"/>
        </w:rPr>
        <w:t>37. U.S. Environmental Protection Agency. Frequent questions about eGRID:</w:t>
      </w:r>
    </w:p>
    <w:p>
      <w:r>
        <w:rPr>
          <w:rFonts w:ascii="Calibri" w:hAnsi="Calibri"/>
          <w:sz w:val="21"/>
        </w:rPr>
        <w:t>global warming potentials and methodology changes. https://www.epa.gov/egrid/frequent-questions-about-egrid</w:t>
      </w:r>
    </w:p>
    <w:p>
      <w:pPr>
        <w:spacing w:after="60"/>
        <w:ind w:left="374" w:hanging="288"/>
      </w:pPr>
      <w:r>
        <w:rPr>
          <w:rFonts w:ascii="Calibri" w:hAnsi="Calibri"/>
          <w:sz w:val="21"/>
        </w:rPr>
        <w:t>38. Boavizta. BoaviztAPI data repository.</w:t>
      </w:r>
    </w:p>
    <w:p>
      <w:r>
        <w:rPr>
          <w:rFonts w:ascii="Calibri" w:hAnsi="Calibri"/>
          <w:sz w:val="21"/>
        </w:rPr>
        <w:t>https://github.com/Boavizta/boaviztapi</w:t>
      </w:r>
    </w:p>
    <w:p>
      <w:pPr>
        <w:spacing w:after="60"/>
        <w:ind w:left="374" w:hanging="288"/>
      </w:pPr>
      <w:r>
        <w:rPr>
          <w:rFonts w:ascii="Calibri" w:hAnsi="Calibri"/>
          <w:sz w:val="21"/>
        </w:rPr>
        <w:t>39. Bundesinstitut für Bau-, Stadt- und Raumforschung. ÖKOBAUDAT 2024-II.</w:t>
      </w:r>
    </w:p>
    <w:p>
      <w:r>
        <w:rPr>
          <w:rFonts w:ascii="Calibri" w:hAnsi="Calibri"/>
          <w:sz w:val="21"/>
        </w:rPr>
        <w:t>https://www.oekobaudat.de/</w:t>
      </w:r>
    </w:p>
    <w:p>
      <w:pPr>
        <w:spacing w:after="60"/>
        <w:ind w:left="374" w:hanging="288"/>
      </w:pPr>
      <w:r>
        <w:rPr>
          <w:rFonts w:ascii="Calibri" w:hAnsi="Calibri"/>
          <w:sz w:val="21"/>
        </w:rPr>
        <w:t>40. National Centers for Environmental Information. Typical Meteorological</w:t>
      </w:r>
    </w:p>
    <w:p>
      <w:r>
        <w:rPr>
          <w:rFonts w:ascii="Calibri" w:hAnsi="Calibri"/>
          <w:sz w:val="21"/>
        </w:rPr>
        <w:t>Year data. https://www.ncei.noaa.gov/access/typical-meteorological-year/</w:t>
      </w:r>
    </w:p>
    <w:p>
      <w:pPr>
        <w:spacing w:after="60"/>
        <w:ind w:left="374" w:hanging="288"/>
      </w:pPr>
      <w:r>
        <w:rPr>
          <w:rFonts w:ascii="Calibri" w:hAnsi="Calibri"/>
          <w:sz w:val="21"/>
        </w:rPr>
        <w:t>41. National Renewable Energy Laboratory. U.S. Life Cycle Inventory Database,</w:t>
      </w:r>
    </w:p>
    <w:p>
      <w:r>
        <w:rPr>
          <w:rFonts w:ascii="Calibri" w:hAnsi="Calibri"/>
          <w:sz w:val="21"/>
        </w:rPr>
        <w:t>version 1.2026-06.0. Federal LCA Commons. https://www.lcacommons.gov/</w:t>
      </w:r>
    </w:p>
    <w:p>
      <w:pPr>
        <w:spacing w:after="60"/>
        <w:ind w:left="374" w:hanging="288"/>
      </w:pPr>
      <w:r>
        <w:rPr>
          <w:rFonts w:ascii="Calibri" w:hAnsi="Calibri"/>
          <w:sz w:val="21"/>
        </w:rPr>
        <w:t>42. United Nations Environment Programme. Global LCA Data Access network.</w:t>
      </w:r>
    </w:p>
    <w:p>
      <w:r>
        <w:rPr>
          <w:rFonts w:ascii="Calibri" w:hAnsi="Calibri"/>
          <w:sz w:val="21"/>
        </w:rPr>
        <w:t>https://www.globallcadataaccess.org/</w:t>
      </w:r>
    </w:p>
    <w:p>
      <w:pPr>
        <w:spacing w:after="60"/>
        <w:ind w:left="374" w:hanging="288"/>
      </w:pPr>
      <w:r>
        <w:rPr>
          <w:rFonts w:ascii="Calibri" w:hAnsi="Calibri"/>
          <w:sz w:val="21"/>
        </w:rPr>
        <w:t>43. U.S. Geological Survey. Watershed Boundary Dataset.</w:t>
      </w:r>
    </w:p>
    <w:p>
      <w:r>
        <w:rPr>
          <w:rFonts w:ascii="Calibri" w:hAnsi="Calibri"/>
          <w:sz w:val="21"/>
        </w:rPr>
        <w:t>https://www.usgs.gov/national-hydrography/watershed-boundary-dataset</w:t>
      </w:r>
    </w:p>
    <w:p>
      <w:pPr>
        <w:spacing w:after="60"/>
        <w:ind w:left="374" w:hanging="288"/>
      </w:pPr>
      <w:r>
        <w:rPr>
          <w:rFonts w:ascii="Calibri" w:hAnsi="Calibri"/>
          <w:sz w:val="21"/>
        </w:rPr>
        <w:t>44. d'Orgeval, A., Sheehan, S., Avenas, Q., Assoumou, E. &amp; Sessa, V.</w:t>
      </w:r>
    </w:p>
    <w:p>
      <w:r>
        <w:rPr>
          <w:rFonts w:ascii="Calibri" w:hAnsi="Calibri"/>
          <w:sz w:val="21"/>
        </w:rPr>
        <w:t xml:space="preserve">Generative AI impact assessment through a life cycle analysis of multiple data center typologies. </w:t>
      </w:r>
      <w:r>
        <w:rPr>
          <w:rFonts w:ascii="Calibri" w:hAnsi="Calibri"/>
          <w:i/>
          <w:sz w:val="21"/>
        </w:rPr>
        <w:t>Applied Energy</w:t>
      </w:r>
      <w:r>
        <w:rPr>
          <w:rFonts w:ascii="Calibri" w:hAnsi="Calibri"/>
          <w:sz w:val="21"/>
        </w:rPr>
        <w:t xml:space="preserve"> </w:t>
      </w:r>
      <w:r>
        <w:rPr>
          <w:rFonts w:ascii="Calibri" w:hAnsi="Calibri"/>
          <w:b/>
          <w:sz w:val="21"/>
        </w:rPr>
        <w:t>406</w:t>
      </w:r>
      <w:r>
        <w:rPr>
          <w:rFonts w:ascii="Calibri" w:hAnsi="Calibri"/>
          <w:sz w:val="21"/>
        </w:rPr>
        <w:t>, 127288 (2026). https://doi.org/10.1016/j.apenergy.2025.127288</w:t>
      </w:r>
    </w:p>
    <w:p>
      <w:pPr>
        <w:spacing w:after="60"/>
        <w:ind w:left="374" w:hanging="288"/>
      </w:pPr>
      <w:r>
        <w:rPr>
          <w:rFonts w:ascii="Calibri" w:hAnsi="Calibri"/>
          <w:sz w:val="21"/>
        </w:rPr>
        <w:t>45. Wu, S., Zheng, W., Wang, Z., Chen, G., Yang, P., Yue, S., Li, D. &amp; Wu, Y.</w:t>
      </w:r>
    </w:p>
    <w:p>
      <w:r>
        <w:rPr>
          <w:rFonts w:ascii="Calibri" w:hAnsi="Calibri"/>
          <w:sz w:val="21"/>
        </w:rPr>
        <w:t xml:space="preserve">AlphaDataCenterCooling: A new computational model for data center cooling system evaluation. </w:t>
      </w:r>
      <w:r>
        <w:rPr>
          <w:rFonts w:ascii="Calibri" w:hAnsi="Calibri"/>
          <w:i/>
          <w:sz w:val="21"/>
        </w:rPr>
        <w:t>Applied Energy</w:t>
      </w:r>
      <w:r>
        <w:rPr>
          <w:rFonts w:ascii="Calibri" w:hAnsi="Calibri"/>
          <w:sz w:val="21"/>
        </w:rPr>
        <w:t xml:space="preserve"> </w:t>
      </w:r>
      <w:r>
        <w:rPr>
          <w:rFonts w:ascii="Calibri" w:hAnsi="Calibri"/>
          <w:b/>
          <w:sz w:val="21"/>
        </w:rPr>
        <w:t>380</w:t>
      </w:r>
      <w:r>
        <w:rPr>
          <w:rFonts w:ascii="Calibri" w:hAnsi="Calibri"/>
          <w:sz w:val="21"/>
        </w:rPr>
        <w:t>, 125100 (2025). https://doi.org/10.1016/j.apenergy.2024.125100</w:t>
      </w:r>
    </w:p>
    <w:p>
      <w:pPr>
        <w:spacing w:after="60"/>
        <w:ind w:left="374" w:hanging="288"/>
      </w:pPr>
      <w:r>
        <w:rPr>
          <w:rFonts w:ascii="Calibri" w:hAnsi="Calibri"/>
          <w:sz w:val="21"/>
        </w:rPr>
        <w:t>46. Groen, E. A. &amp; Heijungs, R. Ignoring correlation in uncertainty and</w:t>
      </w:r>
    </w:p>
    <w:p>
      <w:r>
        <w:rPr>
          <w:rFonts w:ascii="Calibri" w:hAnsi="Calibri"/>
          <w:sz w:val="21"/>
        </w:rPr>
        <w:t xml:space="preserve">sensitivity analysis in life cycle assessment: what is the risk? </w:t>
      </w:r>
      <w:r>
        <w:rPr>
          <w:rFonts w:ascii="Calibri" w:hAnsi="Calibri"/>
          <w:i/>
          <w:sz w:val="21"/>
        </w:rPr>
        <w:t>Environmental Impact Assessment Review</w:t>
      </w:r>
      <w:r>
        <w:rPr>
          <w:rFonts w:ascii="Calibri" w:hAnsi="Calibri"/>
          <w:sz w:val="21"/>
        </w:rPr>
        <w:t xml:space="preserve"> </w:t>
      </w:r>
      <w:r>
        <w:rPr>
          <w:rFonts w:ascii="Calibri" w:hAnsi="Calibri"/>
          <w:b/>
          <w:sz w:val="21"/>
        </w:rPr>
        <w:t>62</w:t>
      </w:r>
      <w:r>
        <w:rPr>
          <w:rFonts w:ascii="Calibri" w:hAnsi="Calibri"/>
          <w:sz w:val="21"/>
        </w:rPr>
        <w:t>, 98-109 (2017). https://doi.org/10.1016/j.eiar.2016.10.006</w:t>
      </w:r>
    </w:p>
    <w:p>
      <w:pPr>
        <w:spacing w:after="60"/>
        <w:ind w:left="374" w:hanging="288"/>
      </w:pPr>
      <w:r>
        <w:rPr>
          <w:rFonts w:ascii="Calibri" w:hAnsi="Calibri"/>
          <w:sz w:val="21"/>
        </w:rPr>
        <w:t>47. National Energy Technology Laboratory. U.S. Electricity Baseline, 2023</w:t>
      </w:r>
    </w:p>
    <w:p>
      <w:r>
        <w:rPr>
          <w:rFonts w:ascii="Calibri" w:hAnsi="Calibri"/>
          <w:sz w:val="21"/>
        </w:rPr>
        <w:t>data release, version 03.00.000. Federal LCA Commons (2026). https://www.lcacommons.gov/lca-collaboration/Federal_LCA_Commons/US_electricity_baseline</w:t>
      </w:r>
    </w:p>
    <w:p>
      <w:pPr>
        <w:spacing w:after="60"/>
        <w:ind w:left="374" w:hanging="288"/>
      </w:pPr>
      <w:r>
        <w:rPr>
          <w:rFonts w:ascii="Calibri" w:hAnsi="Calibri"/>
          <w:sz w:val="21"/>
        </w:rPr>
        <w:t>48. International Telecommunication Union. ITU-T Recommendation L.1410:</w:t>
      </w:r>
    </w:p>
    <w:p>
      <w:r>
        <w:rPr>
          <w:rFonts w:ascii="Calibri" w:hAnsi="Calibri"/>
          <w:sz w:val="21"/>
        </w:rPr>
        <w:t>Methodology for environmental life cycle assessments of information and communication technology goods, networks and services (2024). https://handle.itu.int/11.1002/1000/16010</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758A"/>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758A"/>
        <w:sz w:val="17"/>
      </w:rPr>
      <w:t>OpenDC-LCA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left"/>
    </w:pPr>
    <w:rPr>
      <w:rFonts w:ascii="Calibri" w:hAnsi="Calibri"/>
      <w:b/>
      <w:bCs/>
      <w:i w:val="0"/>
      <w:color w:val="17324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OpenDC-LCA manuscript</dc:title>
  <dc:subject>Open, evidence-gated LCA for data-center cooling</dc:subject>
  <dc:creator>Braden Stevens; Pengjiang Xiang; Yimin Chen; Darin Nutter; Han Hu</dc:creator>
  <cp:keywords>data center, cooling, LCA, reproducibility, OpenDC-LCA</cp:keywords>
  <dc:description>generated by python-docx</dc:description>
  <cp:lastModifiedBy/>
  <cp:revision>1</cp:revision>
  <dcterms:created xsi:type="dcterms:W3CDTF">2013-12-23T23:15:00Z</dcterms:created>
  <dcterms:modified xsi:type="dcterms:W3CDTF">2013-12-23T23:15:00Z</dcterms:modified>
  <cp:category/>
</cp:coreProperties>
</file>