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98.png" ContentType="image/png"/>
  <Override PartName="/word/media/rId168.png" ContentType="image/png"/>
  <Override PartName="/word/media/rId137.png" ContentType="image/png"/>
  <Override PartName="/word/media/rId114.png" ContentType="image/png"/>
  <Override PartName="/word/media/rId187.png" ContentType="image/png"/>
  <Override PartName="/word/media/rId149.png" ContentType="image/png"/>
  <Override PartName="/word/media/rId74.png" ContentType="image/png"/>
  <Override PartName="/word/media/rId190.png" ContentType="image/png"/>
  <Override PartName="/word/media/rId133.png" ContentType="image/png"/>
  <Override PartName="/word/media/rId134.png" ContentType="image/png"/>
  <Override PartName="/word/media/rId118.png" ContentType="image/png"/>
  <Override PartName="/word/media/rId126.png" ContentType="image/png"/>
  <Override PartName="/word/media/rId165.png" ContentType="image/png"/>
  <Override PartName="/word/media/rId158.png" ContentType="image/png"/>
  <Override PartName="/word/media/rId147.png" ContentType="image/png"/>
  <Override PartName="/word/media/rId197.png" ContentType="image/png"/>
  <Override PartName="/word/media/rId205.png" ContentType="image/png"/>
  <Override PartName="/word/media/rId123.png" ContentType="image/png"/>
  <Override PartName="/word/media/rId228.png" ContentType="image/png"/>
  <Override PartName="/word/media/rId200.png" ContentType="image/png"/>
  <Override PartName="/word/media/rId45.png" ContentType="image/png"/>
  <Override PartName="/word/media/rId47.png" ContentType="image/png"/>
  <Override PartName="/word/media/rId151.png" ContentType="image/png"/>
  <Override PartName="/word/media/rId105.png" ContentType="image/png"/>
  <Override PartName="/word/media/rId155.png" ContentType="image/png"/>
  <Override PartName="/word/media/rId112.png" ContentType="image/png"/>
  <Override PartName="/word/media/rId185.png" ContentType="image/png"/>
  <Override PartName="/word/media/rId160.png" ContentType="image/png"/>
  <Override PartName="/word/media/rId194.png" ContentType="image/png"/>
  <Override PartName="/word/media/rId53.png" ContentType="image/png"/>
  <Override PartName="/word/media/rId55.png" ContentType="image/png"/>
  <Override PartName="/word/media/rId57.png" ContentType="image/png"/>
  <Override PartName="/word/media/rId77.png" ContentType="image/png"/>
  <Override PartName="/word/media/rId162.png" ContentType="image/png"/>
  <Override PartName="/word/media/rId183.png" ContentType="image/png"/>
  <Override PartName="/word/media/rId163.png" ContentType="image/png"/>
  <Override PartName="/word/media/rId216.png" ContentType="image/png"/>
  <Override PartName="/word/media/rId90.png" ContentType="image/png"/>
  <Override PartName="/word/media/rId192.png" ContentType="image/png"/>
  <Override PartName="/word/media/rId225.png" ContentType="image/png"/>
  <Override PartName="/word/media/rId100.png" ContentType="image/png"/>
  <Override PartName="/word/media/rId103.png" ContentType="image/png"/>
  <Override PartName="/word/media/rId95.png" ContentType="image/png"/>
  <Override PartName="/word/media/rId211.png" ContentType="image/png"/>
  <Override PartName="/word/media/rId209.png" ContentType="image/png"/>
  <Override PartName="/word/media/rId218.png" ContentType="image/png"/>
  <Override PartName="/word/media/rId140.png" ContentType="image/png"/>
  <Override PartName="/word/media/rId143.png" ContentType="image/png"/>
  <Override PartName="/word/media/rId172.png" ContentType="image/png"/>
  <Override PartName="/word/media/rId129.png" ContentType="image/png"/>
  <Override PartName="/word/media/rId177.png" ContentType="image/png"/>
  <Override PartName="/word/media/rId71.png" ContentType="image/png"/>
  <Override PartName="/word/media/rId69.png" ContentType="image/png"/>
  <Override PartName="/word/media/rId109.png" ContentType="image/png"/>
  <Override PartName="/word/media/rId62.png" ContentType="image/png"/>
  <Override PartName="/word/media/rId65.png" ContentType="image/png"/>
  <Override PartName="/word/media/rId38.png" ContentType="image/png"/>
  <Override PartName="/word/media/rId40.png" ContentType="image/png"/>
  <Override PartName="/word/media/rId42.png" ContentType="image/png"/>
  <Override PartName="/word/media/rId81.png" ContentType="image/png"/>
  <Override PartName="/word/media/rId31.png" ContentType="image/png"/>
  <Override PartName="/word/media/rId32.png" ContentType="image/png"/>
  <Override PartName="/word/media/rId29.png" ContentType="image/png"/>
  <Override PartName="/word/media/rId34.png" ContentType="image/png"/>
  <Override PartName="/word/media/rId175.png" ContentType="image/png"/>
  <Override PartName="/word/media/rId179.png" ContentType="image/png"/>
  <Override PartName="/word/media/rId26.png" ContentType="image/png"/>
  <Override PartName="/word/media/rId86.png" ContentType="image/png"/>
  <Override PartName="/word/media/rId207.png" ContentType="image/png"/>
  <Override PartName="/word/media/rId214.png" ContentType="image/png"/>
  <Override PartName="/word/media/rId83.jpg" ContentType="image/jpe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Fondos Rotatorios de Estupefacientes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Instituciones Prestadoras de Salud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los Fondos Rotatorios de Estupefacientes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Con el fin de iniciar la primera fase de desarrollo del proyecto de inversión 1901 y recopilar las características de las herramientas tecnológicas para la consolidación de la información y el seguimiento al consumo de estos medicamentos en el territorio.</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instituciones inscritas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61"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departamentos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los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que en nueve FRE sólo se tienen a 2 personas vinculadas. Se tienen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Figura</w:t>
      </w:r>
      <w:r>
        <w:t xml:space="preserve"> </w:t>
      </w:r>
      <w:r>
        <w:t xml:space="preserve">4.6</w:t>
      </w:r>
      <w:r>
        <w:t xml:space="preserve">, donde se exhibe el número de inscritos en cada FRE departamental. A partir de esta información, se puede apreciar el ente territorial con el mayor número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con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se observa que están respectivamente por encima y por debajo de la media en el recurso humano que tienen para su funcionamiento y sin embargo, envían informes de manera puntual al FNE. Por otra parte, el departamento del Cauca supera en recurso humano a Nariño por más del doble de personal (</w:t>
      </w:r>
      <w:r>
        <w:rPr>
          <w:bCs/>
          <w:b/>
        </w:rPr>
        <w:t xml:space="preserve">??</w:t>
      </w:r>
      <w:r>
        <w:t xml:space="preserve">)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debe a que cada departamento maneja independencia en los precios de venta de estos medicamentos y de este rubro se obtiene una rentabilidad que varía en cada FRE.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60" w:name="propuesta-de-clasificación-de-los-fre"/>
    <w:p>
      <w:pPr>
        <w:pStyle w:val="Heading2"/>
      </w:pPr>
      <w:r>
        <w:rPr>
          <w:rStyle w:val="SectionNumber"/>
        </w:rPr>
        <w:t xml:space="preserve">4.5</w:t>
      </w:r>
      <w:r>
        <w:tab/>
      </w:r>
      <w:r>
        <w:t xml:space="preserve">Propuesta de clasificación de los FRE</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propone una clasificación de los FRE - de acuerdo con su nivel de complejidad e indicadores de gestión - con el fin de mejorar el direccionamiento de acciones o asistencia a los FREs, sin el ánimo de generar acciones prohibitivas o represivas. El objetivo es generar grupos de FRE que permitan establecer las capacidades actuales así como las similaridades o diferencias entre los departamentos. Todo esto con el fin de generar un instrumento que sirva como insumo para la generación de políticas públicas y toma de decisiones relacionadas con el manejo de MME.</w:t>
      </w:r>
    </w:p>
    <w:bookmarkStart w:id="52" w:name="variables"/>
    <w:p>
      <w:pPr>
        <w:pStyle w:val="Heading3"/>
      </w:pPr>
      <w:r>
        <w:rPr>
          <w:rStyle w:val="SectionNumber"/>
        </w:rPr>
        <w:t xml:space="preserve">4.5.1</w:t>
      </w:r>
      <w:r>
        <w:tab/>
      </w:r>
      <w:r>
        <w:t xml:space="preserve">Variables</w:t>
      </w:r>
    </w:p>
    <w:p>
      <w:pPr>
        <w:pStyle w:val="FirstParagraph"/>
      </w:pPr>
      <w:r>
        <w:t xml:space="preserve">A continuación, se listan las variables definidas para la clasificación de los FRE y se presenta una breve descripción de las mismas.</w:t>
      </w:r>
    </w:p>
    <w:bookmarkStart w:id="50" w:name="Xb698e5447ca2c03484c6aa5f74d42cf8913dc4d"/>
    <w:p>
      <w:pPr>
        <w:pStyle w:val="Heading4"/>
      </w:pPr>
      <w:r>
        <w:rPr>
          <w:rStyle w:val="SectionNumber"/>
        </w:rPr>
        <w:t xml:space="preserve">4.5.1.1</w:t>
      </w:r>
      <w:r>
        <w:tab/>
      </w:r>
      <w:r>
        <w:t xml:space="preserve">Variables relacionadas con la complejidad</w:t>
      </w:r>
    </w:p>
    <w:p>
      <w:pPr>
        <w:pStyle w:val="FirstParagraph"/>
      </w:pPr>
      <w:r>
        <w:t xml:space="preserve">Con complejidad se hace referencia a la magnitud de las actividades que debe desarrollar un FRE en su departamento, lo cual se relaciona de manera directa con el tamaño que tiene cada uno de estos entes territoriales. A diferencia de la definición de nivel de complejidad utilizada en el Sistema General de Seguridad Social en Salud</w:t>
      </w:r>
      <w:hyperlink w:anchor="ref-MinisteriodeSalud1994">
        <w:r>
          <w:rPr>
            <w:rStyle w:val="Hyperlink"/>
            <w:vertAlign w:val="superscript"/>
          </w:rPr>
          <w:t xml:space="preserve">8</w:t>
        </w:r>
      </w:hyperlink>
      <w:r>
        <w:t xml:space="preserve">, esta definición no hace referencia a una clasificación funcional que tenga en cuenta capacidades construidas.</w:t>
      </w:r>
    </w:p>
    <w:p>
      <w:pPr>
        <w:numPr>
          <w:ilvl w:val="0"/>
          <w:numId w:val="1012"/>
        </w:numPr>
      </w:pPr>
      <w:r>
        <w:t xml:space="preserve">Regionalización del Presupuesto General de la Nación de 2020</w:t>
      </w:r>
      <w:hyperlink w:anchor="ref-DepartamentoNacionaldePlaneacion2019">
        <w:r>
          <w:rPr>
            <w:rStyle w:val="Hyperlink"/>
            <w:vertAlign w:val="superscript"/>
          </w:rPr>
          <w:t xml:space="preserve">9</w:t>
        </w:r>
      </w:hyperlink>
      <w:r>
        <w:t xml:space="preserve">.</w:t>
      </w:r>
    </w:p>
    <w:p>
      <w:pPr>
        <w:numPr>
          <w:ilvl w:val="0"/>
          <w:numId w:val="1012"/>
        </w:numPr>
      </w:pPr>
      <w:r>
        <w:t xml:space="preserve">Regionalización del Presupuesto General de la Nación de 2020 y su asignación al sector salud</w:t>
      </w:r>
      <w:hyperlink w:anchor="ref-DepartamentoNacionaldePlaneacion2019">
        <w:r>
          <w:rPr>
            <w:rStyle w:val="Hyperlink"/>
            <w:vertAlign w:val="superscript"/>
          </w:rPr>
          <w:t xml:space="preserve">9</w:t>
        </w:r>
      </w:hyperlink>
      <w:r>
        <w:t xml:space="preserve">.</w:t>
      </w:r>
    </w:p>
    <w:p>
      <w:pPr>
        <w:numPr>
          <w:ilvl w:val="0"/>
          <w:numId w:val="1012"/>
        </w:numPr>
      </w:pPr>
      <w:r>
        <w:t xml:space="preserve">Número de inscritos (instituciones) en el departamento que realizaron compras de MME al FRE, esta información se obtuvo mediante la encuesta aplicada.</w:t>
      </w:r>
    </w:p>
    <w:p>
      <w:pPr>
        <w:numPr>
          <w:ilvl w:val="0"/>
          <w:numId w:val="1012"/>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gestión"/>
    <w:p>
      <w:pPr>
        <w:pStyle w:val="Heading4"/>
      </w:pPr>
      <w:r>
        <w:rPr>
          <w:rStyle w:val="SectionNumber"/>
        </w:rPr>
        <w:t xml:space="preserve">4.5.1.2</w:t>
      </w:r>
      <w:r>
        <w:tab/>
      </w:r>
      <w:r>
        <w:t xml:space="preserve">Indicadores de gestión</w:t>
      </w:r>
    </w:p>
    <w:p>
      <w:pPr>
        <w:pStyle w:val="FirstParagraph"/>
      </w:pPr>
      <w:r>
        <w:t xml:space="preserve">En este grupo se consideran indicadores de cumplimiento y de eficiencia en procesos relacionados con venta de medicamentos, envío de informes y adquisición de recetarios.</w:t>
      </w:r>
    </w:p>
    <w:p>
      <w:pPr>
        <w:numPr>
          <w:ilvl w:val="0"/>
          <w:numId w:val="1013"/>
        </w:numPr>
        <w:pStyle w:val="Compact"/>
      </w:pPr>
      <w:r>
        <w:t xml:space="preserve">Proporción de ventas realizadas por el FRE a instituciones en el departamento del FNE respecto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mayor parte de la demanda que surge de los inscritos en el departamento.</w:t>
      </w:r>
    </w:p>
    <w:p>
      <w:pPr>
        <w:numPr>
          <w:ilvl w:val="0"/>
          <w:numId w:val="1014"/>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5"/>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 y por tal es más eficiente.</w:t>
      </w:r>
    </w:p>
    <w:bookmarkEnd w:id="51"/>
    <w:bookmarkEnd w:id="52"/>
    <w:bookmarkStart w:id="59" w:name="análisis-mediante-clusterización"/>
    <w:p>
      <w:pPr>
        <w:pStyle w:val="Heading3"/>
      </w:pPr>
      <w:r>
        <w:rPr>
          <w:rStyle w:val="SectionNumber"/>
        </w:rPr>
        <w:t xml:space="preserve">4.5.2</w:t>
      </w:r>
      <w:r>
        <w:tab/>
      </w:r>
      <w:r>
        <w:t xml:space="preserve">Análisis mediante clusterización</w:t>
      </w:r>
    </w:p>
    <w:p>
      <w:pPr>
        <w:pStyle w:val="FirstParagraph"/>
      </w:pPr>
      <w:r>
        <w:t xml:space="preserve">Se realizó un análisis de agrupación de los FRE mediante técnicas de análisis de clúster (conglomerados). Los métodos de análisis de clúster buscan crear grupos (subconjuntos) del conjunto de datos originales basados en la minimización de una función de costo o mediante modelos probabilísticos</w:t>
      </w:r>
      <w:hyperlink w:anchor="ref-Hennig2016">
        <w:r>
          <w:rPr>
            <w:rStyle w:val="Hyperlink"/>
            <w:vertAlign w:val="superscript"/>
          </w:rPr>
          <w:t xml:space="preserve">10</w:t>
        </w:r>
      </w:hyperlink>
      <w:r>
        <w:t xml:space="preserve">. El análisis de clúster jerárquico fue realizado mediante el algoritmo de Ward (función</w:t>
      </w:r>
      <w:r>
        <w:t xml:space="preserve"> </w:t>
      </w:r>
      <w:r>
        <w:rPr>
          <w:rStyle w:val="VerbatimChar"/>
        </w:rPr>
        <w:t xml:space="preserve">hclust</w:t>
      </w:r>
      <w:r>
        <w:t xml:space="preserve">) en el software R</w:t>
      </w:r>
      <w:hyperlink w:anchor="ref-R_Stats">
        <w:r>
          <w:rPr>
            <w:rStyle w:val="Hyperlink"/>
            <w:vertAlign w:val="superscript"/>
          </w:rPr>
          <w:t xml:space="preserve">11</w:t>
        </w:r>
      </w:hyperlink>
      <w:r>
        <w:t xml:space="preserve">, este análisis fue comparado con el obtenido mediante un método de análisis por K-means (función</w:t>
      </w:r>
      <w:r>
        <w:t xml:space="preserve"> </w:t>
      </w:r>
      <w:r>
        <w:rPr>
          <w:rStyle w:val="VerbatimChar"/>
        </w:rPr>
        <w:t xml:space="preserve">kmeans</w:t>
      </w:r>
      <w:r>
        <w:t xml:space="preserve">). El set de datos fue preprocesado mediante estandarización (</w:t>
      </w:r>
      <w:r>
        <w:rPr>
          <w:iCs/>
          <w:i/>
        </w:rPr>
        <w:t xml:space="preserve">Z-score</w:t>
      </w:r>
      <w:r>
        <w:t xml:space="preserve">) de cada una de las variables.</w:t>
      </w:r>
    </w:p>
    <w:p>
      <w:pPr>
        <w:pStyle w:val="BodyText"/>
      </w:pPr>
      <w:r>
        <w:t xml:space="preserve">El número de grupos (</w:t>
      </w:r>
      <m:oMath>
        <m:r>
          <m:t>k</m:t>
        </m:r>
      </m:oMath>
      <w:r>
        <w:t xml:space="preserve">) fue seleccionado mediante la comparación de varios índices de validez de clúster como: (i) Silhouette, (ii) índice de Dunn, (iii) conectividad, (iv) distancia promedio (AD), o (v) distancia promedio entre media (ADM)</w:t>
      </w:r>
      <w:hyperlink w:anchor="ref-R_clValid">
        <w:r>
          <w:rPr>
            <w:rStyle w:val="Hyperlink"/>
            <w:vertAlign w:val="superscript"/>
          </w:rPr>
          <w:t xml:space="preserve">12</w:t>
        </w:r>
      </w:hyperlink>
      <w:r>
        <w:t xml:space="preserve">. Se realizó la evaluación del número de grupos (</w:t>
      </w:r>
      <m:oMath>
        <m:r>
          <m:t>k</m:t>
        </m:r>
      </m:oMath>
      <w:r>
        <w:t xml:space="preserve">) de 2 a máximo 15 grupos, y se evalúo la presencia de incremento (o decrecimientos) súbitos a forma de</w:t>
      </w:r>
      <w:r>
        <w:t xml:space="preserve"> </w:t>
      </w:r>
      <w:r>
        <w:rPr>
          <w:iCs/>
          <w:i/>
        </w:rPr>
        <w:t xml:space="preserve">criterio de codo</w:t>
      </w:r>
      <w:r>
        <w:t xml:space="preserve"> </w:t>
      </w:r>
      <w:r>
        <w:t xml:space="preserve">en cada indicador. Se utilizó análisis por componentes principales (PCA,</w:t>
      </w:r>
      <w:r>
        <w:t xml:space="preserve"> </w:t>
      </w:r>
      <w:r>
        <w:rPr>
          <w:iCs/>
          <w:i/>
        </w:rPr>
        <w:t xml:space="preserve">Principal Component Analysis</w:t>
      </w:r>
      <w:r>
        <w:t xml:space="preserve">) para la visualización de la separación lograda por el análisis de clúster y evidenciar la pertenencia de los departamentos a cada grupo.</w:t>
      </w:r>
    </w:p>
    <w:p>
      <w:pPr>
        <w:pStyle w:val="BodyText"/>
      </w:pPr>
      <w:r>
        <w:t xml:space="preserve">En la Figura</w:t>
      </w:r>
      <w:r>
        <w:t xml:space="preserve"> </w:t>
      </w:r>
      <w:r>
        <w:t xml:space="preserve">4.11</w:t>
      </w:r>
      <w:r>
        <w:t xml:space="preserve"> </w:t>
      </w:r>
      <w:r>
        <w:t xml:space="preserve">se muestra el comportamiento de las variables definidas para el análisis mediante un círculo de correlación. En primer lugar se observa que los primeros dos componentes de PCA representan un 56.9% de la variabilidad del conjunto de datos. Se observa que las variables relacionadas a la complejidad cuenta con una correlación alta entre sí, p.ej. los departamentos con mayores presupuestos asignados tienen una mayor proporción de uso del portafolio, así como una mayor proporción de inscritos activos.</w:t>
      </w:r>
    </w:p>
    <w:p>
      <w:pPr>
        <w:pStyle w:val="CaptionedFigure"/>
      </w:pPr>
      <w:r>
        <w:drawing>
          <wp:inline>
            <wp:extent cx="5334000" cy="2667000"/>
            <wp:effectExtent b="0" l="0" r="0" t="0"/>
            <wp:docPr descr="Figura 4.11: Círculo de correlación de variables aplicadas en la definición de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Círculo de correlación de variables aplicadas en la definición de componentes principales</w:t>
      </w:r>
    </w:p>
    <w:p>
      <w:pPr>
        <w:pStyle w:val="BodyText"/>
      </w:pPr>
      <w:r>
        <w:t xml:space="preserve">Se observa que los indicadores de gestión no presentan una correlación importante con las variables de complejidad (se evidencia porque las variables se proyectan de forma perpendicular), las variables de cumplimiento de envío de informe parecen tener una correlación un poco más alta respecto al resto de indicadores. Las variables de proporción de ventas realizadas por el FRE y cumplimiento de envío de Anexo 1 cuentan una correlación negativa con el indicador de tiempo de adquisición de recetario (esto era esperado por la definición de la variable) así como con el cumplimiento de envío de Anexo 2.</w:t>
      </w:r>
    </w:p>
    <w:p>
      <w:pPr>
        <w:pStyle w:val="BodyText"/>
      </w:pPr>
      <w:r>
        <w:t xml:space="preserve">Los resultados del análisis mediante el algoritmo K-means y Ward fueron similares en cuanto al número de clústers óptimo y agrupación de individuos. Una gran parte de los índices de validez de clústers presentaron un aumento o disminución monotónica respecto al valor de</w:t>
      </w:r>
      <w:r>
        <w:t xml:space="preserve"> </w:t>
      </w:r>
      <m:oMath>
        <m:r>
          <m:t>k</m:t>
        </m:r>
      </m:oMath>
      <w:r>
        <w:t xml:space="preserve">, sin embargo la mayoría de los índices mostraron cambios abruptos con</w:t>
      </w:r>
      <w:r>
        <w:t xml:space="preserve"> </w:t>
      </w:r>
      <m:oMath>
        <m:r>
          <m:t>k</m:t>
        </m:r>
        <m:r>
          <m:rPr>
            <m:sty m:val="p"/>
          </m:rPr>
          <m:t>=</m:t>
        </m:r>
        <m:r>
          <m:t>8</m:t>
        </m:r>
      </m:oMath>
      <w:r>
        <w:t xml:space="preserve">, por lo cual se asume que este es el valor óptimo de clústers. En el panel izquierdo de la Figura</w:t>
      </w:r>
      <w:r>
        <w:t xml:space="preserve"> </w:t>
      </w:r>
      <w:r>
        <w:t xml:space="preserve">4.12</w:t>
      </w:r>
      <w:r>
        <w:t xml:space="preserve"> </w:t>
      </w:r>
      <w:r>
        <w:t xml:space="preserve">se observa el comportamiento del índice Silhouette con respecto al número de clústers en el análisis se tiene que a partir de</w:t>
      </w:r>
      <w:r>
        <w:t xml:space="preserve"> </w:t>
      </w:r>
      <m:oMath>
        <m:r>
          <m:t>k</m:t>
        </m:r>
        <m:r>
          <m:rPr>
            <m:sty m:val="p"/>
          </m:rPr>
          <m:t>=</m:t>
        </m:r>
        <m:r>
          <m:t>8</m:t>
        </m:r>
      </m:oMath>
      <w:r>
        <w:t xml:space="preserve"> </w:t>
      </w:r>
      <w:r>
        <w:t xml:space="preserve">se presenta un decrecimiento en el valor del índice.</w:t>
      </w:r>
    </w:p>
    <w:p>
      <w:pPr>
        <w:pStyle w:val="BodyText"/>
      </w:pPr>
      <w:r>
        <w:t xml:space="preserve">En el panel derecho de la Figura</w:t>
      </w:r>
      <w:r>
        <w:t xml:space="preserve"> </w:t>
      </w:r>
      <w:r>
        <w:t xml:space="preserve">4.12</w:t>
      </w:r>
      <w:r>
        <w:t xml:space="preserve"> </w:t>
      </w:r>
      <w:r>
        <w:t xml:space="preserve">se observa un dendrograma con la clasificación de los FRE de acuerdo a su similaridad en las características exploradas. Se tiene que el departamento de Antioquia es el que presenta la mayor diferencia con el resto de los departamentos, mientras que los departamentos de Valle del Cauca y Santander presentan unas condiciones similares.</w:t>
      </w:r>
    </w:p>
    <w:p>
      <w:pPr>
        <w:pStyle w:val="CaptionedFigure"/>
      </w:pPr>
      <w:r>
        <w:drawing>
          <wp:inline>
            <wp:extent cx="5334000" cy="2129895"/>
            <wp:effectExtent b="0" l="0" r="0" t="0"/>
            <wp:docPr descr="Figura 4.12: Resultados de análisis por clúster jerárquico. (A) Índice Silhouette vs N.° de clústers. (B) Dendrograma de departamentos de acuerdo a análisis de similaridad, se muestran los grupos para k = 8." title="" id="1" name="Picture"/>
            <a:graphic>
              <a:graphicData uri="http://schemas.openxmlformats.org/drawingml/2006/picture">
                <pic:pic>
                  <pic:nvPicPr>
                    <pic:cNvPr descr="InformeFinal_files/figure-docx/PCA2-1.png" id="0" name="Picture"/>
                    <pic:cNvPicPr>
                      <a:picLocks noChangeArrowheads="1" noChangeAspect="1"/>
                    </pic:cNvPicPr>
                  </pic:nvPicPr>
                  <pic:blipFill>
                    <a:blip r:embed="rId55"/>
                    <a:stretch>
                      <a:fillRect/>
                    </a:stretch>
                  </pic:blipFill>
                  <pic:spPr bwMode="auto">
                    <a:xfrm>
                      <a:off x="0" y="0"/>
                      <a:ext cx="5334000" cy="2129895"/>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4.12: Resultados de análisis por clúster jerárquico. (A) Índice Silhouette vs N.° de clústers. (B) Dendrograma de departamentos de acuerdo a análisis de similaridad, se muestran los grupos para k = 8.</w:t>
      </w:r>
    </w:p>
    <w:p>
      <w:pPr>
        <w:pStyle w:val="BodyText"/>
      </w:pPr>
      <w:r>
        <w:t xml:space="preserve">Por otra parte, en la Figura</w:t>
      </w:r>
      <w:r>
        <w:t xml:space="preserve"> </w:t>
      </w:r>
      <w:r>
        <w:t xml:space="preserve">4.13</w:t>
      </w:r>
      <w:r>
        <w:t xml:space="preserve"> </w:t>
      </w:r>
      <w:r>
        <w:t xml:space="preserve">se muestra la clasificación de los FRE en los grupos así como la proyección de los departamentos en los primeros componentes principales.</w:t>
      </w:r>
    </w:p>
    <w:p>
      <w:pPr>
        <w:pStyle w:val="CaptionedFigure"/>
      </w:pPr>
      <w:r>
        <w:drawing>
          <wp:inline>
            <wp:extent cx="5334000" cy="3464485"/>
            <wp:effectExtent b="0" l="0" r="0" t="0"/>
            <wp:docPr descr="Figura 4.13: Clasificación de los FRE en grupos de acuerdo a análisis por clúster" title="" id="1" name="Picture"/>
            <a:graphic>
              <a:graphicData uri="http://schemas.openxmlformats.org/drawingml/2006/picture">
                <pic:pic>
                  <pic:nvPicPr>
                    <pic:cNvPr descr="InformeFinal_files/figure-docx/PCA3-1.png" id="0" name="Picture"/>
                    <pic:cNvPicPr>
                      <a:picLocks noChangeArrowheads="1" noChangeAspect="1"/>
                    </pic:cNvPicPr>
                  </pic:nvPicPr>
                  <pic:blipFill>
                    <a:blip r:embed="rId57"/>
                    <a:stretch>
                      <a:fillRect/>
                    </a:stretch>
                  </pic:blipFill>
                  <pic:spPr bwMode="auto">
                    <a:xfrm>
                      <a:off x="0" y="0"/>
                      <a:ext cx="5334000" cy="3464485"/>
                    </a:xfrm>
                    <a:prstGeom prst="rect">
                      <a:avLst/>
                    </a:prstGeom>
                    <a:noFill/>
                    <a:ln w="9525">
                      <a:noFill/>
                      <a:headEnd/>
                      <a:tailEnd/>
                    </a:ln>
                  </pic:spPr>
                </pic:pic>
              </a:graphicData>
            </a:graphic>
          </wp:inline>
        </w:drawing>
      </w:r>
    </w:p>
    <w:p>
      <w:pPr>
        <w:pStyle w:val="ImageCaption"/>
      </w:pPr>
      <w:bookmarkStart w:id="58" w:name="fig12"/>
      <w:r>
        <w:t xml:space="preserve">Figure </w:t>
      </w:r>
      <w:fldSimple w:instr="SEQ Figure \* ARABIC ">
        <w:r>
          <w:t>12</w:t>
        </w:r>
      </w:fldSimple>
      <w:r>
        <w:t xml:space="preserve">:</w:t>
      </w:r>
      <w:r>
        <w:t xml:space="preserve"> </w:t>
      </w:r>
      <w:bookmarkEnd w:id="58"/>
      <w:r>
        <w:t xml:space="preserve">Figura 4.13: Clasificación de los FRE en grupos de acuerdo a análisis por clúster</w:t>
      </w:r>
    </w:p>
    <w:p>
      <w:pPr>
        <w:pStyle w:val="BodyText"/>
      </w:pPr>
      <w:r>
        <w:t xml:space="preserve">A continuación, se describen algunas características de los grupos encontrados:</w:t>
      </w:r>
    </w:p>
    <w:p>
      <w:pPr>
        <w:numPr>
          <w:ilvl w:val="0"/>
          <w:numId w:val="1017"/>
        </w:numPr>
      </w:pPr>
      <w:r>
        <w:t xml:space="preserve">Grupo 1: compuesto por Huila y Amazonas estos FRE cuentan con una complejidad mediana (promedio 91 inscritos), con una proporción de uso del portafolio de ~88.7% y un cumplimiento bajo en la entrega de anexos sobre todo en el Anexo 1 (75%).</w:t>
      </w:r>
    </w:p>
    <w:p>
      <w:pPr>
        <w:numPr>
          <w:ilvl w:val="0"/>
          <w:numId w:val="1017"/>
        </w:numPr>
      </w:pPr>
      <w:r>
        <w:t xml:space="preserve">Grupo 2: sólo cuenta con el departamento de Antioquia que es el FRE con la complejidad más alta (p.ej. tiene 1054 inscritos a activos) y con valores óptimos en los indicadores de gestión.</w:t>
      </w:r>
    </w:p>
    <w:p>
      <w:pPr>
        <w:numPr>
          <w:ilvl w:val="0"/>
          <w:numId w:val="1017"/>
        </w:numPr>
      </w:pPr>
      <w:r>
        <w:t xml:space="preserve">Grupo 3: este grupo cuenta con 15 departamentos entre ellos se encuentra Atlántico, Nariño y Caquetá. Este grupo contiene a FREs de mediana a alta complejidad, con un promedio de 150 inscritos y una proporción de uso de portafolio del 92%. Los indicadores de gestión parecen tener valores óptimos, sin embargo cuentan con un cumplimiento moderado en la entrega del Anexo 2 con un promedio de 0.55.</w:t>
      </w:r>
    </w:p>
    <w:p>
      <w:pPr>
        <w:numPr>
          <w:ilvl w:val="0"/>
          <w:numId w:val="1017"/>
        </w:numPr>
      </w:pPr>
      <w:r>
        <w:t xml:space="preserve">Grupo 4: este grupo consta de Córdoba y Bolívar que se comportan como FRE de complejidad mediana (promedio 91 inscritos), este grupo tiene una asignación presupuestal relativamente baja (con 16 mil millones), un promedio de 91 inscritos activos y una proporción de uso del portafolio de 0.94. Este grupo tiene un cumplimiento óptimo en la entrega del Anexo 1, con un cumplimiento moderado en el Anexo 2 (0.47), la proporción de utilización del canal FRE en las ventas es alta con 0.802. La característica más importante es que estos FRE tienen problemas por la inexistencia de recetarios en circulación a nivel departamental.</w:t>
      </w:r>
    </w:p>
    <w:p>
      <w:pPr>
        <w:numPr>
          <w:ilvl w:val="0"/>
          <w:numId w:val="1017"/>
        </w:numPr>
      </w:pPr>
      <w:r>
        <w:t xml:space="preserve">Grupo 5: este grupo cuenta con los departamentos de Meta, Casanare y Magdalena se trata de FRE con mediana complejidad con un promedio de 101 inscritos activos y una utilización del portafolio de 0.88. En cuanto a indicadores de gestión se tiene como característica principal que la proporción de ventas por el canal de FRE en comparación de compra directa es baja con un valor de 0.21, se tiene un cumplimiento moderado en la entrega de anexos.</w:t>
      </w:r>
    </w:p>
    <w:p>
      <w:pPr>
        <w:numPr>
          <w:ilvl w:val="0"/>
          <w:numId w:val="1017"/>
        </w:numPr>
      </w:pPr>
      <w:r>
        <w:t xml:space="preserve">Grupo 6: sólo cuenta con el departamento de Guainía que es un FRE de baja complejidad con un sólo inscrito activo, y una proporción baja de uso de portafolio. Se reporta un cumplimiento bajo en la proporción de ventas mediante canal FRE (0.0), una proporción de cumplimiento de Anexo 1/Anexo 2 moderada y una razón de tiempo de adquisición para recetarios alta.</w:t>
      </w:r>
    </w:p>
    <w:p>
      <w:pPr>
        <w:numPr>
          <w:ilvl w:val="0"/>
          <w:numId w:val="1017"/>
        </w:numPr>
      </w:pPr>
      <w:r>
        <w:t xml:space="preserve">Grupo 7: este grupo cuenta con FRE de baja complejidad con un promedio de 12.4 inscritos activos y una proporción de uso de portafolio baja del 0.49. Este grupo cuenta con indicadores de gestión altos con una proporción de ventas en FRE por 0.919, una proporción de cumplimiento de entrega de Anexo 1 alta, y Anexo 2 moderada, así como razones de tiempos de adquisición cortas (3.46).</w:t>
      </w:r>
    </w:p>
    <w:p>
      <w:pPr>
        <w:numPr>
          <w:ilvl w:val="0"/>
          <w:numId w:val="1017"/>
        </w:numPr>
      </w:pPr>
      <w:r>
        <w:t xml:space="preserve">Grupo 8: cuenta con Valle del Cauca y Santander que se consideran como FRE de alta complejidad en promedio 453 inscritos y un uso completo del portafolio. Estos FRE con una proporción de ventas a través de FRE de 0.871, y un cumplimiento muy bajo en la entrega del Anexo 2 (en promedio 0).</w:t>
      </w:r>
    </w:p>
    <w:p>
      <w:pPr>
        <w:pStyle w:val="FirstParagraph"/>
      </w:pPr>
      <w:r>
        <w:t xml:space="preserve">Se concluye que la agrupación de los FRE se puede realizar por factores relacionados a la magnitud de las necesidades de los inscritos en el departamento (complejidad) pero también de acuerdo a factores relacionados a indicadores de gestión, a continuación se resumen las características principales de los grupos, de acuerdo a la complejidad:</w:t>
      </w:r>
    </w:p>
    <w:p>
      <w:pPr>
        <w:numPr>
          <w:ilvl w:val="0"/>
          <w:numId w:val="1018"/>
        </w:numPr>
      </w:pPr>
      <w:r>
        <w:rPr>
          <w:bCs/>
          <w:b/>
        </w:rPr>
        <w:t xml:space="preserve">FRE de alta complejidad</w:t>
      </w:r>
      <w:r>
        <w:t xml:space="preserve"> </w:t>
      </w:r>
      <w:r>
        <w:t xml:space="preserve">se tienen a los grupos 2 (Antioquia) y 8. Los FRE pertenecientes al grupo 8 (p.ej. Valle del Cauca) tienen algunos indicadores de gestión con un valor bajo, mientras que el Antioquia tiene todos los indicadores de gestión en valores óptimos.</w:t>
      </w:r>
    </w:p>
    <w:p>
      <w:pPr>
        <w:numPr>
          <w:ilvl w:val="0"/>
          <w:numId w:val="1018"/>
        </w:numPr>
      </w:pPr>
      <w:r>
        <w:rPr>
          <w:bCs/>
          <w:b/>
        </w:rPr>
        <w:t xml:space="preserve">FRE de mediana complejidad</w:t>
      </w:r>
      <w:r>
        <w:t xml:space="preserve"> </w:t>
      </w:r>
      <w:r>
        <w:t xml:space="preserve">se tienen a los grupos 1, 3, 4, y 5. Los FRE en el grupo 3 (p.ej Atlántico) tienen indicadores de gestión en valores altos, mientras que el grupo 1 (p.ej Huila) cuenta con un cumplimiento bajo en la entrega del Anexo 1. El grupo 4 (p.ej Córdoba) se caracteriza por tener inexistencia de recetarios en circulación en el departamento, y el grupo 5 (p.ej Meta) tiene FRE que presentan una proporción alta de compras mediante el canal de compra directa.</w:t>
      </w:r>
    </w:p>
    <w:p>
      <w:pPr>
        <w:numPr>
          <w:ilvl w:val="0"/>
          <w:numId w:val="1018"/>
        </w:numPr>
      </w:pPr>
      <w:r>
        <w:rPr>
          <w:bCs/>
          <w:b/>
        </w:rPr>
        <w:t xml:space="preserve">FRE de baja complejidad</w:t>
      </w:r>
      <w:r>
        <w:t xml:space="preserve"> </w:t>
      </w:r>
      <w:r>
        <w:t xml:space="preserve">se tienen a los grupos 6 (sólo Guainía) y 7 estos grupos tienen características de indicadores de gestión parecidas, sin embargo Guainía tiene una proporción de ventas reportadas por el FRE baja en comparación con compra directa debido a lo cual se separa en un grupo diferente.</w:t>
      </w:r>
    </w:p>
    <w:p>
      <w:pPr>
        <w:pStyle w:val="FirstParagraph"/>
      </w:pPr>
      <w:r>
        <w:t xml:space="preserve">Las variables de presupuesto y número de inscritos, reflejan la asignación de recurso económico en cada región para la partida presupuestal en temas de salud de cada territorio. Esta asignación es un condicionante de la capacidad que tienen los FRE para disponer de infraestructura tecnológica y recurso humano suficiente, para que el ente territorial pueda cumplir con todas sus funciones. El número de inscritos en cada territorio también refleja la interacción entre oferta y demanda de MME en cada región, la cual debe ser satisfecha por el FRE.</w:t>
      </w:r>
    </w:p>
    <w:p>
      <w:pPr>
        <w:pStyle w:val="BodyText"/>
      </w:pPr>
      <w:r>
        <w:t xml:space="preserve">La variable de proporción de adquisición de MME indica el número de MME distintos ofertados por el FRE en su territorio, relativo al tamaño de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 Esta variable se relaciona también con la carga de enfermedad, especialistas disponibles, complejidad de las instituciones prestadoras de salud en el departamento.</w:t>
      </w:r>
    </w:p>
    <w:p>
      <w:pPr>
        <w:pStyle w:val="BodyText"/>
      </w:pPr>
      <w:r>
        <w:t xml:space="preserve">Otra variable importante en este análisis es la variable referente a la proporción de compras del FNE relativo a las compras totales provenientes del departamento. Esta variable es un indicador de gestión importante para el FRE ya que este debería poder suplir la demanda de los inscritos en el departamento y sólo de manera excepcional estos inscritos deberían utilizar las compras directas al FNE. Un nivel bajo de este indicador podría estar causado por problemas en la proyección de compra por parte del FRE la cual podría generar un desabastecimiento de MME en el departamento.</w:t>
      </w:r>
    </w:p>
    <w:p>
      <w:pPr>
        <w:pStyle w:val="BodyText"/>
      </w:pPr>
      <w:r>
        <w:t xml:space="preserve">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Por último, se utilizó la variable de razón de tiempo de adquisición de recetarios como una medida para evaluar la eficacia del proceso de adquisición de estos productos. Esta variable se ve afectada por la demora en los tiempos de procesos precontractuales, contractuales y los tiempos de fabricación dependientes del contratista. Este indicador tiene una formulación diferente al resto ya que si la razón de tiempo de adquisición es menor se tiene un proceso más eficaz. No se utilizaron variables de tiempos de adquisición de medicamentos MME debido a que no todos los departamentos brindaron información al respecto.</w:t>
      </w:r>
    </w:p>
    <w:p>
      <w:pPr>
        <w:pStyle w:val="BodyText"/>
      </w:pPr>
      <w:r>
        <w:t xml:space="preserve">Como se observó en el círculo de correlación en la Figura</w:t>
      </w:r>
      <w:r>
        <w:t xml:space="preserve"> </w:t>
      </w:r>
      <w:r>
        <w:t xml:space="preserve">4.11</w:t>
      </w:r>
      <w:r>
        <w:t xml:space="preserve"> </w:t>
      </w:r>
      <w:r>
        <w:t xml:space="preserve">las variables relacionadas a la complejidad tenían una correlación alta por lo cual no se espera que brinden información diferente una de la otra para la clasificación. Se tiene que estas variables son las que tienen la mayor variabilidad y por ende son las más utilizadas por el método de clusterización. Las variables relacionadas a indicadores de gestión también fueron útiles para la separación de los departamentos en grupos y permitieron diagnosticar las capacidades de los FRE de acuerdo a factores de distribución medicamentos, entrega de informes y duración de procesos de adquisición.</w:t>
      </w:r>
    </w:p>
    <w:p>
      <w:pPr>
        <w:pStyle w:val="BodyText"/>
      </w:pPr>
      <w:r>
        <w:t xml:space="preserve">Por todo esto se demuestra que el método de clasificación mediante análisis por clúster permite encontrar ciertas características en los FRE que permiten direccionar intervenciones por parte del FNE para mejorar algunos indicadores de gestión. Si bien la clasificación omite algunos criterios de alta relevancia la metodología tiene utilidad para evidenciar el impacto que tiene el nivel de los indicadores en los FRE.</w:t>
      </w:r>
    </w:p>
    <w:bookmarkEnd w:id="59"/>
    <w:bookmarkEnd w:id="60"/>
    <w:bookmarkEnd w:id="61"/>
    <w:bookmarkStart w:id="122"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13</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8" w:name="existencia-de-recetarios"/>
    <w:p>
      <w:pPr>
        <w:pStyle w:val="Heading2"/>
      </w:pPr>
      <w:r>
        <w:rPr>
          <w:rStyle w:val="SectionNumber"/>
        </w:rPr>
        <w:t xml:space="preserve">5.1</w:t>
      </w:r>
      <w:r>
        <w:tab/>
      </w:r>
      <w:r>
        <w:t xml:space="preserve">Existencia de recetarios</w:t>
      </w:r>
    </w:p>
    <w:bookmarkStart w:id="64"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 con los FRE del país, se pudo determinar la cantidad de recetarios oficiales con los que cuentan entre los meses de junio a septiembre. Así pues, en la Figura</w:t>
      </w:r>
      <w:r>
        <w:t xml:space="preserve"> </w:t>
      </w:r>
      <w:r>
        <w:t xml:space="preserve">5.1</w:t>
      </w:r>
      <w:r>
        <w:t xml:space="preserve">A, se observa la tendencia de los departamentos más distantes de la capital de la nación, a presentar menores existencias de recetarios oficiales.</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4"/>
    <w:bookmarkStart w:id="67"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6" w:name="fig14"/>
      <w:r>
        <w:t xml:space="preserve">Figure </w:t>
      </w:r>
      <w:fldSimple w:instr="SEQ Figure \* ARABIC ">
        <w:r>
          <w:t>14</w:t>
        </w:r>
      </w:fldSimple>
      <w:r>
        <w:t xml:space="preserve">:</w:t>
      </w:r>
      <w:r>
        <w:t xml:space="preserve"> </w:t>
      </w:r>
      <w:bookmarkEnd w:id="66"/>
      <w:r>
        <w:t xml:space="preserve">Figura 5.2: N.° de recetarios circulantes en el departamento.</w:t>
      </w:r>
    </w:p>
    <w:bookmarkEnd w:id="67"/>
    <w:bookmarkEnd w:id="68"/>
    <w:bookmarkStart w:id="80" w:name="costos-de-recetarios"/>
    <w:p>
      <w:pPr>
        <w:pStyle w:val="Heading2"/>
      </w:pPr>
      <w:r>
        <w:rPr>
          <w:rStyle w:val="SectionNumber"/>
        </w:rPr>
        <w:t xml:space="preserve">5.2</w:t>
      </w:r>
      <w:r>
        <w:tab/>
      </w:r>
      <w:r>
        <w:t xml:space="preserve">Costos de recetarios</w:t>
      </w:r>
    </w:p>
    <w:bookmarkStart w:id="73"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15"/>
      <w:r>
        <w:t xml:space="preserve">Figure </w:t>
      </w:r>
      <w:fldSimple w:instr="SEQ Figure \* ARABIC ">
        <w:r>
          <w:t>15</w:t>
        </w:r>
      </w:fldSimple>
      <w:r>
        <w:t xml:space="preserve">:</w:t>
      </w:r>
      <w:r>
        <w:t xml:space="preserve"> </w:t>
      </w:r>
      <w:bookmarkEnd w:id="70"/>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6"/>
      <w:r>
        <w:t xml:space="preserve">Figure </w:t>
      </w:r>
      <w:fldSimple w:instr="SEQ Figure \* ARABIC ">
        <w:r>
          <w:t>16</w:t>
        </w:r>
      </w:fldSimple>
      <w:r>
        <w:t xml:space="preserve">:</w:t>
      </w:r>
      <w:r>
        <w:t xml:space="preserve"> </w:t>
      </w:r>
      <w:bookmarkEnd w:id="72"/>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73"/>
    <w:bookmarkStart w:id="76"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9"/>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14</w:t>
        </w:r>
      </w:hyperlink>
      <w:r>
        <w:t xml:space="preserve">.</w:t>
      </w:r>
    </w:p>
    <w:p>
      <w:pPr>
        <w:numPr>
          <w:ilvl w:val="0"/>
          <w:numId w:val="1019"/>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14</w:t>
        </w:r>
      </w:hyperlink>
      <w:r>
        <w:t xml:space="preserve">.</w:t>
      </w:r>
    </w:p>
    <w:p>
      <w:pPr>
        <w:numPr>
          <w:ilvl w:val="0"/>
          <w:numId w:val="1019"/>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14</w:t>
        </w:r>
      </w:hyperlink>
      <w:r>
        <w:t xml:space="preserve">.</w:t>
      </w:r>
    </w:p>
    <w:p>
      <w:pPr>
        <w:numPr>
          <w:ilvl w:val="0"/>
          <w:numId w:val="1019"/>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15</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20"/>
        </w:numPr>
      </w:pPr>
      <w:r>
        <w:t xml:space="preserve">número de prescripciones en el recetario (variable continua).</w:t>
      </w:r>
    </w:p>
    <w:p>
      <w:pPr>
        <w:numPr>
          <w:ilvl w:val="0"/>
          <w:numId w:val="1020"/>
        </w:numPr>
      </w:pPr>
      <w:r>
        <w:t xml:space="preserve">número de medidas de seguridad implementadas en el recetario (variable continua).</w:t>
      </w:r>
    </w:p>
    <w:p>
      <w:pPr>
        <w:numPr>
          <w:ilvl w:val="0"/>
          <w:numId w:val="1020"/>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6"/>
    <w:bookmarkStart w:id="79"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8" w:name="fig18"/>
      <w:r>
        <w:t xml:space="preserve">Figure </w:t>
      </w:r>
      <w:fldSimple w:instr="SEQ Figure \* ARABIC ">
        <w:r>
          <w:t>18</w:t>
        </w:r>
      </w:fldSimple>
      <w:r>
        <w:t xml:space="preserve">:</w:t>
      </w:r>
      <w:r>
        <w:t xml:space="preserve"> </w:t>
      </w:r>
      <w:bookmarkEnd w:id="78"/>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9"/>
    <w:bookmarkEnd w:id="80"/>
    <w:bookmarkStart w:id="89" w:name="adquisición-de-recetarios"/>
    <w:p>
      <w:pPr>
        <w:pStyle w:val="Heading2"/>
      </w:pPr>
      <w:r>
        <w:rPr>
          <w:rStyle w:val="SectionNumber"/>
        </w:rPr>
        <w:t xml:space="preserve">5.3</w:t>
      </w:r>
      <w:r>
        <w:tab/>
      </w:r>
      <w:r>
        <w:t xml:space="preserve">Adquisición de recetarios</w:t>
      </w:r>
    </w:p>
    <w:bookmarkStart w:id="85"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2" w:name="fig19"/>
      <w:r>
        <w:t xml:space="preserve">Figure </w:t>
      </w:r>
      <w:fldSimple w:instr="SEQ Figure \* ARABIC ">
        <w:r>
          <w:t>19</w:t>
        </w:r>
      </w:fldSimple>
      <w:r>
        <w:t xml:space="preserve">:</w:t>
      </w:r>
      <w:r>
        <w:t xml:space="preserve"> </w:t>
      </w:r>
      <w:bookmarkEnd w:id="82"/>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3"/>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5.8: Proceso de contratación/licitación de los recetarios oficiales.</w:t>
      </w:r>
    </w:p>
    <w:bookmarkEnd w:id="85"/>
    <w:bookmarkStart w:id="88"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8"/>
    <w:bookmarkEnd w:id="89"/>
    <w:bookmarkStart w:id="108" w:name="procesos-relacionados-a-los-recetarios"/>
    <w:p>
      <w:pPr>
        <w:pStyle w:val="Heading2"/>
      </w:pPr>
      <w:r>
        <w:rPr>
          <w:rStyle w:val="SectionNumber"/>
        </w:rPr>
        <w:t xml:space="preserve">5.4</w:t>
      </w:r>
      <w:r>
        <w:tab/>
      </w:r>
      <w:r>
        <w:t xml:space="preserve">Procesos relacionados a los recetarios</w:t>
      </w:r>
    </w:p>
    <w:bookmarkStart w:id="92"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1" w:name="fig22"/>
      <w:r>
        <w:t xml:space="preserve">Figure </w:t>
      </w:r>
      <w:fldSimple w:instr="SEQ Figure \* ARABIC ">
        <w:r>
          <w:t>22</w:t>
        </w:r>
      </w:fldSimple>
      <w:r>
        <w:t xml:space="preserve">:</w:t>
      </w:r>
      <w:r>
        <w:t xml:space="preserve"> </w:t>
      </w:r>
      <w:bookmarkEnd w:id="91"/>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92"/>
    <w:bookmarkStart w:id="97"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3"/>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4" w:name="fig23"/>
      <w:r>
        <w:t xml:space="preserve">Figure </w:t>
      </w:r>
      <w:fldSimple w:instr="SEQ Figure \* ARABIC ">
        <w:r>
          <w:t>23</w:t>
        </w:r>
      </w:fldSimple>
      <w:r>
        <w:t xml:space="preserve">:</w:t>
      </w:r>
      <w:r>
        <w:t xml:space="preserve"> </w:t>
      </w:r>
      <w:bookmarkEnd w:id="94"/>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4"/>
      <w:r>
        <w:t xml:space="preserve">Figure </w:t>
      </w:r>
      <w:fldSimple w:instr="SEQ Figure \* ARABIC ">
        <w:r>
          <w:t>24</w:t>
        </w:r>
      </w:fldSimple>
      <w:r>
        <w:t xml:space="preserve">:</w:t>
      </w:r>
      <w:r>
        <w:t xml:space="preserve"> </w:t>
      </w:r>
      <w:bookmarkEnd w:id="96"/>
      <w:r>
        <w:t xml:space="preserve">Figura 5.12: Tiempo de demora en la venta de recetarios oficiales a clientes.</w:t>
      </w:r>
    </w:p>
    <w:bookmarkEnd w:id="97"/>
    <w:bookmarkStart w:id="102"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1"/>
        </w:numPr>
      </w:pPr>
      <w:r>
        <w:t xml:space="preserve">Datos básicos de las entidades y prescriptores inscritos en el FRE.</w:t>
      </w:r>
    </w:p>
    <w:p>
      <w:pPr>
        <w:numPr>
          <w:ilvl w:val="0"/>
          <w:numId w:val="1021"/>
        </w:numPr>
      </w:pPr>
      <w:r>
        <w:t xml:space="preserve">Unidades consumidas y su respectivo valor.</w:t>
      </w:r>
    </w:p>
    <w:p>
      <w:pPr>
        <w:numPr>
          <w:ilvl w:val="0"/>
          <w:numId w:val="1021"/>
        </w:numPr>
      </w:pPr>
      <w:r>
        <w:t xml:space="preserve">Datos de identificación de los recetarios.</w:t>
      </w:r>
    </w:p>
    <w:p>
      <w:pPr>
        <w:numPr>
          <w:ilvl w:val="0"/>
          <w:numId w:val="1021"/>
        </w:numPr>
      </w:pPr>
      <w:r>
        <w:t xml:space="preserve">Número de talonarios que se distribuyen en los respectivos departamentos.</w:t>
      </w:r>
    </w:p>
    <w:p>
      <w:pPr>
        <w:pStyle w:val="CaptionedFigure"/>
      </w:pPr>
      <w:r>
        <w:drawing>
          <wp:inline>
            <wp:extent cx="5334000" cy="2667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9" w:name="fig25"/>
      <w:r>
        <w:t xml:space="preserve">Figure </w:t>
      </w:r>
      <w:fldSimple w:instr="SEQ Figure \* ARABIC ">
        <w:r>
          <w:t>25</w:t>
        </w:r>
      </w:fldSimple>
      <w:r>
        <w:t xml:space="preserve">:</w:t>
      </w:r>
      <w:r>
        <w:t xml:space="preserve"> </w:t>
      </w:r>
      <w:bookmarkEnd w:id="99"/>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22"/>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2"/>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10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01" w:name="fig26"/>
      <w:r>
        <w:t xml:space="preserve">Figure </w:t>
      </w:r>
      <w:fldSimple w:instr="SEQ Figure \* ARABIC ">
        <w:r>
          <w:t>26</w:t>
        </w:r>
      </w:fldSimple>
      <w:r>
        <w:t xml:space="preserve">:</w:t>
      </w:r>
      <w:r>
        <w:t xml:space="preserve"> </w:t>
      </w:r>
      <w:bookmarkEnd w:id="101"/>
      <w:r>
        <w:t xml:space="preserve">Figura 5.14: Actividades realizadas por el FRE para el seguimiento del uso de recetarios.</w:t>
      </w:r>
    </w:p>
    <w:bookmarkEnd w:id="102"/>
    <w:bookmarkStart w:id="107"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16</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3"/>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4" w:name="fig27"/>
      <w:r>
        <w:t xml:space="preserve">Figure </w:t>
      </w:r>
      <w:fldSimple w:instr="SEQ Figure \* ARABIC ">
        <w:r>
          <w:t>27</w:t>
        </w:r>
      </w:fldSimple>
      <w:r>
        <w:t xml:space="preserve">:</w:t>
      </w:r>
      <w:r>
        <w:t xml:space="preserve"> </w:t>
      </w:r>
      <w:bookmarkEnd w:id="104"/>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17</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16</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7"/>
    <w:bookmarkEnd w:id="108"/>
    <w:bookmarkStart w:id="117" w:name="características-de-los-recetarios"/>
    <w:p>
      <w:pPr>
        <w:pStyle w:val="Heading2"/>
      </w:pPr>
      <w:r>
        <w:rPr>
          <w:rStyle w:val="SectionNumber"/>
        </w:rPr>
        <w:t xml:space="preserve">5.5</w:t>
      </w:r>
      <w:r>
        <w:tab/>
      </w:r>
      <w:r>
        <w:t xml:space="preserve">Características de los recetarios</w:t>
      </w:r>
    </w:p>
    <w:bookmarkStart w:id="111"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29"/>
      <w:r>
        <w:t xml:space="preserve">Figure </w:t>
      </w:r>
      <w:fldSimple w:instr="SEQ Figure \* ARABIC ">
        <w:r>
          <w:t>29</w:t>
        </w:r>
      </w:fldSimple>
      <w:r>
        <w:t xml:space="preserve">:</w:t>
      </w:r>
      <w:r>
        <w:t xml:space="preserve"> </w:t>
      </w:r>
      <w:bookmarkEnd w:id="110"/>
      <w:r>
        <w:t xml:space="preserve">Figura 5.17: N.° de prescripciones por recetario.</w:t>
      </w:r>
    </w:p>
    <w:bookmarkEnd w:id="111"/>
    <w:bookmarkStart w:id="116"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0"/>
      <w:r>
        <w:t xml:space="preserve">Figure </w:t>
      </w:r>
      <w:fldSimple w:instr="SEQ Figure \* ARABIC ">
        <w:r>
          <w:t>30</w:t>
        </w:r>
      </w:fldSimple>
      <w:r>
        <w:t xml:space="preserve">:</w:t>
      </w:r>
      <w:r>
        <w:t xml:space="preserve"> </w:t>
      </w:r>
      <w:bookmarkEnd w:id="113"/>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3"/>
        </w:numPr>
      </w:pPr>
      <w:r>
        <w:t xml:space="preserve">Tintas invisibles o fluorescentes que brillan al estar frente a la luz UV.</w:t>
      </w:r>
    </w:p>
    <w:p>
      <w:pPr>
        <w:numPr>
          <w:ilvl w:val="0"/>
          <w:numId w:val="1023"/>
        </w:numPr>
      </w:pPr>
      <w:r>
        <w:t xml:space="preserve">Microletras/microtextos, los cuales están inmersos en cada folio del recetario donde se describe para quien va cada copia.</w:t>
      </w:r>
    </w:p>
    <w:p>
      <w:pPr>
        <w:numPr>
          <w:ilvl w:val="0"/>
          <w:numId w:val="1023"/>
        </w:numPr>
      </w:pPr>
      <w:r>
        <w:t xml:space="preserve">Relieves o laminados observados en la copia original de los recetarios.</w:t>
      </w:r>
    </w:p>
    <w:p>
      <w:pPr>
        <w:numPr>
          <w:ilvl w:val="0"/>
          <w:numId w:val="1023"/>
        </w:numPr>
      </w:pPr>
      <w:r>
        <w:t xml:space="preserve">Filamentos o bandas de seguridad tecnología similar a los billetes.</w:t>
      </w:r>
    </w:p>
    <w:p>
      <w:pPr>
        <w:numPr>
          <w:ilvl w:val="0"/>
          <w:numId w:val="1023"/>
        </w:numPr>
      </w:pPr>
      <w:r>
        <w:t xml:space="preserve">Pruebas reactivo metal, que consisten en raspar un espacio determinado del recetario con un metal o moneda desde la página original del mismo y automáticamente los folios continuos se marcarán.</w:t>
      </w:r>
    </w:p>
    <w:p>
      <w:pPr>
        <w:numPr>
          <w:ilvl w:val="0"/>
          <w:numId w:val="1023"/>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6"/>
    <w:bookmarkEnd w:id="117"/>
    <w:bookmarkStart w:id="121"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18</w:t>
        </w:r>
      </w:hyperlink>
      <w:r>
        <w:t xml:space="preserve">.</w:t>
      </w:r>
    </w:p>
    <w:bookmarkStart w:id="120"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2"/>
      <w:r>
        <w:t xml:space="preserve">Figure </w:t>
      </w:r>
      <w:fldSimple w:instr="SEQ Figure \* ARABIC ">
        <w:r>
          <w:t>32</w:t>
        </w:r>
      </w:fldSimple>
      <w:r>
        <w:t xml:space="preserve">:</w:t>
      </w:r>
      <w:r>
        <w:t xml:space="preserve"> </w:t>
      </w:r>
      <w:bookmarkEnd w:id="119"/>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20"/>
    <w:bookmarkEnd w:id="121"/>
    <w:bookmarkEnd w:id="122"/>
    <w:bookmarkStart w:id="182"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19</w:t>
        </w:r>
      </w:hyperlink>
      <w:r>
        <w:t xml:space="preserve"> </w:t>
      </w:r>
      <w:r>
        <w:t xml:space="preserve">y la Resolución 940 de 2007</w:t>
      </w:r>
      <w:hyperlink w:anchor="ref-MSPS940-2007">
        <w:r>
          <w:rPr>
            <w:rStyle w:val="Hyperlink"/>
            <w:vertAlign w:val="superscript"/>
          </w:rPr>
          <w:t xml:space="preserve">20</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21</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22</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23</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24</w:t>
        </w:r>
      </w:hyperlink>
      <w:r>
        <w:t xml:space="preserve">, o estatus convulsivo</w:t>
      </w:r>
      <w:hyperlink w:anchor="ref-VergaraAguilar2019">
        <w:r>
          <w:rPr>
            <w:rStyle w:val="Hyperlink"/>
            <w:vertAlign w:val="superscript"/>
          </w:rPr>
          <w:t xml:space="preserve">25</w:t>
        </w:r>
      </w:hyperlink>
      <w:r>
        <w:t xml:space="preserve">. La primidona cuenta con un espacio limitado en la terapia moderna de la epilepsia</w:t>
      </w:r>
      <w:hyperlink w:anchor="ref-Johannessen2020">
        <w:r>
          <w:rPr>
            <w:rStyle w:val="Hyperlink"/>
            <w:vertAlign w:val="superscript"/>
          </w:rPr>
          <w:t xml:space="preserve">26</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27</w:t>
        </w:r>
      </w:hyperlink>
      <w:r>
        <w:rPr>
          <w:vertAlign w:val="superscript"/>
        </w:rPr>
        <w:t xml:space="preserve">,</w:t>
      </w:r>
      <w:hyperlink w:anchor="ref-Llanos-Lizcanoa2019">
        <w:r>
          <w:rPr>
            <w:rStyle w:val="Hyperlink"/>
            <w:vertAlign w:val="superscript"/>
          </w:rPr>
          <w:t xml:space="preserve">28</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29</w:t>
        </w:r>
      </w:hyperlink>
      <w:r>
        <w:rPr>
          <w:vertAlign w:val="superscript"/>
        </w:rPr>
        <w:t xml:space="preserve">,</w:t>
      </w:r>
      <w:hyperlink w:anchor="ref-INVIMA2018-Desabast">
        <w:r>
          <w:rPr>
            <w:rStyle w:val="Hyperlink"/>
            <w:vertAlign w:val="superscript"/>
          </w:rPr>
          <w:t xml:space="preserve">30</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31</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32</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32</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33</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33</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34</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35</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36</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32"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37</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38</w:t>
        </w:r>
      </w:hyperlink>
      <w:r>
        <w:t xml:space="preserve">:</w:t>
      </w:r>
    </w:p>
    <w:p>
      <w:pPr>
        <w:numPr>
          <w:ilvl w:val="0"/>
          <w:numId w:val="1024"/>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4"/>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4"/>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38</w:t>
        </w:r>
      </w:hyperlink>
      <w:r>
        <w:t xml:space="preserve">.</w:t>
      </w:r>
    </w:p>
    <w:bookmarkStart w:id="125"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34</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3"/>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5"/>
    <w:bookmarkStart w:id="128"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34</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4"/>
      <w:r>
        <w:t xml:space="preserve">Figure </w:t>
      </w:r>
      <w:fldSimple w:instr="SEQ Figure \* ARABIC ">
        <w:r>
          <w:t>34</w:t>
        </w:r>
      </w:fldSimple>
      <w:r>
        <w:t xml:space="preserve">:</w:t>
      </w:r>
      <w:r>
        <w:t xml:space="preserve"> </w:t>
      </w:r>
      <w:bookmarkEnd w:id="127"/>
      <w:r>
        <w:t xml:space="preserve">Figura 6.2: Frecuencia de compras de medicamentos por año al FNE.</w:t>
      </w:r>
    </w:p>
    <w:bookmarkEnd w:id="128"/>
    <w:bookmarkStart w:id="131"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39</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39</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38</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34</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1"/>
    <w:bookmarkEnd w:id="132"/>
    <w:bookmarkStart w:id="146" w:name="adquisición-de-mme"/>
    <w:p>
      <w:pPr>
        <w:pStyle w:val="Heading2"/>
      </w:pPr>
      <w:r>
        <w:rPr>
          <w:rStyle w:val="SectionNumber"/>
        </w:rPr>
        <w:t xml:space="preserve">6.2</w:t>
      </w:r>
      <w:r>
        <w:tab/>
      </w:r>
      <w:r>
        <w:t xml:space="preserve">Adquisición de MME</w:t>
      </w:r>
    </w:p>
    <w:bookmarkStart w:id="136"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34</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5"/>
        </w:numPr>
      </w:pPr>
      <w:r>
        <w:t xml:space="preserve">Estimación de necesidades</w:t>
      </w:r>
    </w:p>
    <w:p>
      <w:pPr>
        <w:numPr>
          <w:ilvl w:val="0"/>
          <w:numId w:val="1025"/>
        </w:numPr>
      </w:pPr>
      <w:r>
        <w:t xml:space="preserve">Precontractual</w:t>
      </w:r>
    </w:p>
    <w:p>
      <w:pPr>
        <w:numPr>
          <w:ilvl w:val="0"/>
          <w:numId w:val="1025"/>
        </w:numPr>
      </w:pPr>
      <w:r>
        <w:t xml:space="preserve">Contractual</w:t>
      </w:r>
    </w:p>
    <w:p>
      <w:pPr>
        <w:numPr>
          <w:ilvl w:val="0"/>
          <w:numId w:val="1025"/>
        </w:numPr>
      </w:pPr>
      <w:r>
        <w:t xml:space="preserve">Solicitud en la plataforma tecnológica</w:t>
      </w:r>
    </w:p>
    <w:p>
      <w:pPr>
        <w:numPr>
          <w:ilvl w:val="0"/>
          <w:numId w:val="1025"/>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3"/>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40</w:t>
        </w:r>
      </w:hyperlink>
      <w:r>
        <w:rPr>
          <w:vertAlign w:val="superscript"/>
        </w:rPr>
        <w:t xml:space="preserve">,</w:t>
      </w:r>
      <w:hyperlink w:anchor="ref-CongresodelaRepublicadeColombia2007">
        <w:r>
          <w:rPr>
            <w:rStyle w:val="Hyperlink"/>
            <w:vertAlign w:val="superscript"/>
          </w:rPr>
          <w:t xml:space="preserve">41</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40</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6"/>
      <w:r>
        <w:t xml:space="preserve">Figure </w:t>
      </w:r>
      <w:fldSimple w:instr="SEQ Figure \* ARABIC ">
        <w:r>
          <w:t>36</w:t>
        </w:r>
      </w:fldSimple>
      <w:r>
        <w:t xml:space="preserve">:</w:t>
      </w:r>
      <w:r>
        <w:t xml:space="preserve"> </w:t>
      </w:r>
      <w:bookmarkEnd w:id="135"/>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42</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43</w:t>
        </w:r>
      </w:hyperlink>
      <w:r>
        <w:t xml:space="preserve">.</w:t>
      </w:r>
    </w:p>
    <w:bookmarkEnd w:id="136"/>
    <w:bookmarkStart w:id="139"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44</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7"/>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8" w:name="fig37"/>
      <w:r>
        <w:t xml:space="preserve">Figure </w:t>
      </w:r>
      <w:fldSimple w:instr="SEQ Figure \* ARABIC ">
        <w:r>
          <w:t>37</w:t>
        </w:r>
      </w:fldSimple>
      <w:r>
        <w:t xml:space="preserve">:</w:t>
      </w:r>
      <w:r>
        <w:t xml:space="preserve"> </w:t>
      </w:r>
      <w:bookmarkEnd w:id="138"/>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9"/>
    <w:bookmarkStart w:id="142"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39</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6"/>
        </w:numPr>
      </w:pPr>
      <w:r>
        <w:t xml:space="preserve">estudiar la documentación propia de la institución que realiza la recepción, con el fin de establecer los productos a recibir y qué condiciones requieren los mismos para su recepción.</w:t>
      </w:r>
    </w:p>
    <w:p>
      <w:pPr>
        <w:numPr>
          <w:ilvl w:val="0"/>
          <w:numId w:val="1026"/>
        </w:numPr>
      </w:pPr>
      <w:r>
        <w:t xml:space="preserve">verificar la documentación de quien hace la entrega, p.ej. guía de entrega. Las cantidades solicitadas deben corresponder con las aprobadas tras el pedido.</w:t>
      </w:r>
    </w:p>
    <w:p>
      <w:pPr>
        <w:numPr>
          <w:ilvl w:val="0"/>
          <w:numId w:val="1026"/>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45</w:t>
        </w:r>
      </w:hyperlink>
      <w:r>
        <w:rPr>
          <w:vertAlign w:val="superscript"/>
        </w:rPr>
        <w:t xml:space="preserve">,</w:t>
      </w:r>
      <w:hyperlink w:anchor="ref-GutierrezPulido2008">
        <w:r>
          <w:rPr>
            <w:rStyle w:val="Hyperlink"/>
            <w:vertAlign w:val="superscript"/>
          </w:rPr>
          <w:t xml:space="preserve">46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7"/>
        </w:numPr>
      </w:pPr>
      <w:r>
        <w:t xml:space="preserve">fecha y hora de entrega</w:t>
      </w:r>
    </w:p>
    <w:p>
      <w:pPr>
        <w:numPr>
          <w:ilvl w:val="0"/>
          <w:numId w:val="1027"/>
        </w:numPr>
      </w:pPr>
      <w:r>
        <w:t xml:space="preserve">cantidad de unidades</w:t>
      </w:r>
    </w:p>
    <w:p>
      <w:pPr>
        <w:numPr>
          <w:ilvl w:val="0"/>
          <w:numId w:val="1027"/>
        </w:numPr>
      </w:pPr>
      <w:r>
        <w:t xml:space="preserve">número de lote</w:t>
      </w:r>
    </w:p>
    <w:p>
      <w:pPr>
        <w:numPr>
          <w:ilvl w:val="0"/>
          <w:numId w:val="1027"/>
        </w:numPr>
      </w:pPr>
      <w:r>
        <w:t xml:space="preserve">registro sanitario</w:t>
      </w:r>
    </w:p>
    <w:p>
      <w:pPr>
        <w:numPr>
          <w:ilvl w:val="0"/>
          <w:numId w:val="1027"/>
        </w:numPr>
      </w:pPr>
      <w:r>
        <w:t xml:space="preserve">fechas de vencimiento</w:t>
      </w:r>
    </w:p>
    <w:p>
      <w:pPr>
        <w:numPr>
          <w:ilvl w:val="0"/>
          <w:numId w:val="1027"/>
        </w:numPr>
      </w:pPr>
      <w:r>
        <w:t xml:space="preserve">condiciones de trasporte, manipulación y embalaje</w:t>
      </w:r>
    </w:p>
    <w:p>
      <w:pPr>
        <w:numPr>
          <w:ilvl w:val="0"/>
          <w:numId w:val="1027"/>
        </w:numPr>
      </w:pPr>
      <w:r>
        <w:t xml:space="preserve">material de empaque y envase</w:t>
      </w:r>
    </w:p>
    <w:p>
      <w:pPr>
        <w:numPr>
          <w:ilvl w:val="0"/>
          <w:numId w:val="1027"/>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4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42"/>
    <w:bookmarkStart w:id="145"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34</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47</w:t>
        </w:r>
      </w:hyperlink>
      <w:r>
        <w:t xml:space="preserve">, esto puede reducir los costos sí se utiliza en emergencias, o aumentarlos sí se utiliza de forma excesiva</w:t>
      </w:r>
      <w:hyperlink w:anchor="ref-Silver2017">
        <w:r>
          <w:rPr>
            <w:rStyle w:val="Hyperlink"/>
            <w:vertAlign w:val="superscript"/>
          </w:rPr>
          <w:t xml:space="preserve">34</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3"/>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4" w:name="fig39"/>
      <w:r>
        <w:t xml:space="preserve">Figure </w:t>
      </w:r>
      <w:fldSimple w:instr="SEQ Figure \* ARABIC ">
        <w:r>
          <w:t>39</w:t>
        </w:r>
      </w:fldSimple>
      <w:r>
        <w:t xml:space="preserve">:</w:t>
      </w:r>
      <w:r>
        <w:t xml:space="preserve"> </w:t>
      </w:r>
      <w:bookmarkEnd w:id="144"/>
      <w:r>
        <w:t xml:space="preserve">Figura 6.8: Caracterización en demoras de traslados interdepartamentales. (A) Gráfico de tiempos de traslados interdepartamentales reportados para los departamentos. (B) Mapa de tiempos de traslados interdepartamentales.</w:t>
      </w:r>
    </w:p>
    <w:bookmarkEnd w:id="145"/>
    <w:bookmarkEnd w:id="146"/>
    <w:bookmarkStart w:id="154"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7"/>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8" w:name="fig40"/>
      <w:r>
        <w:t xml:space="preserve">Figure </w:t>
      </w:r>
      <w:fldSimple w:instr="SEQ Figure \* ARABIC ">
        <w:r>
          <w:t>40</w:t>
        </w:r>
      </w:fldSimple>
      <w:r>
        <w:t xml:space="preserve">:</w:t>
      </w:r>
      <w:r>
        <w:t xml:space="preserve"> </w:t>
      </w:r>
      <w:bookmarkEnd w:id="148"/>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53"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9"/>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50" w:name="fig41"/>
      <w:r>
        <w:t xml:space="preserve">Figure </w:t>
      </w:r>
      <w:fldSimple w:instr="SEQ Figure \* ARABIC ">
        <w:r>
          <w:t>41</w:t>
        </w:r>
      </w:fldSimple>
      <w:r>
        <w:t xml:space="preserve">:</w:t>
      </w:r>
      <w:r>
        <w:t xml:space="preserve"> </w:t>
      </w:r>
      <w:bookmarkEnd w:id="150"/>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6.11: Existencia de otras instituciones que realizan ventas a instituciones a MME.</w:t>
      </w:r>
    </w:p>
    <w:bookmarkEnd w:id="153"/>
    <w:bookmarkEnd w:id="154"/>
    <w:bookmarkStart w:id="171" w:name="almacenamiento"/>
    <w:p>
      <w:pPr>
        <w:pStyle w:val="Heading2"/>
      </w:pPr>
      <w:r>
        <w:rPr>
          <w:rStyle w:val="SectionNumber"/>
        </w:rPr>
        <w:t xml:space="preserve">6.4</w:t>
      </w:r>
      <w:r>
        <w:tab/>
      </w:r>
      <w:r>
        <w:t xml:space="preserve">Almacenamiento</w:t>
      </w:r>
    </w:p>
    <w:bookmarkStart w:id="157"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5"/>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6" w:name="fig43"/>
      <w:r>
        <w:t xml:space="preserve">Figure </w:t>
      </w:r>
      <w:fldSimple w:instr="SEQ Figure \* ARABIC ">
        <w:r>
          <w:t>43</w:t>
        </w:r>
      </w:fldSimple>
      <w:r>
        <w:t xml:space="preserve">:</w:t>
      </w:r>
      <w:r>
        <w:t xml:space="preserve"> </w:t>
      </w:r>
      <w:bookmarkEnd w:id="156"/>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7"/>
    <w:bookmarkStart w:id="161"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6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61"/>
    <w:bookmarkStart w:id="167"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62"/>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3"/>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4" w:name="fig45"/>
      <w:r>
        <w:t xml:space="preserve">Figure </w:t>
      </w:r>
      <w:fldSimple w:instr="SEQ Figure \* ARABIC ">
        <w:r>
          <w:t>45</w:t>
        </w:r>
      </w:fldSimple>
      <w:r>
        <w:t xml:space="preserve">:</w:t>
      </w:r>
      <w:r>
        <w:t xml:space="preserve"> </w:t>
      </w:r>
      <w:bookmarkEnd w:id="164"/>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34</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5"/>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7"/>
    <w:bookmarkStart w:id="170"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39</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39</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8"/>
        </w:numPr>
      </w:pPr>
      <w:r>
        <w:t xml:space="preserve">Rojo: medicamento que se encuentra próximo a vencer.</w:t>
      </w:r>
    </w:p>
    <w:p>
      <w:pPr>
        <w:numPr>
          <w:ilvl w:val="0"/>
          <w:numId w:val="1028"/>
        </w:numPr>
      </w:pPr>
      <w:r>
        <w:t xml:space="preserve">Amarillo: medicamento que se encuentra en riesgo moderado de vencimiento.</w:t>
      </w:r>
    </w:p>
    <w:p>
      <w:pPr>
        <w:numPr>
          <w:ilvl w:val="0"/>
          <w:numId w:val="1028"/>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9"/>
        </w:numPr>
      </w:pPr>
      <w:r>
        <w:t xml:space="preserve">El producto cuenta con una vida útil de 18 meses.</w:t>
      </w:r>
    </w:p>
    <w:p>
      <w:pPr>
        <w:numPr>
          <w:ilvl w:val="0"/>
          <w:numId w:val="1029"/>
        </w:numPr>
      </w:pPr>
      <w:r>
        <w:t xml:space="preserve">Este medicamento es importado y en ocasiones la casa matriz entrega el producto con una vida útil efectiva menor a los 18 meses mencionados.</w:t>
      </w:r>
    </w:p>
    <w:p>
      <w:pPr>
        <w:numPr>
          <w:ilvl w:val="0"/>
          <w:numId w:val="1029"/>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6.18: Vencimiento de medicamentos. (A) Presentación de casos de vencimiento de MME. (B) Medicamentos implicados en casos de vencimiento de MME.</w:t>
      </w:r>
    </w:p>
    <w:bookmarkEnd w:id="170"/>
    <w:bookmarkEnd w:id="171"/>
    <w:bookmarkStart w:id="174"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72"/>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3" w:name="fig48"/>
      <w:r>
        <w:t xml:space="preserve">Figure </w:t>
      </w:r>
      <w:fldSimple w:instr="SEQ Figure \* ARABIC ">
        <w:r>
          <w:t>48</w:t>
        </w:r>
      </w:fldSimple>
      <w:r>
        <w:t xml:space="preserve">:</w:t>
      </w:r>
      <w:r>
        <w:t xml:space="preserve"> </w:t>
      </w:r>
      <w:bookmarkEnd w:id="173"/>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4"/>
    <w:bookmarkStart w:id="181"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49</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50</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51</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51</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49"/>
      <w:r>
        <w:t xml:space="preserve">Figure </w:t>
      </w:r>
      <w:fldSimple w:instr="SEQ Figure \* ARABIC ">
        <w:r>
          <w:t>49</w:t>
        </w:r>
      </w:fldSimple>
      <w:r>
        <w:t xml:space="preserve">:</w:t>
      </w:r>
      <w:r>
        <w:t xml:space="preserve"> </w:t>
      </w:r>
      <w:bookmarkEnd w:id="176"/>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8" w:name="fig50"/>
      <w:r>
        <w:t xml:space="preserve">Figure </w:t>
      </w:r>
      <w:fldSimple w:instr="SEQ Figure \* ARABIC ">
        <w:r>
          <w:t>50</w:t>
        </w:r>
      </w:fldSimple>
      <w:r>
        <w:t xml:space="preserve">:</w:t>
      </w:r>
      <w:r>
        <w:t xml:space="preserve"> </w:t>
      </w:r>
      <w:bookmarkEnd w:id="178"/>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80" w:name="fig51"/>
      <w:r>
        <w:t xml:space="preserve">Figure </w:t>
      </w:r>
      <w:fldSimple w:instr="SEQ Figure \* ARABIC ">
        <w:r>
          <w:t>51</w:t>
        </w:r>
      </w:fldSimple>
      <w:r>
        <w:t xml:space="preserve">:</w:t>
      </w:r>
      <w:r>
        <w:t xml:space="preserve"> </w:t>
      </w:r>
      <w:bookmarkEnd w:id="180"/>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34</w:t>
        </w:r>
      </w:hyperlink>
      <w:r>
        <w:t xml:space="preserve">. Se deben revisar a profundidad los precios de los medicamentos en el territorio de manera que se articule una política de precios de medicamentos monopolio del Estado.</w:t>
      </w:r>
    </w:p>
    <w:bookmarkEnd w:id="181"/>
    <w:bookmarkEnd w:id="182"/>
    <w:bookmarkStart w:id="204"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2"/>
      <w:r>
        <w:t xml:space="preserve">Figure </w:t>
      </w:r>
      <w:fldSimple w:instr="SEQ Figure \* ARABIC ">
        <w:r>
          <w:t>52</w:t>
        </w:r>
      </w:fldSimple>
      <w:r>
        <w:t xml:space="preserve">:</w:t>
      </w:r>
      <w:r>
        <w:t xml:space="preserve"> </w:t>
      </w:r>
      <w:bookmarkEnd w:id="184"/>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9"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5"/>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6" w:name="fig53"/>
      <w:r>
        <w:t xml:space="preserve">Figure </w:t>
      </w:r>
      <w:fldSimple w:instr="SEQ Figure \* ARABIC ">
        <w:r>
          <w:t>53</w:t>
        </w:r>
      </w:fldSimple>
      <w:r>
        <w:t xml:space="preserve">:</w:t>
      </w:r>
      <w:r>
        <w:t xml:space="preserve"> </w:t>
      </w:r>
      <w:bookmarkEnd w:id="186"/>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8" w:name="fig54"/>
      <w:r>
        <w:t xml:space="preserve">Figure </w:t>
      </w:r>
      <w:fldSimple w:instr="SEQ Figure \* ARABIC ">
        <w:r>
          <w:t>54</w:t>
        </w:r>
      </w:fldSimple>
      <w:r>
        <w:t xml:space="preserve">:</w:t>
      </w:r>
      <w:r>
        <w:t xml:space="preserve"> </w:t>
      </w:r>
      <w:bookmarkEnd w:id="188"/>
      <w:r>
        <w:t xml:space="preserve">Figura 7.3: Velocidad de conexión de internet.</w:t>
      </w:r>
    </w:p>
    <w:bookmarkEnd w:id="189"/>
    <w:bookmarkStart w:id="196"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5"/>
      <w:r>
        <w:t xml:space="preserve">Figure </w:t>
      </w:r>
      <w:fldSimple w:instr="SEQ Figure \* ARABIC ">
        <w:r>
          <w:t>55</w:t>
        </w:r>
      </w:fldSimple>
      <w:r>
        <w:t xml:space="preserve">:</w:t>
      </w:r>
      <w:r>
        <w:t xml:space="preserve"> </w:t>
      </w:r>
      <w:bookmarkEnd w:id="191"/>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3" w:name="fig56"/>
      <w:r>
        <w:t xml:space="preserve">Figure </w:t>
      </w:r>
      <w:fldSimple w:instr="SEQ Figure \* ARABIC ">
        <w:r>
          <w:t>56</w:t>
        </w:r>
      </w:fldSimple>
      <w:r>
        <w:t xml:space="preserve">:</w:t>
      </w:r>
      <w:r>
        <w:t xml:space="preserve"> </w:t>
      </w:r>
      <w:bookmarkEnd w:id="193"/>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5" w:name="fig57"/>
      <w:r>
        <w:t xml:space="preserve">Figure </w:t>
      </w:r>
      <w:fldSimple w:instr="SEQ Figure \* ARABIC ">
        <w:r>
          <w:t>57</w:t>
        </w:r>
      </w:fldSimple>
      <w:r>
        <w:t xml:space="preserve">:</w:t>
      </w:r>
      <w:r>
        <w:t xml:space="preserve"> </w:t>
      </w:r>
      <w:bookmarkEnd w:id="195"/>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6"/>
    <w:bookmarkStart w:id="203" w:name="control-de-la-información"/>
    <w:p>
      <w:pPr>
        <w:pStyle w:val="Heading2"/>
      </w:pPr>
      <w:r>
        <w:rPr>
          <w:rStyle w:val="SectionNumber"/>
        </w:rPr>
        <w:t xml:space="preserve">7.3</w:t>
      </w:r>
      <w:r>
        <w:tab/>
      </w:r>
      <w:r>
        <w:t xml:space="preserve">Control de la información</w:t>
      </w:r>
    </w:p>
    <w:bookmarkStart w:id="199"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7"/>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8" w:name="fig58"/>
      <w:r>
        <w:t xml:space="preserve">Figure </w:t>
      </w:r>
      <w:fldSimple w:instr="SEQ Figure \* ARABIC ">
        <w:r>
          <w:t>58</w:t>
        </w:r>
      </w:fldSimple>
      <w:r>
        <w:t xml:space="preserve">:</w:t>
      </w:r>
      <w:r>
        <w:t xml:space="preserve"> </w:t>
      </w:r>
      <w:bookmarkEnd w:id="198"/>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9"/>
    <w:bookmarkStart w:id="202"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7.8: Proporción de FRE que cuenta con: (A) bases de datos con información de inscritos, o (B) bases de datos con información de pacientes a los que se les dispensa MME.</w:t>
      </w:r>
    </w:p>
    <w:bookmarkEnd w:id="202"/>
    <w:bookmarkEnd w:id="203"/>
    <w:bookmarkEnd w:id="204"/>
    <w:bookmarkStart w:id="23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3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3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3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30"/>
        </w:numPr>
      </w:pPr>
      <w:r>
        <w:t xml:space="preserve">Novedades sobre la inscripción de los Establecimientos Farmacéuticos e IPS autorizados, de acuerdo al formato (Anexo número 3) de la presente resolución.</w:t>
      </w:r>
    </w:p>
    <w:p>
      <w:pPr>
        <w:numPr>
          <w:ilvl w:val="0"/>
          <w:numId w:val="103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30"/>
        </w:numPr>
      </w:pPr>
      <w:r>
        <w:t xml:space="preserve">Informe mensual consolidado sobre las transformaciones realizadas en el mes inmediatamente anterior, dentro de los diez (10) primeros días calendarios de cada mes. (Anexo número 4)</w:t>
      </w:r>
    </w:p>
    <w:p>
      <w:pPr>
        <w:numPr>
          <w:ilvl w:val="0"/>
          <w:numId w:val="103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30"/>
        </w:numPr>
      </w:pPr>
      <w:r>
        <w:t xml:space="preserve">Informe trimestral de sanciones impuestas por infracciones administrativas en la fabricación, distribución y dispensación de medicamentos de Control Especial.</w:t>
      </w:r>
    </w:p>
    <w:p>
      <w:pPr>
        <w:numPr>
          <w:ilvl w:val="0"/>
          <w:numId w:val="1030"/>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4"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6" w:name="fig60"/>
      <w:r>
        <w:t xml:space="preserve">Figure </w:t>
      </w:r>
      <w:fldSimple w:instr="SEQ Figure \* ARABIC ">
        <w:r>
          <w:t>60</w:t>
        </w:r>
      </w:fldSimple>
      <w:r>
        <w:t xml:space="preserve">:</w:t>
      </w:r>
      <w:r>
        <w:t xml:space="preserve"> </w:t>
      </w:r>
      <w:bookmarkEnd w:id="206"/>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3"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7"/>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8" w:name="fig61"/>
      <w:r>
        <w:t xml:space="preserve">Figure </w:t>
      </w:r>
      <w:fldSimple w:instr="SEQ Figure \* ARABIC ">
        <w:r>
          <w:t>61</w:t>
        </w:r>
      </w:fldSimple>
      <w:r>
        <w:t xml:space="preserve">:</w:t>
      </w:r>
      <w:r>
        <w:t xml:space="preserve"> </w:t>
      </w:r>
      <w:bookmarkEnd w:id="208"/>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10" w:name="fig62"/>
      <w:r>
        <w:t xml:space="preserve">Figure </w:t>
      </w:r>
      <w:fldSimple w:instr="SEQ Figure \* ARABIC ">
        <w:r>
          <w:t>62</w:t>
        </w:r>
      </w:fldSimple>
      <w:r>
        <w:t xml:space="preserve">:</w:t>
      </w:r>
      <w:r>
        <w:t xml:space="preserve"> </w:t>
      </w:r>
      <w:bookmarkEnd w:id="210"/>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11"/>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2" w:name="fig63"/>
      <w:r>
        <w:t xml:space="preserve">Figure </w:t>
      </w:r>
      <w:fldSimple w:instr="SEQ Figure \* ARABIC ">
        <w:r>
          <w:t>63</w:t>
        </w:r>
      </w:fldSimple>
      <w:r>
        <w:t xml:space="preserve">:</w:t>
      </w:r>
      <w:r>
        <w:t xml:space="preserve"> </w:t>
      </w:r>
      <w:bookmarkEnd w:id="212"/>
      <w:r>
        <w:t xml:space="preserve">Figura 8.4: Tiempo en la consolidación del Anexo 1 de la Resolución 1479 de 2006 vs N° de instituciones que realizan compra en un año.</w:t>
      </w:r>
    </w:p>
    <w:bookmarkEnd w:id="213"/>
    <w:bookmarkStart w:id="220"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4"/>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5" w:name="fig64"/>
      <w:r>
        <w:t xml:space="preserve">Figure </w:t>
      </w:r>
      <w:fldSimple w:instr="SEQ Figure \* ARABIC ">
        <w:r>
          <w:t>64</w:t>
        </w:r>
      </w:fldSimple>
      <w:r>
        <w:t xml:space="preserve">:</w:t>
      </w:r>
      <w:r>
        <w:t xml:space="preserve"> </w:t>
      </w:r>
      <w:bookmarkEnd w:id="215"/>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6"/>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7" w:name="fig65"/>
      <w:r>
        <w:t xml:space="preserve">Figure </w:t>
      </w:r>
      <w:fldSimple w:instr="SEQ Figure \* ARABIC ">
        <w:r>
          <w:t>65</w:t>
        </w:r>
      </w:fldSimple>
      <w:r>
        <w:t xml:space="preserve">:</w:t>
      </w:r>
      <w:r>
        <w:t xml:space="preserve"> </w:t>
      </w:r>
      <w:bookmarkEnd w:id="217"/>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20"/>
    <w:bookmarkStart w:id="223"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21"/>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8.8: Tiempo de archivo de Anexo 13 de la Resolución 1478 de 2006.</w:t>
      </w:r>
    </w:p>
    <w:bookmarkEnd w:id="223"/>
    <w:bookmarkEnd w:id="224"/>
    <w:bookmarkStart w:id="227"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5"/>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6" w:name="fig68"/>
      <w:r>
        <w:t xml:space="preserve">Figure </w:t>
      </w:r>
      <w:fldSimple w:instr="SEQ Figure \* ARABIC ">
        <w:r>
          <w:t>68</w:t>
        </w:r>
      </w:fldSimple>
      <w:r>
        <w:t xml:space="preserve">:</w:t>
      </w:r>
      <w:r>
        <w:t xml:space="preserve"> </w:t>
      </w:r>
      <w:bookmarkEnd w:id="226"/>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7"/>
    <w:bookmarkStart w:id="230"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30"/>
    <w:bookmarkEnd w:id="231"/>
    <w:bookmarkStart w:id="237" w:name="lineamientos-y-recomendaciones"/>
    <w:p>
      <w:pPr>
        <w:pStyle w:val="Heading1"/>
      </w:pPr>
      <w:r>
        <w:rPr>
          <w:rStyle w:val="SectionNumber"/>
        </w:rPr>
        <w:t xml:space="preserve">9</w:t>
      </w:r>
      <w:r>
        <w:tab/>
      </w:r>
      <w:r>
        <w:t xml:space="preserve">Lineamientos y Recomendaciones</w:t>
      </w:r>
    </w:p>
    <w:bookmarkStart w:id="232"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1"/>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1"/>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1"/>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1"/>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1"/>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32"/>
    <w:bookmarkStart w:id="233"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2"/>
        </w:numPr>
      </w:pPr>
      <w:r>
        <w:t xml:space="preserve">Tener una espacio exclusivo y seguro para el almacenamiento de los recetarios, en el cual sólo se tenga acceso cierto personal del FRE.</w:t>
      </w:r>
    </w:p>
    <w:p>
      <w:pPr>
        <w:numPr>
          <w:ilvl w:val="0"/>
          <w:numId w:val="1032"/>
        </w:numPr>
      </w:pPr>
      <w:r>
        <w:t xml:space="preserve">Realizar un seguimiento de los recetarios por medio de la codificación al momento de venderse, puesto que al no llevar registro de los mismos hay una posibilidad de falsificación y/o desvío.</w:t>
      </w:r>
    </w:p>
    <w:p>
      <w:pPr>
        <w:numPr>
          <w:ilvl w:val="0"/>
          <w:numId w:val="1032"/>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2"/>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2"/>
        </w:numPr>
      </w:pPr>
      <w:r>
        <w:t xml:space="preserve">Tener niveles de seguridad para realizar la compra de nuevos recetarios, evitando desabastecimientos y llegando a planes de contingencia que pueden llegar a ser reprocesos en los entes territoriales.</w:t>
      </w:r>
    </w:p>
    <w:bookmarkEnd w:id="233"/>
    <w:bookmarkStart w:id="234"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3"/>
        </w:numPr>
      </w:pPr>
      <w:r>
        <w:t xml:space="preserve">Usar herramientas informáticas que permitan tener un mejor manejo de trazabilidad del inventario.</w:t>
      </w:r>
    </w:p>
    <w:p>
      <w:pPr>
        <w:numPr>
          <w:ilvl w:val="0"/>
          <w:numId w:val="1033"/>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3"/>
        </w:numPr>
      </w:pPr>
      <w:r>
        <w:t xml:space="preserve">Actualizar los equipos de cómputo en el FRE que deben estar en cantidad suficiente de forma que permitan realizar un control del inventario.</w:t>
      </w:r>
    </w:p>
    <w:p>
      <w:pPr>
        <w:numPr>
          <w:ilvl w:val="0"/>
          <w:numId w:val="1033"/>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3"/>
        </w:numPr>
      </w:pPr>
      <w:r>
        <w:t xml:space="preserve">Implementar un adecuado proceso de recepción técnica con inspección a niveles de 100% o utilización de planes de muestreo como el expuesto por la tabla militar estándar.</w:t>
      </w:r>
    </w:p>
    <w:p>
      <w:pPr>
        <w:numPr>
          <w:ilvl w:val="0"/>
          <w:numId w:val="1033"/>
        </w:numPr>
      </w:pPr>
      <w:r>
        <w:t xml:space="preserve">Seguir con buenas prácticas de almacenamiento de los medicamentos evitando utilizar los lugares destinados para esto con otros fines.</w:t>
      </w:r>
    </w:p>
    <w:p>
      <w:pPr>
        <w:numPr>
          <w:ilvl w:val="0"/>
          <w:numId w:val="1033"/>
        </w:numPr>
      </w:pPr>
      <w:r>
        <w:t xml:space="preserve">Comunicar de manera eficiente y oportuna sobre problemas relacionados con la distribución de MME por parte del FNE.</w:t>
      </w:r>
    </w:p>
    <w:p>
      <w:pPr>
        <w:numPr>
          <w:ilvl w:val="0"/>
          <w:numId w:val="1033"/>
        </w:numPr>
      </w:pPr>
      <w:r>
        <w:t xml:space="preserve">Realizar ajustes en los esquemas de precios por parte del FNE para disminuir la utilización del canal de compra directa.</w:t>
      </w:r>
    </w:p>
    <w:p>
      <w:pPr>
        <w:numPr>
          <w:ilvl w:val="0"/>
          <w:numId w:val="1033"/>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4"/>
    <w:bookmarkStart w:id="235"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4"/>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4"/>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4"/>
        </w:numPr>
      </w:pPr>
      <w:r>
        <w:t xml:space="preserve">Asegurar que el envío de informes mensuales, se haga en el tiempo estipulado según la Resolución 1479 de 2006. Esta actividad debe considerándose como un indicador de buena gestión al interior del ente territorial.</w:t>
      </w:r>
    </w:p>
    <w:bookmarkEnd w:id="235"/>
    <w:bookmarkStart w:id="236"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5"/>
        </w:numPr>
      </w:pPr>
      <w:r>
        <w:t xml:space="preserve">Adecuar un (1) computador en óptimas condiciones, para adelantar las principales tareas y cumplir las funciones estipuladas en la Resolución 1479 del 2006.</w:t>
      </w:r>
    </w:p>
    <w:p>
      <w:pPr>
        <w:numPr>
          <w:ilvl w:val="0"/>
          <w:numId w:val="1035"/>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5"/>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6"/>
    <w:bookmarkEnd w:id="237"/>
    <w:bookmarkStart w:id="238" w:name="glosario"/>
    <w:p>
      <w:pPr>
        <w:pStyle w:val="Heading1"/>
      </w:pPr>
      <w:r>
        <w:t xml:space="preserve">Glosario</w:t>
      </w:r>
    </w:p>
    <w:p>
      <w:pPr>
        <w:numPr>
          <w:ilvl w:val="0"/>
          <w:numId w:val="1036"/>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52</w:t>
        </w:r>
      </w:hyperlink>
      <w:r>
        <w:t xml:space="preserve">.</w:t>
      </w:r>
    </w:p>
    <w:p>
      <w:pPr>
        <w:numPr>
          <w:ilvl w:val="0"/>
          <w:numId w:val="1036"/>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6"/>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numPr>
          <w:ilvl w:val="0"/>
          <w:numId w:val="1036"/>
        </w:numPr>
      </w:pPr>
      <w:r>
        <w:rPr>
          <w:bCs/>
          <w:b/>
        </w:rPr>
        <w:t xml:space="preserve">Disponibilidad</w:t>
      </w:r>
      <w:r>
        <w:t xml:space="preserve">: condición en la cual se cuentan con existencias del medicamento en el territorio nacional.</w:t>
      </w:r>
    </w:p>
    <w:p>
      <w:pPr>
        <w:numPr>
          <w:ilvl w:val="0"/>
          <w:numId w:val="1036"/>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53</w:t>
        </w:r>
      </w:hyperlink>
      <w:r>
        <w:t xml:space="preserve">.</w:t>
      </w:r>
    </w:p>
    <w:p>
      <w:pPr>
        <w:numPr>
          <w:ilvl w:val="0"/>
          <w:numId w:val="1036"/>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6"/>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6"/>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6"/>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6"/>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6"/>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6"/>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6"/>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6"/>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6"/>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18</w:t>
        </w:r>
      </w:hyperlink>
      <w:r>
        <w:t xml:space="preserve">.</w:t>
      </w:r>
    </w:p>
    <w:p>
      <w:pPr>
        <w:numPr>
          <w:ilvl w:val="0"/>
          <w:numId w:val="1036"/>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6"/>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6"/>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6"/>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8"/>
    <w:bookmarkStart w:id="241" w:name="créditos"/>
    <w:p>
      <w:pPr>
        <w:pStyle w:val="Heading1"/>
      </w:pPr>
      <w:r>
        <w:t xml:space="preserve">Créditos</w:t>
      </w:r>
    </w:p>
    <w:bookmarkStart w:id="23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9"/>
    <w:bookmarkStart w:id="240"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7"/>
        </w:numPr>
      </w:pPr>
      <w:r>
        <w:t xml:space="preserve">Heliodoro Kerguelen y Erick Novoa (FRE Córdoba)</w:t>
      </w:r>
    </w:p>
    <w:p>
      <w:pPr>
        <w:numPr>
          <w:ilvl w:val="0"/>
          <w:numId w:val="1037"/>
        </w:numPr>
      </w:pPr>
      <w:r>
        <w:t xml:space="preserve">Jovana Vitola Julio, Leidy Llorente Villadiego y Dilia Borge Bonadiez (FRE Atlántico)</w:t>
      </w:r>
    </w:p>
    <w:p>
      <w:pPr>
        <w:numPr>
          <w:ilvl w:val="0"/>
          <w:numId w:val="1037"/>
        </w:numPr>
      </w:pPr>
      <w:r>
        <w:t xml:space="preserve">Paola Andrea Gómez Llano (FRE Antioquia)</w:t>
      </w:r>
    </w:p>
    <w:p>
      <w:pPr>
        <w:numPr>
          <w:ilvl w:val="0"/>
          <w:numId w:val="1037"/>
        </w:numPr>
      </w:pPr>
      <w:r>
        <w:t xml:space="preserve">Rafael Tapia Buendia (FRE Magdalena)</w:t>
      </w:r>
    </w:p>
    <w:p>
      <w:pPr>
        <w:numPr>
          <w:ilvl w:val="0"/>
          <w:numId w:val="1037"/>
        </w:numPr>
      </w:pPr>
      <w:r>
        <w:t xml:space="preserve">Maria Eugenia Barrios (FRE Bolivar)</w:t>
      </w:r>
    </w:p>
    <w:p>
      <w:pPr>
        <w:numPr>
          <w:ilvl w:val="0"/>
          <w:numId w:val="1037"/>
        </w:numPr>
      </w:pPr>
      <w:r>
        <w:t xml:space="preserve">Amilcar Marquez (FRE Norte De Santander)</w:t>
      </w:r>
    </w:p>
    <w:p>
      <w:pPr>
        <w:numPr>
          <w:ilvl w:val="0"/>
          <w:numId w:val="1037"/>
        </w:numPr>
      </w:pPr>
      <w:r>
        <w:t xml:space="preserve">Diana Carolina Valbuena Sterling y Edimer Covaleda Yustres (FRE Huila)</w:t>
      </w:r>
    </w:p>
    <w:p>
      <w:pPr>
        <w:numPr>
          <w:ilvl w:val="0"/>
          <w:numId w:val="1037"/>
        </w:numPr>
      </w:pPr>
      <w:r>
        <w:t xml:space="preserve">Julieta Palacios Pinzón y Jonathan Sánchez Mateus (FRE Casanare)</w:t>
      </w:r>
    </w:p>
    <w:p>
      <w:pPr>
        <w:numPr>
          <w:ilvl w:val="0"/>
          <w:numId w:val="1037"/>
        </w:numPr>
      </w:pPr>
      <w:r>
        <w:t xml:space="preserve">Marly Julieth Espitia y Stella Torres Sanabria (FRE Tolima)</w:t>
      </w:r>
    </w:p>
    <w:p>
      <w:pPr>
        <w:numPr>
          <w:ilvl w:val="0"/>
          <w:numId w:val="1037"/>
        </w:numPr>
      </w:pPr>
      <w:r>
        <w:t xml:space="preserve">Adriana María Murillo (FRE Quindío)</w:t>
      </w:r>
    </w:p>
    <w:p>
      <w:pPr>
        <w:numPr>
          <w:ilvl w:val="0"/>
          <w:numId w:val="1037"/>
        </w:numPr>
      </w:pPr>
      <w:r>
        <w:t xml:space="preserve">Sara Bacares y Pilar Pacheco (FRE Boyacá)</w:t>
      </w:r>
    </w:p>
    <w:p>
      <w:pPr>
        <w:numPr>
          <w:ilvl w:val="0"/>
          <w:numId w:val="1037"/>
        </w:numPr>
      </w:pPr>
      <w:r>
        <w:t xml:space="preserve">Andrea Porras (FRE Valle Del Cauca)</w:t>
      </w:r>
    </w:p>
    <w:p>
      <w:pPr>
        <w:numPr>
          <w:ilvl w:val="0"/>
          <w:numId w:val="1037"/>
        </w:numPr>
      </w:pPr>
      <w:r>
        <w:t xml:space="preserve">Juan David Apraez (FRE Putumayo)</w:t>
      </w:r>
    </w:p>
    <w:p>
      <w:pPr>
        <w:numPr>
          <w:ilvl w:val="0"/>
          <w:numId w:val="1037"/>
        </w:numPr>
      </w:pPr>
      <w:r>
        <w:t xml:space="preserve">Andrés Alexander Benavides Salazar y Zully Bolaños Guerrero (FRE Nariño)</w:t>
      </w:r>
    </w:p>
    <w:p>
      <w:pPr>
        <w:numPr>
          <w:ilvl w:val="0"/>
          <w:numId w:val="1037"/>
        </w:numPr>
      </w:pPr>
      <w:r>
        <w:t xml:space="preserve">Silvia Espitia Vergara y Greici Castilla (FRE Cauca)</w:t>
      </w:r>
    </w:p>
    <w:p>
      <w:pPr>
        <w:numPr>
          <w:ilvl w:val="0"/>
          <w:numId w:val="1037"/>
        </w:numPr>
      </w:pPr>
      <w:r>
        <w:t xml:space="preserve">Sara Ramírez Acosta (FRE Vichada)</w:t>
      </w:r>
    </w:p>
    <w:p>
      <w:pPr>
        <w:numPr>
          <w:ilvl w:val="0"/>
          <w:numId w:val="1037"/>
        </w:numPr>
      </w:pPr>
      <w:r>
        <w:t xml:space="preserve">Enith Del Carmen Gil y Milena Arnero (FRE Sucre)</w:t>
      </w:r>
    </w:p>
    <w:p>
      <w:pPr>
        <w:numPr>
          <w:ilvl w:val="0"/>
          <w:numId w:val="1037"/>
        </w:numPr>
      </w:pPr>
      <w:r>
        <w:t xml:space="preserve">Carlos Manuel Cantillo (FRE Chocó)</w:t>
      </w:r>
    </w:p>
    <w:p>
      <w:pPr>
        <w:numPr>
          <w:ilvl w:val="0"/>
          <w:numId w:val="1037"/>
        </w:numPr>
      </w:pPr>
      <w:r>
        <w:t xml:space="preserve">Dina Luz Gómez Mena y Dairys Isabel Medina Cujia (FRE Cesar)</w:t>
      </w:r>
    </w:p>
    <w:p>
      <w:pPr>
        <w:numPr>
          <w:ilvl w:val="0"/>
          <w:numId w:val="1037"/>
        </w:numPr>
      </w:pPr>
      <w:r>
        <w:t xml:space="preserve">Armando Pulido y Libardo Padilla Molina (FRE La Guajira)</w:t>
      </w:r>
    </w:p>
    <w:p>
      <w:pPr>
        <w:numPr>
          <w:ilvl w:val="0"/>
          <w:numId w:val="1037"/>
        </w:numPr>
      </w:pPr>
      <w:r>
        <w:t xml:space="preserve">Yudislay Prado Restrepo (FRE Caquetá)</w:t>
      </w:r>
    </w:p>
    <w:p>
      <w:pPr>
        <w:numPr>
          <w:ilvl w:val="0"/>
          <w:numId w:val="1037"/>
        </w:numPr>
      </w:pPr>
      <w:r>
        <w:t xml:space="preserve">Marcia Medina y Camilo Tananta (FRE Amazonas)</w:t>
      </w:r>
    </w:p>
    <w:p>
      <w:pPr>
        <w:numPr>
          <w:ilvl w:val="0"/>
          <w:numId w:val="1037"/>
        </w:numPr>
      </w:pPr>
      <w:r>
        <w:t xml:space="preserve">Luz Marina Hernández (FRE Risaralda)</w:t>
      </w:r>
    </w:p>
    <w:p>
      <w:pPr>
        <w:numPr>
          <w:ilvl w:val="0"/>
          <w:numId w:val="1037"/>
        </w:numPr>
      </w:pPr>
      <w:r>
        <w:t xml:space="preserve">Lourdres Cristina Tous Tous (FRE San Andrés, Providencia y Santa Catalina)</w:t>
      </w:r>
    </w:p>
    <w:p>
      <w:pPr>
        <w:numPr>
          <w:ilvl w:val="0"/>
          <w:numId w:val="1037"/>
        </w:numPr>
      </w:pPr>
      <w:r>
        <w:t xml:space="preserve">Brenda Colina Moreno y Kiara Bolívar (FRE Arauca)</w:t>
      </w:r>
    </w:p>
    <w:p>
      <w:pPr>
        <w:numPr>
          <w:ilvl w:val="0"/>
          <w:numId w:val="1037"/>
        </w:numPr>
      </w:pPr>
      <w:r>
        <w:t xml:space="preserve">Enna Rossana Ruiz (FRE Meta)</w:t>
      </w:r>
    </w:p>
    <w:p>
      <w:pPr>
        <w:numPr>
          <w:ilvl w:val="0"/>
          <w:numId w:val="1037"/>
        </w:numPr>
      </w:pPr>
      <w:r>
        <w:t xml:space="preserve">Ludy Rivera y Luis Felipe Salamanca (FRE Santander)</w:t>
      </w:r>
    </w:p>
    <w:p>
      <w:pPr>
        <w:numPr>
          <w:ilvl w:val="0"/>
          <w:numId w:val="1037"/>
        </w:numPr>
      </w:pPr>
      <w:r>
        <w:t xml:space="preserve">Ener Mauricio Hernández y Dany Leandro Hidalgo Méndez (FRE Guainia)</w:t>
      </w:r>
    </w:p>
    <w:p>
      <w:pPr>
        <w:numPr>
          <w:ilvl w:val="0"/>
          <w:numId w:val="1037"/>
        </w:numPr>
      </w:pPr>
      <w:r>
        <w:t xml:space="preserve">Gilberto Jimenez Jaramillo y Juan David Cadavid Rendón (FRE Caldas)</w:t>
      </w:r>
    </w:p>
    <w:p>
      <w:pPr>
        <w:numPr>
          <w:ilvl w:val="0"/>
          <w:numId w:val="1037"/>
        </w:numPr>
      </w:pPr>
      <w:r>
        <w:t xml:space="preserve">Gregorio Figueroa Cruz y Juan Pablo Arias (FRE Guaviare)</w:t>
      </w:r>
    </w:p>
    <w:p>
      <w:pPr>
        <w:numPr>
          <w:ilvl w:val="0"/>
          <w:numId w:val="1037"/>
        </w:numPr>
      </w:pPr>
      <w:r>
        <w:t xml:space="preserve">Leyda Lugo y Carlos Guzman (FRE Vaupés)</w:t>
      </w:r>
    </w:p>
    <w:bookmarkEnd w:id="240"/>
    <w:bookmarkEnd w:id="241"/>
    <w:bookmarkStart w:id="302" w:name="referencias"/>
    <w:p>
      <w:pPr>
        <w:pStyle w:val="Heading1"/>
      </w:pPr>
      <w:r>
        <w:t xml:space="preserve">Referencias</w:t>
      </w:r>
    </w:p>
    <w:bookmarkStart w:id="301" w:name="refs"/>
    <w:bookmarkStart w:id="242"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42"/>
    <w:bookmarkStart w:id="243"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3"/>
    <w:bookmarkStart w:id="244"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4"/>
    <w:bookmarkStart w:id="245"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5"/>
    <w:bookmarkStart w:id="246"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6"/>
    <w:bookmarkStart w:id="247"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7"/>
    <w:bookmarkStart w:id="248"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8"/>
    <w:bookmarkStart w:id="249" w:name="ref-MinisteriodeSalud1994"/>
    <w:p>
      <w:pPr>
        <w:pStyle w:val="Bibliography"/>
      </w:pPr>
      <w:r>
        <w:t xml:space="preserve">8.</w:t>
      </w:r>
      <w:r>
        <w:t xml:space="preserve"> </w:t>
      </w:r>
      <w:r>
        <w:t xml:space="preserve">	</w:t>
      </w:r>
      <w:r>
        <w:t xml:space="preserve">Ministerio de Salud.</w:t>
      </w:r>
      <w:r>
        <w:t xml:space="preserve"> </w:t>
      </w:r>
      <w:r>
        <w:t xml:space="preserve">Resoluci</w:t>
      </w:r>
      <w:r>
        <w:t xml:space="preserve">ó</w:t>
      </w:r>
      <w:r>
        <w:t xml:space="preserve">n 5261 de 1994. Por la cual se establece el Manual de Actividades, Intervenciones y Procedimientos del Plan Obligatorio de Salud en el Sistema General de Seguridad Social en Salud.</w:t>
      </w:r>
      <w:r>
        <w:t xml:space="preserve"> 1994.</w:t>
      </w:r>
    </w:p>
    <w:bookmarkEnd w:id="249"/>
    <w:bookmarkStart w:id="250" w:name="ref-DepartamentoNacionaldePlaneacion2019"/>
    <w:p>
      <w:pPr>
        <w:pStyle w:val="Bibliography"/>
      </w:pPr>
      <w:r>
        <w:t xml:space="preserve">9.</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50"/>
    <w:bookmarkStart w:id="251" w:name="ref-Hennig2016"/>
    <w:p>
      <w:pPr>
        <w:pStyle w:val="Bibliography"/>
      </w:pPr>
      <w:r>
        <w:t xml:space="preserve">10.</w:t>
      </w:r>
      <w:r>
        <w:t xml:space="preserve"> </w:t>
      </w:r>
      <w:r>
        <w:t xml:space="preserve">	</w:t>
      </w:r>
      <w:r>
        <w:t xml:space="preserve">Hennig C., Meila M., Murtagh F., Rocci R.</w:t>
      </w:r>
      <w:r>
        <w:t xml:space="preserve"> </w:t>
      </w:r>
      <w:r>
        <w:t xml:space="preserve">Handbook of Cluster Analysis</w:t>
      </w:r>
      <w:r>
        <w:t xml:space="preserve">. 1.ª edición. Boca Raton, FL, USA: Taylor &amp; Francis Group, LLC; 2016.</w:t>
      </w:r>
    </w:p>
    <w:bookmarkEnd w:id="251"/>
    <w:bookmarkStart w:id="252" w:name="ref-R_Stats"/>
    <w:p>
      <w:pPr>
        <w:pStyle w:val="Bibliography"/>
      </w:pPr>
      <w:r>
        <w:t xml:space="preserve">11.</w:t>
      </w:r>
      <w:r>
        <w:t xml:space="preserve"> </w:t>
      </w:r>
      <w:r>
        <w:t xml:space="preserve">	</w:t>
      </w:r>
      <w:r>
        <w:t xml:space="preserve">R Core Team. R: A Language and Environment for Statistical Computing. Vienna, Austria: R Foundation for Statistical Computing; 2021.</w:t>
      </w:r>
    </w:p>
    <w:bookmarkEnd w:id="252"/>
    <w:bookmarkStart w:id="253" w:name="ref-R_clValid"/>
    <w:p>
      <w:pPr>
        <w:pStyle w:val="Bibliography"/>
      </w:pPr>
      <w:r>
        <w:t xml:space="preserve">12.</w:t>
      </w:r>
      <w:r>
        <w:t xml:space="preserve"> </w:t>
      </w:r>
      <w:r>
        <w:t xml:space="preserve">	</w:t>
      </w:r>
      <w:r>
        <w:t xml:space="preserve">Brock G., Pihur V., Datta S., Datta S.</w:t>
      </w:r>
      <w:r>
        <w:t xml:space="preserve"> </w:t>
      </w:r>
      <w:r>
        <w:t xml:space="preserve">clValid</w:t>
      </w:r>
      <w:r>
        <w:t xml:space="preserve">: An</w:t>
      </w:r>
      <w:r>
        <w:t xml:space="preserve"> </w:t>
      </w:r>
      <w:r>
        <w:t xml:space="preserve">R</w:t>
      </w:r>
      <w:r>
        <w:t xml:space="preserve"> </w:t>
      </w:r>
      <w:r>
        <w:t xml:space="preserve">Package for Cluster Validation. Journal of Statistical Software. 2008;25(4):1-22.</w:t>
      </w:r>
    </w:p>
    <w:bookmarkEnd w:id="253"/>
    <w:bookmarkStart w:id="254" w:name="ref-MSPS2200-2005"/>
    <w:p>
      <w:pPr>
        <w:pStyle w:val="Bibliography"/>
      </w:pPr>
      <w:r>
        <w:t xml:space="preserve">13.</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54"/>
    <w:bookmarkStart w:id="255" w:name="ref-MinisteriodeRelacionesExteriores2014"/>
    <w:p>
      <w:pPr>
        <w:pStyle w:val="Bibliography"/>
      </w:pPr>
      <w:r>
        <w:t xml:space="preserve">14.</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55"/>
    <w:bookmarkStart w:id="256" w:name="ref-ColombiaCompraEficiente2019"/>
    <w:p>
      <w:pPr>
        <w:pStyle w:val="Bibliography"/>
      </w:pPr>
      <w:r>
        <w:t xml:space="preserve">15.</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56"/>
    <w:bookmarkStart w:id="257" w:name="ref-FNE2015-9"/>
    <w:p>
      <w:pPr>
        <w:pStyle w:val="Bibliography"/>
      </w:pPr>
      <w:r>
        <w:t xml:space="preserve">16.</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7"/>
    <w:bookmarkStart w:id="258" w:name="X4242f5a7e44b24d61e2675796eed085a7e5e2cf"/>
    <w:p>
      <w:pPr>
        <w:pStyle w:val="Bibliography"/>
      </w:pPr>
      <w:r>
        <w:t xml:space="preserve">17.</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8"/>
    <w:bookmarkStart w:id="259" w:name="ref-CuervoBustamante2021"/>
    <w:p>
      <w:pPr>
        <w:pStyle w:val="Bibliography"/>
      </w:pPr>
      <w:r>
        <w:t xml:space="preserve">18.</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9"/>
    <w:bookmarkStart w:id="260" w:name="ref-MSPS262-2009"/>
    <w:p>
      <w:pPr>
        <w:pStyle w:val="Bibliography"/>
      </w:pPr>
      <w:r>
        <w:t xml:space="preserve">19.</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60"/>
    <w:bookmarkStart w:id="261" w:name="ref-MSPS940-2007"/>
    <w:p>
      <w:pPr>
        <w:pStyle w:val="Bibliography"/>
      </w:pPr>
      <w:r>
        <w:t xml:space="preserve">20.</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61"/>
    <w:bookmarkStart w:id="262" w:name="ref-ColombiaCompraEficiente2021"/>
    <w:p>
      <w:pPr>
        <w:pStyle w:val="Bibliography"/>
      </w:pPr>
      <w:r>
        <w:t xml:space="preserve">21.</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62"/>
    <w:bookmarkStart w:id="263" w:name="ref-LeonDelgado2018"/>
    <w:p>
      <w:pPr>
        <w:pStyle w:val="Bibliography"/>
      </w:pPr>
      <w:r>
        <w:t xml:space="preserve">22.</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63"/>
    <w:bookmarkStart w:id="264" w:name="ref-Pastrana2020"/>
    <w:p>
      <w:pPr>
        <w:pStyle w:val="Bibliography"/>
      </w:pPr>
      <w:r>
        <w:t xml:space="preserve">23.</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64"/>
    <w:bookmarkStart w:id="265" w:name="ref-WatsonLewis2014"/>
    <w:p>
      <w:pPr>
        <w:pStyle w:val="Bibliography"/>
      </w:pPr>
      <w:r>
        <w:t xml:space="preserve">24.</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65"/>
    <w:bookmarkStart w:id="267" w:name="ref-VergaraAguilar2019"/>
    <w:p>
      <w:pPr>
        <w:pStyle w:val="Bibliography"/>
      </w:pPr>
      <w:r>
        <w:t xml:space="preserve">25.</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66">
        <w:r>
          <w:rPr>
            <w:rStyle w:val="Hyperlink"/>
          </w:rPr>
          <w:t xml:space="preserve">10.22379/24224022237</w:t>
        </w:r>
      </w:hyperlink>
      <w:r>
        <w:t xml:space="preserve">.</w:t>
      </w:r>
    </w:p>
    <w:bookmarkEnd w:id="267"/>
    <w:bookmarkStart w:id="269" w:name="ref-Johannessen2020"/>
    <w:p>
      <w:pPr>
        <w:pStyle w:val="Bibliography"/>
      </w:pPr>
      <w:r>
        <w:t xml:space="preserve">26.</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8">
        <w:r>
          <w:rPr>
            <w:rStyle w:val="Hyperlink"/>
          </w:rPr>
          <w:t xml:space="preserve">10.1007/978-3-319-56015-1_302-1</w:t>
        </w:r>
      </w:hyperlink>
      <w:r>
        <w:t xml:space="preserve">.</w:t>
      </w:r>
    </w:p>
    <w:bookmarkEnd w:id="269"/>
    <w:bookmarkStart w:id="271" w:name="ref-Pineda2001"/>
    <w:p>
      <w:pPr>
        <w:pStyle w:val="Bibliography"/>
      </w:pPr>
      <w:r>
        <w:t xml:space="preserve">27.</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70">
        <w:r>
          <w:rPr>
            <w:rStyle w:val="Hyperlink"/>
          </w:rPr>
          <w:t xml:space="preserve">10.33588/rn.3203.2000499</w:t>
        </w:r>
      </w:hyperlink>
      <w:r>
        <w:t xml:space="preserve">.</w:t>
      </w:r>
    </w:p>
    <w:bookmarkEnd w:id="271"/>
    <w:bookmarkStart w:id="272" w:name="ref-Llanos-Lizcanoa2019"/>
    <w:p>
      <w:pPr>
        <w:pStyle w:val="Bibliography"/>
      </w:pPr>
      <w:r>
        <w:t xml:space="preserve">28.</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72"/>
    <w:bookmarkStart w:id="273" w:name="ref-LopezLopez2021"/>
    <w:p>
      <w:pPr>
        <w:pStyle w:val="Bibliography"/>
      </w:pPr>
      <w:r>
        <w:t xml:space="preserve">29.</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73"/>
    <w:bookmarkStart w:id="274" w:name="ref-INVIMA2018-Desabast"/>
    <w:p>
      <w:pPr>
        <w:pStyle w:val="Bibliography"/>
      </w:pPr>
      <w:r>
        <w:t xml:space="preserve">30.</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74"/>
    <w:bookmarkStart w:id="275" w:name="ref-FDA2014"/>
    <w:p>
      <w:pPr>
        <w:pStyle w:val="Bibliography"/>
      </w:pPr>
      <w:r>
        <w:t xml:space="preserve">31.</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75"/>
    <w:bookmarkStart w:id="276" w:name="ref-Barbosa-Povoa2019"/>
    <w:p>
      <w:pPr>
        <w:pStyle w:val="Bibliography"/>
      </w:pPr>
      <w:r>
        <w:t xml:space="preserve">32.</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76"/>
    <w:bookmarkStart w:id="278" w:name="ref-Pettit2013"/>
    <w:p>
      <w:pPr>
        <w:pStyle w:val="Bibliography"/>
      </w:pPr>
      <w:r>
        <w:t xml:space="preserve">33.</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7">
        <w:r>
          <w:rPr>
            <w:rStyle w:val="Hyperlink"/>
          </w:rPr>
          <w:t xml:space="preserve">10.1111/jbl.12009</w:t>
        </w:r>
      </w:hyperlink>
      <w:r>
        <w:t xml:space="preserve">.</w:t>
      </w:r>
    </w:p>
    <w:bookmarkEnd w:id="278"/>
    <w:bookmarkStart w:id="279" w:name="ref-Silver2017"/>
    <w:p>
      <w:pPr>
        <w:pStyle w:val="Bibliography"/>
      </w:pPr>
      <w:r>
        <w:t xml:space="preserve">34.</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79"/>
    <w:bookmarkStart w:id="281" w:name="ref-Cachon2007"/>
    <w:p>
      <w:pPr>
        <w:pStyle w:val="Bibliography"/>
      </w:pPr>
      <w:r>
        <w:t xml:space="preserve">35.</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80">
        <w:r>
          <w:rPr>
            <w:rStyle w:val="Hyperlink"/>
          </w:rPr>
          <w:t xml:space="preserve">10.1287/msom.1060.0149</w:t>
        </w:r>
      </w:hyperlink>
      <w:r>
        <w:t xml:space="preserve">.</w:t>
      </w:r>
    </w:p>
    <w:bookmarkEnd w:id="281"/>
    <w:bookmarkStart w:id="282" w:name="ref-Hollmann2015"/>
    <w:p>
      <w:pPr>
        <w:pStyle w:val="Bibliography"/>
      </w:pPr>
      <w:r>
        <w:t xml:space="preserve">36.</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82"/>
    <w:bookmarkStart w:id="283" w:name="ref-Nahmias2007"/>
    <w:p>
      <w:pPr>
        <w:pStyle w:val="Bibliography"/>
      </w:pPr>
      <w:r>
        <w:t xml:space="preserve">37.</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83"/>
    <w:bookmarkStart w:id="284" w:name="ref-Krajewski2016"/>
    <w:p>
      <w:pPr>
        <w:pStyle w:val="Bibliography"/>
      </w:pPr>
      <w:r>
        <w:t xml:space="preserve">38.</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84"/>
    <w:bookmarkStart w:id="285" w:name="X4e956815ca1199d73a39485c932e7d8485463a0"/>
    <w:p>
      <w:pPr>
        <w:pStyle w:val="Bibliography"/>
      </w:pPr>
      <w:r>
        <w:t xml:space="preserve">39.</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5"/>
    <w:bookmarkStart w:id="286" w:name="ref-CongresodelaRepublicadeColombia1993"/>
    <w:p>
      <w:pPr>
        <w:pStyle w:val="Bibliography"/>
      </w:pPr>
      <w:r>
        <w:t xml:space="preserve">40.</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6"/>
    <w:bookmarkStart w:id="287" w:name="ref-CongresodelaRepublicadeColombia2007"/>
    <w:p>
      <w:pPr>
        <w:pStyle w:val="Bibliography"/>
      </w:pPr>
      <w:r>
        <w:t xml:space="preserve">41.</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7"/>
    <w:bookmarkStart w:id="288" w:name="ref-OMS2021"/>
    <w:p>
      <w:pPr>
        <w:pStyle w:val="Bibliography"/>
      </w:pPr>
      <w:r>
        <w:t xml:space="preserve">42.</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8"/>
    <w:bookmarkStart w:id="289" w:name="ref-PDSPMinSalud2019"/>
    <w:p>
      <w:pPr>
        <w:pStyle w:val="Bibliography"/>
      </w:pPr>
      <w:r>
        <w:t xml:space="preserve">43.</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89"/>
    <w:bookmarkStart w:id="290" w:name="ref-FNE005-2019"/>
    <w:p>
      <w:pPr>
        <w:pStyle w:val="Bibliography"/>
      </w:pPr>
      <w:r>
        <w:t xml:space="preserve">44.</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90"/>
    <w:bookmarkStart w:id="291" w:name="X151870ab54b01afcd5b4b1f9212b983bdc4c06e"/>
    <w:p>
      <w:pPr>
        <w:pStyle w:val="Bibliography"/>
      </w:pPr>
      <w:r>
        <w:t xml:space="preserve">45.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91"/>
    <w:bookmarkStart w:id="292" w:name="ref-GutierrezPulido2008"/>
    <w:p>
      <w:pPr>
        <w:pStyle w:val="Bibliography"/>
      </w:pPr>
      <w:r>
        <w:t xml:space="preserve">46.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92"/>
    <w:bookmarkStart w:id="294" w:name="ref-Paterson2011"/>
    <w:p>
      <w:pPr>
        <w:pStyle w:val="Bibliography"/>
      </w:pPr>
      <w:r>
        <w:t xml:space="preserve">47.</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93">
        <w:r>
          <w:rPr>
            <w:rStyle w:val="Hyperlink"/>
          </w:rPr>
          <w:t xml:space="preserve">10.1016/j.ejor.2010.05.048</w:t>
        </w:r>
      </w:hyperlink>
      <w:r>
        <w:t xml:space="preserve">.</w:t>
      </w:r>
    </w:p>
    <w:bookmarkEnd w:id="294"/>
    <w:bookmarkStart w:id="295" w:name="ref-HernandezVera2017"/>
    <w:p>
      <w:pPr>
        <w:pStyle w:val="Bibliography"/>
      </w:pPr>
      <w:r>
        <w:t xml:space="preserve">48.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5"/>
    <w:bookmarkStart w:id="296" w:name="ref-AvilaRoncancio2019"/>
    <w:p>
      <w:pPr>
        <w:pStyle w:val="Bibliography"/>
      </w:pPr>
      <w:r>
        <w:t xml:space="preserve">49.</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96"/>
    <w:bookmarkStart w:id="297" w:name="ref-CongresodelaRepublicadeColombia1988"/>
    <w:p>
      <w:pPr>
        <w:pStyle w:val="Bibliography"/>
      </w:pPr>
      <w:r>
        <w:t xml:space="preserve">50.</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7"/>
    <w:bookmarkStart w:id="298" w:name="ref-SecretariaTecnicaCNPDM-2019"/>
    <w:p>
      <w:pPr>
        <w:pStyle w:val="Bibliography"/>
      </w:pPr>
      <w:r>
        <w:t xml:space="preserve">51.</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8"/>
    <w:bookmarkStart w:id="299" w:name="ref-INVIMA2021-ALERTAS"/>
    <w:p>
      <w:pPr>
        <w:pStyle w:val="Bibliography"/>
      </w:pPr>
      <w:r>
        <w:t xml:space="preserve">52.</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99"/>
    <w:bookmarkStart w:id="300" w:name="ref-INVIMA2006-FV"/>
    <w:p>
      <w:pPr>
        <w:pStyle w:val="Bibliography"/>
      </w:pPr>
      <w:r>
        <w:t xml:space="preserve">53.</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300"/>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37" Target="media/rId137.png" /><Relationship Type="http://schemas.openxmlformats.org/officeDocument/2006/relationships/image" Id="rId114" Target="media/rId114.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190" Target="media/rId19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65" Target="media/rId165.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97" Target="media/rId197.png" /><Relationship Type="http://schemas.openxmlformats.org/officeDocument/2006/relationships/image" Id="rId205" Target="media/rId205.png" /><Relationship Type="http://schemas.openxmlformats.org/officeDocument/2006/relationships/image" Id="rId123" Target="media/rId123.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155" Target="media/rId155.png" /><Relationship Type="http://schemas.openxmlformats.org/officeDocument/2006/relationships/image" Id="rId112" Target="media/rId112.png" /><Relationship Type="http://schemas.openxmlformats.org/officeDocument/2006/relationships/image" Id="rId185" Target="media/rId185.png" /><Relationship Type="http://schemas.openxmlformats.org/officeDocument/2006/relationships/image" Id="rId160" Target="media/rId160.png" /><Relationship Type="http://schemas.openxmlformats.org/officeDocument/2006/relationships/image" Id="rId194" Target="media/rId19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16" Target="media/rId216.png" /><Relationship Type="http://schemas.openxmlformats.org/officeDocument/2006/relationships/image" Id="rId90" Target="media/rId90.png" /><Relationship Type="http://schemas.openxmlformats.org/officeDocument/2006/relationships/image" Id="rId192" Target="media/rId192.png" /><Relationship Type="http://schemas.openxmlformats.org/officeDocument/2006/relationships/image" Id="rId225" Target="media/rId22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72" Target="media/rId172.png" /><Relationship Type="http://schemas.openxmlformats.org/officeDocument/2006/relationships/image" Id="rId129" Target="media/rId129.png"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1" Target="media/rId8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83" Target="media/rId83.jpg" /><Relationship Type="http://schemas.openxmlformats.org/officeDocument/2006/relationships/image" Id="rId93" Target="media/rId93.png" /><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2021-11-28T18:52:16Z</dcterms:created>
  <dcterms:modified xsi:type="dcterms:W3CDTF">2021-11-28T18:52:16Z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