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98.png" ContentType="image/png"/>
  <Override PartName="/word/media/rId168.png" ContentType="image/png"/>
  <Override PartName="/word/media/rId137.png" ContentType="image/png"/>
  <Override PartName="/word/media/rId114.png" ContentType="image/png"/>
  <Override PartName="/word/media/rId187.png" ContentType="image/png"/>
  <Override PartName="/word/media/rId149.png" ContentType="image/png"/>
  <Override PartName="/word/media/rId74.png" ContentType="image/png"/>
  <Override PartName="/word/media/rId190.png" ContentType="image/png"/>
  <Override PartName="/word/media/rId133.png" ContentType="image/png"/>
  <Override PartName="/word/media/rId134.png" ContentType="image/png"/>
  <Override PartName="/word/media/rId118.png" ContentType="image/png"/>
  <Override PartName="/word/media/rId126.png" ContentType="image/png"/>
  <Override PartName="/word/media/rId165.png" ContentType="image/png"/>
  <Override PartName="/word/media/rId158.png" ContentType="image/png"/>
  <Override PartName="/word/media/rId147.png" ContentType="image/png"/>
  <Override PartName="/word/media/rId197.png" ContentType="image/png"/>
  <Override PartName="/word/media/rId205.png" ContentType="image/png"/>
  <Override PartName="/word/media/rId123.png" ContentType="image/png"/>
  <Override PartName="/word/media/rId228.png" ContentType="image/png"/>
  <Override PartName="/word/media/rId200.png" ContentType="image/png"/>
  <Override PartName="/word/media/rId45.png" ContentType="image/png"/>
  <Override PartName="/word/media/rId47.png" ContentType="image/png"/>
  <Override PartName="/word/media/rId151.png" ContentType="image/png"/>
  <Override PartName="/word/media/rId105.png" ContentType="image/png"/>
  <Override PartName="/word/media/rId155.png" ContentType="image/png"/>
  <Override PartName="/word/media/rId112.png" ContentType="image/png"/>
  <Override PartName="/word/media/rId185.png" ContentType="image/png"/>
  <Override PartName="/word/media/rId160.png" ContentType="image/png"/>
  <Override PartName="/word/media/rId194.png" ContentType="image/png"/>
  <Override PartName="/word/media/rId53.png" ContentType="image/png"/>
  <Override PartName="/word/media/rId55.png" ContentType="image/png"/>
  <Override PartName="/word/media/rId57.png" ContentType="image/png"/>
  <Override PartName="/word/media/rId77.png" ContentType="image/png"/>
  <Override PartName="/word/media/rId162.png" ContentType="image/png"/>
  <Override PartName="/word/media/rId183.png" ContentType="image/png"/>
  <Override PartName="/word/media/rId163.png" ContentType="image/png"/>
  <Override PartName="/word/media/rId216.png" ContentType="image/png"/>
  <Override PartName="/word/media/rId90.png" ContentType="image/png"/>
  <Override PartName="/word/media/rId192.png" ContentType="image/png"/>
  <Override PartName="/word/media/rId225.png" ContentType="image/png"/>
  <Override PartName="/word/media/rId100.png" ContentType="image/png"/>
  <Override PartName="/word/media/rId103.png" ContentType="image/png"/>
  <Override PartName="/word/media/rId95.png" ContentType="image/png"/>
  <Override PartName="/word/media/rId211.png" ContentType="image/png"/>
  <Override PartName="/word/media/rId209.png" ContentType="image/png"/>
  <Override PartName="/word/media/rId218.png" ContentType="image/png"/>
  <Override PartName="/word/media/rId140.png" ContentType="image/png"/>
  <Override PartName="/word/media/rId143.png" ContentType="image/png"/>
  <Override PartName="/word/media/rId172.png" ContentType="image/png"/>
  <Override PartName="/word/media/rId129.png" ContentType="image/png"/>
  <Override PartName="/word/media/rId177.png" ContentType="image/png"/>
  <Override PartName="/word/media/rId71.png" ContentType="image/png"/>
  <Override PartName="/word/media/rId69.png" ContentType="image/png"/>
  <Override PartName="/word/media/rId109.png" ContentType="image/png"/>
  <Override PartName="/word/media/rId62.png" ContentType="image/png"/>
  <Override PartName="/word/media/rId65.png" ContentType="image/png"/>
  <Override PartName="/word/media/rId38.png" ContentType="image/png"/>
  <Override PartName="/word/media/rId40.png" ContentType="image/png"/>
  <Override PartName="/word/media/rId42.png" ContentType="image/png"/>
  <Override PartName="/word/media/rId81.png" ContentType="image/png"/>
  <Override PartName="/word/media/rId31.png" ContentType="image/png"/>
  <Override PartName="/word/media/rId32.png" ContentType="image/png"/>
  <Override PartName="/word/media/rId29.png" ContentType="image/png"/>
  <Override PartName="/word/media/rId34.png" ContentType="image/png"/>
  <Override PartName="/word/media/rId175.png" ContentType="image/png"/>
  <Override PartName="/word/media/rId179.png" ContentType="image/png"/>
  <Override PartName="/word/media/rId26.png" ContentType="image/png"/>
  <Override PartName="/word/media/rId86.png" ContentType="image/png"/>
  <Override PartName="/word/media/rId207.png" ContentType="image/png"/>
  <Override PartName="/word/media/rId214.png" ContentType="image/png"/>
  <Override PartName="/word/media/rId83.jpg" ContentType="image/jpe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El desarrollo de guías de práctica clínica en condiciones relacionadas a los medicamentos que hacen parte del portafolio tanto a nivel nacional como internacional.</w:t>
      </w:r>
    </w:p>
    <w:p>
      <w:pPr>
        <w:numPr>
          <w:ilvl w:val="0"/>
          <w:numId w:val="1001"/>
        </w:numPr>
      </w:pPr>
      <w:r>
        <w:t xml:space="preserve">La calidad de la información de disponibilidad remitida por los Fondos Rotatorios de Estupefacientes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En la formulación del proyecto se planteó la entrega de productos relacionados con un análisis del rol del FNE, FRE e instituciones prestadoras de salud (IPS) en la cadena de suministro de medicamentos monopolio del Estado y su ciclo de uso, todo orientado a la utilización racional de estos medicamentos en todo el territorio nacional. Esto productos pueden constituir una fuente de información consolidada para el desarrollo del Recetario Oficial Electrónico (ROE), así como en el desarrollo de herramientas que permitan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sus regiones, aún cuando se presentan diferentes adversidades y altibajos en el desarrollo de las procesos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esta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w:t>
      </w:r>
      <w:r>
        <w:t xml:space="preserve"> </w:t>
      </w:r>
      <w:r>
        <w:rPr>
          <w:iCs/>
          <w:i/>
        </w:rPr>
        <w:t xml:space="preserve">recae en el manejo que le den a los mismos cada una de las entidades encargada en su respectivo departamento</w:t>
      </w:r>
      <w:r>
        <w:t xml:space="preserve">, en este documento se resumen los resultados de la recolección de información concerniente en los Fondos Rotatorios de Estupefacientes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los Fondos Rotatorios de Estupefacientes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médicos prescriptores, químicos farmacéuticos, enfermeros y otros profesionales de la salud del territorio nacional. Esto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asociadas a la prescripción, dispensación y uso de medicamentos monopolio del Estado, con énfasis en el recetario oficial, herramientas tecnológicas y/o sistemas de información, y seguimiento al consumo / distribución de estos medicamentos en el territorio nacional.</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instituciones inscritas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723 de 2020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 Nacional</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61"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departamentos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asociado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los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asociad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en los entes territoriales del país que se encuentran asociados a los FRE. Es decir, la cantidad de profesionales que conforman los equipos de trabajo de todos los FRE departamentales. Cabe aclarar que no todo el recurso humano realiza actividades exclusivas del FRE, sino que también realizan actividades propias de las secretarías departamentales en Salud.</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se evidencia que los FRE cuentan con pocas personas vinculadas en su equipo de trabajo. En la gran mayoría de FRE se tienen hasta tres personas para el desempeño del mismo, y en nueve FRE sólo se tienen a 2 personas vinculadas. Se tienen pocos entes territoriales que mantienen un grupo de trabajo grande con profesionales interdisciplinarios.</w:t>
      </w:r>
    </w:p>
    <w:p>
      <w:pPr>
        <w:pStyle w:val="BodyText"/>
      </w:pPr>
      <w:r>
        <w:t xml:space="preserve">Otra razón para tener un personal reducido en el funcionamiento integral del FRE puede deberse a que las funciones que tienen designadas en la Resolución 1479 de 2006 están distribuidas en diferentes dependencias de las Secretarías, Institutos o direcciones Departamentales de Salud, lo que reduce la necesidad de talento humano en los propios FRE.</w:t>
      </w:r>
    </w:p>
    <w:p>
      <w:pPr>
        <w:pStyle w:val="BodyText"/>
      </w:pPr>
      <w:r>
        <w:t xml:space="preserve">El tipo de contrato que los diferentes entes territoriales emplean para vincular al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tendencia importante 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tendencia a vincular al personal mediante contratación por prestación de servicios puede interferir y generar inconvenientes en el desarrollo continuado de los FRE, lo que puede afectar la funcionalidad en algunas actividades críticas para el cumplimiento de sus objetivos de creación. En algunos casos, este tipo de personas vinculadas por CPS, dejan de laborar los primeros meses del año, ya que su contrato en las vigencias pasadas,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Los departamentos que se tuvieron en cuenta en cada región fueron los siguientes:</w:t>
      </w:r>
    </w:p>
    <w:p>
      <w:pPr>
        <w:numPr>
          <w:ilvl w:val="0"/>
          <w:numId w:val="1011"/>
        </w:numPr>
        <w:pStyle w:val="Compact"/>
      </w:pPr>
      <w:r>
        <w:t xml:space="preserve">Amazonía: Amazonas, Caquetá, Guainía, Putumayo, Vaupés, y Vichada.</w:t>
      </w:r>
    </w:p>
    <w:p>
      <w:pPr>
        <w:numPr>
          <w:ilvl w:val="0"/>
          <w:numId w:val="1011"/>
        </w:numPr>
        <w:pStyle w:val="Compact"/>
      </w:pPr>
      <w:r>
        <w:t xml:space="preserve">Caribe: Atlántico, Bolívar, Cesar, Córdoba, La Guajira, Magdalena, San Andrés y Sucre.</w:t>
      </w:r>
    </w:p>
    <w:p>
      <w:pPr>
        <w:numPr>
          <w:ilvl w:val="0"/>
          <w:numId w:val="1011"/>
        </w:numPr>
        <w:pStyle w:val="Compact"/>
      </w:pPr>
      <w:r>
        <w:t xml:space="preserve">Central: Antioquia, Boyacá, Huila, Norte De Santander, Santander, y Tolima.</w:t>
      </w:r>
    </w:p>
    <w:p>
      <w:pPr>
        <w:numPr>
          <w:ilvl w:val="0"/>
          <w:numId w:val="1011"/>
        </w:numPr>
        <w:pStyle w:val="Compact"/>
      </w:pPr>
      <w:r>
        <w:t xml:space="preserve">Eje cafetero: Caldas, Quindío y Risaralda.</w:t>
      </w:r>
    </w:p>
    <w:p>
      <w:pPr>
        <w:numPr>
          <w:ilvl w:val="0"/>
          <w:numId w:val="1011"/>
        </w:numPr>
        <w:pStyle w:val="Compact"/>
      </w:pPr>
      <w:r>
        <w:t xml:space="preserve">Orinoquía: Arauca, Casanare, Guaviare y Meta.</w:t>
      </w:r>
    </w:p>
    <w:p>
      <w:pPr>
        <w:numPr>
          <w:ilvl w:val="0"/>
          <w:numId w:val="1011"/>
        </w:numPr>
        <w:pStyle w:val="Compact"/>
      </w:pPr>
      <w:r>
        <w:t xml:space="preserve">Pacífico: Cauca, Chocó, Nariño y Valle del Cauca.</w:t>
      </w:r>
    </w:p>
    <w:p>
      <w:pPr>
        <w:pStyle w:val="FirstParagraph"/>
      </w:pPr>
      <w:r>
        <w:t xml:space="preserve">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Figura</w:t>
      </w:r>
      <w:r>
        <w:t xml:space="preserve"> </w:t>
      </w:r>
      <w:r>
        <w:t xml:space="preserve">4.6</w:t>
      </w:r>
      <w:r>
        <w:t xml:space="preserve">, donde se exhibe el número de inscritos en cada FRE departamental. A partir de esta información, se puede apreciar el ente territorial con el mayor número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con excepción de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con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es insuficiente para su funcionamiento integral de manera que se puedan mejorar los indicadores de eficiencia y oportunidad.</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p.ej. el caso de la región pacífico que está compuesta por Valle del Cauca, Cauca, Chocó y Nariño. Los departamentos de Valle del Cauca y Nariño tienen una alta densidad poblacional, en la Figura</w:t>
      </w:r>
      <w:r>
        <w:t xml:space="preserve"> </w:t>
      </w:r>
      <w:r>
        <w:t xml:space="preserve">4.7</w:t>
      </w:r>
      <w:r>
        <w:t xml:space="preserve"> </w:t>
      </w:r>
      <w:r>
        <w:t xml:space="preserve">se observa que están por arriba y por debajo de la media en el recurso humano que tienen para su funcionamiento de manera respectiva, y sin embargo, ambos envían informes de manera puntual al FNE. Por otra parte, el departamento del Cauca supera en recurso humano a Nariño y existe un importante atraso en el envío de estos informes, posiblemente por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caso, se hizo exclusivamente con la información recolectada a partir del instrumento de encuesta utilizado.</w:t>
      </w:r>
    </w:p>
    <w:p>
      <w:pPr>
        <w:pStyle w:val="BodyText"/>
      </w:pPr>
      <w:r>
        <w:t xml:space="preserve">Como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con esto se podría concluir que en los departamentos no se refleja la exclusividad en la cuenta de los FRE, pudiendo generar bloqueos o demoras en determinados procesos internos que permitan un funcionamiento integral en el manejo de los MME.</w:t>
      </w:r>
    </w:p>
    <w:p>
      <w:pPr>
        <w:pStyle w:val="BodyText"/>
      </w:pPr>
      <w:r>
        <w:t xml:space="preserve">A su vez, la falta de una cuenta propia y su manejo por el mismo FRE puede generar dificultades como una menor cantidad de ingresos para el cumplimiento de sus actividades.</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w:t>
      </w:r>
      <w:r>
        <w:t xml:space="preserve">muestra la proporción de los ingresos del FRE en sus cuentas bancarias, en base a sus principales actividades, cómo lo son:</w:t>
      </w:r>
    </w:p>
    <w:p>
      <w:pPr>
        <w:numPr>
          <w:ilvl w:val="0"/>
          <w:numId w:val="1012"/>
        </w:numPr>
      </w:pPr>
      <w:r>
        <w:t xml:space="preserve">Venta de Medicamentos Monopolio del Estado</w:t>
      </w:r>
    </w:p>
    <w:p>
      <w:pPr>
        <w:numPr>
          <w:ilvl w:val="0"/>
          <w:numId w:val="1012"/>
        </w:numPr>
      </w:pPr>
      <w:r>
        <w:t xml:space="preserve">Venta de Recetarios Oficiales</w:t>
      </w:r>
    </w:p>
    <w:p>
      <w:pPr>
        <w:numPr>
          <w:ilvl w:val="0"/>
          <w:numId w:val="1012"/>
        </w:numPr>
      </w:pPr>
      <w:r>
        <w:t xml:space="preserve">Producción y emisión de actos administrativos pertinentes al manejo de MME</w:t>
      </w:r>
    </w:p>
    <w:p>
      <w:pPr>
        <w:numPr>
          <w:ilvl w:val="0"/>
          <w:numId w:val="1012"/>
        </w:numPr>
      </w:pPr>
      <w:r>
        <w:t xml:space="preserve">Inspección, Vigilancia y Control de Instituciones que manejen MCE</w:t>
      </w:r>
    </w:p>
    <w:p>
      <w:pPr>
        <w:pStyle w:val="FirstParagraph"/>
      </w:pPr>
      <w:r>
        <w:t xml:space="preserve">Aunque también los FRE pueden recibir recursos por parte de la gobernación o por parte del FNE y esto constituye otra fuente de ingreso. La presencia de espacios en blanco en la figura se debe a la falta de reporte de esta información por parte de los FRE.</w:t>
      </w:r>
    </w:p>
    <w:p>
      <w:pPr>
        <w:pStyle w:val="BodyText"/>
      </w:pPr>
      <w:r>
        <w:t xml:space="preserve">En la Figura</w:t>
      </w:r>
      <w:r>
        <w:t xml:space="preserve"> </w:t>
      </w:r>
      <w:r>
        <w:t xml:space="preserve">4.9</w:t>
      </w:r>
      <w:r>
        <w:t xml:space="preserve"> </w:t>
      </w:r>
      <w:r>
        <w:t xml:space="preserve">se observa una tendencia a que la proporción de ingresos más grande es aquella que reciben los FRE departamentales por la venta de MME. Esto se debe a que cada departamento maneja independencia en los precios de venta de estos medicamentos y de este rubro se obtiene una rentabilidad que varía en cada FRE. En el desarrollo del apartado</w:t>
      </w:r>
      <w:r>
        <w:t xml:space="preserve"> </w:t>
      </w:r>
      <w:hyperlink w:anchor="precioMedicamentos">
        <w:r>
          <w:rPr>
            <w:rStyle w:val="Hyperlink"/>
          </w:rPr>
          <w:t xml:space="preserve">6.4 Precio de medicamentos</w:t>
        </w:r>
      </w:hyperlink>
      <w:r>
        <w:t xml:space="preserve"> </w:t>
      </w:r>
      <w:r>
        <w:t xml:space="preserve">del presente informe, se realiza un análisis más profundo sobre los precios de venta de los MME por departamento, pero a</w:t>
      </w:r>
      <w:r>
        <w:t xml:space="preserve"> </w:t>
      </w:r>
      <w:r>
        <w:rPr>
          <w:iCs/>
          <w:i/>
        </w:rPr>
        <w:t xml:space="preserve">grosso modo</w:t>
      </w:r>
      <w:r>
        <w:t xml:space="preserve"> </w:t>
      </w:r>
      <w:r>
        <w:t xml:space="preserve">se evidencia que el margen es alto como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60" w:name="propuesta-de-clasificación-de-los-fre"/>
    <w:p>
      <w:pPr>
        <w:pStyle w:val="Heading2"/>
      </w:pPr>
      <w:r>
        <w:rPr>
          <w:rStyle w:val="SectionNumber"/>
        </w:rPr>
        <w:t xml:space="preserve">4.5</w:t>
      </w:r>
      <w:r>
        <w:tab/>
      </w:r>
      <w:r>
        <w:t xml:space="preserve">Propuesta de clasificación de los FRE</w:t>
      </w:r>
    </w:p>
    <w:p>
      <w:pPr>
        <w:pStyle w:val="FirstParagraph"/>
      </w:pPr>
      <w:r>
        <w:t xml:space="preserve">Durante el desarrollo de las visitas técnicas a los territorios, se observaron importantes diferencias entre los FRE departamentales. Estas diferencias se podrían explicar por factores administrativos, organizativos y socio-demográficos que se presentan en cada departamento. Debido a esto puede que los FRE tengan un desarrollo de sus actividades en determinada forma, lo cual resulta en un grado de eficiencia definido para cada ente territorial, en cuanto al manejo de MME, recetarios, o informes en la región.</w:t>
      </w:r>
    </w:p>
    <w:p>
      <w:pPr>
        <w:pStyle w:val="BodyText"/>
      </w:pPr>
      <w:r>
        <w:t xml:space="preserve">Por lo tanto, se propone una clasificación de los FRE - de acuerdo con su nivel de complejidad e indicadores de gestión - con el fin de mejorar el direccionamiento de acciones o asistencia a los FREs, sin el ánimo de generar acciones prohibitivas o represivas. El objetivo es generar grupos de FRE que permitan establecer las capacidades actuales así como las similaridades o diferencias entre los departamentos. Todo esto con el fin de generar un instrumento que sirva como insumo para mejorar el acompañamiento a los FRE en las asistencias técnicas y toma de decisiones relacionadas con el manejo de MME en los FRE.</w:t>
      </w:r>
    </w:p>
    <w:bookmarkStart w:id="52" w:name="variables"/>
    <w:p>
      <w:pPr>
        <w:pStyle w:val="Heading3"/>
      </w:pPr>
      <w:r>
        <w:rPr>
          <w:rStyle w:val="SectionNumber"/>
        </w:rPr>
        <w:t xml:space="preserve">4.5.1</w:t>
      </w:r>
      <w:r>
        <w:tab/>
      </w:r>
      <w:r>
        <w:t xml:space="preserve">Variables</w:t>
      </w:r>
    </w:p>
    <w:p>
      <w:pPr>
        <w:pStyle w:val="FirstParagraph"/>
      </w:pPr>
      <w:r>
        <w:t xml:space="preserve">A continuación, se listan las variables definidas para la clasificación de los FRE y se presenta una breve descripción de las mismas.</w:t>
      </w:r>
    </w:p>
    <w:bookmarkStart w:id="50" w:name="Xb698e5447ca2c03484c6aa5f74d42cf8913dc4d"/>
    <w:p>
      <w:pPr>
        <w:pStyle w:val="Heading4"/>
      </w:pPr>
      <w:r>
        <w:rPr>
          <w:rStyle w:val="SectionNumber"/>
        </w:rPr>
        <w:t xml:space="preserve">4.5.1.1</w:t>
      </w:r>
      <w:r>
        <w:tab/>
      </w:r>
      <w:r>
        <w:t xml:space="preserve">Variables relacionadas con la complejidad</w:t>
      </w:r>
    </w:p>
    <w:p>
      <w:pPr>
        <w:pStyle w:val="FirstParagraph"/>
      </w:pPr>
      <w:r>
        <w:t xml:space="preserve">Con complejidad se hace referencia a la magnitud de las actividades que debe desarrollar un FRE en su departamento, lo cual se relaciona de manera directa con el tamaño que tiene cada uno de estos entes territoriales. A diferencia de la definición de nivel de complejidad utilizada en el Sistema General de Seguridad Social en Salud</w:t>
      </w:r>
      <w:hyperlink w:anchor="ref-MinisteriodeSalud1994">
        <w:r>
          <w:rPr>
            <w:rStyle w:val="Hyperlink"/>
            <w:vertAlign w:val="superscript"/>
          </w:rPr>
          <w:t xml:space="preserve">8</w:t>
        </w:r>
      </w:hyperlink>
      <w:r>
        <w:t xml:space="preserve">, esta definición no hace referencia a una clasificación funcional que tenga en cuenta capacidades construidas.</w:t>
      </w:r>
    </w:p>
    <w:p>
      <w:pPr>
        <w:numPr>
          <w:ilvl w:val="0"/>
          <w:numId w:val="1013"/>
        </w:numPr>
      </w:pPr>
      <w:r>
        <w:t xml:space="preserve">Regionalización del Presupuesto General de la Nación de 2020</w:t>
      </w:r>
      <w:hyperlink w:anchor="ref-DepartamentoNacionaldePlaneacion2019">
        <w:r>
          <w:rPr>
            <w:rStyle w:val="Hyperlink"/>
            <w:vertAlign w:val="superscript"/>
          </w:rPr>
          <w:t xml:space="preserve">9</w:t>
        </w:r>
      </w:hyperlink>
      <w:r>
        <w:t xml:space="preserve">.</w:t>
      </w:r>
    </w:p>
    <w:p>
      <w:pPr>
        <w:numPr>
          <w:ilvl w:val="0"/>
          <w:numId w:val="1013"/>
        </w:numPr>
      </w:pPr>
      <w:r>
        <w:t xml:space="preserve">Regionalización del Presupuesto General de la Nación de 2020 y su asignación al sector salud</w:t>
      </w:r>
      <w:hyperlink w:anchor="ref-DepartamentoNacionaldePlaneacion2019">
        <w:r>
          <w:rPr>
            <w:rStyle w:val="Hyperlink"/>
            <w:vertAlign w:val="superscript"/>
          </w:rPr>
          <w:t xml:space="preserve">9</w:t>
        </w:r>
      </w:hyperlink>
      <w:r>
        <w:t xml:space="preserve">.</w:t>
      </w:r>
    </w:p>
    <w:p>
      <w:pPr>
        <w:numPr>
          <w:ilvl w:val="0"/>
          <w:numId w:val="1013"/>
        </w:numPr>
      </w:pPr>
      <w:r>
        <w:t xml:space="preserve">Número de inscritos (instituciones) en el departamento que realizaron compras de MME al FRE, esta información se obtuvo mediante la encuesta aplicada.</w:t>
      </w:r>
    </w:p>
    <w:p>
      <w:pPr>
        <w:numPr>
          <w:ilvl w:val="0"/>
          <w:numId w:val="1013"/>
        </w:numPr>
      </w:pPr>
      <w:r>
        <w:t xml:space="preserve">Proporción de portafolio de MME adquirido de forma continua por parte del FRE, esta información se obtuvo a partir de datos de ventas del FNE a los FRE. Esta variable se refiere al número de productos adquiridos por el FRE de manera continua sobre el número de productos totales en el portafolio.</w:t>
      </w:r>
    </w:p>
    <w:bookmarkEnd w:id="50"/>
    <w:bookmarkStart w:id="51" w:name="indicadores-de-gestión"/>
    <w:p>
      <w:pPr>
        <w:pStyle w:val="Heading4"/>
      </w:pPr>
      <w:r>
        <w:rPr>
          <w:rStyle w:val="SectionNumber"/>
        </w:rPr>
        <w:t xml:space="preserve">4.5.1.2</w:t>
      </w:r>
      <w:r>
        <w:tab/>
      </w:r>
      <w:r>
        <w:t xml:space="preserve">Indicadores de gestión</w:t>
      </w:r>
    </w:p>
    <w:p>
      <w:pPr>
        <w:pStyle w:val="FirstParagraph"/>
      </w:pPr>
      <w:r>
        <w:t xml:space="preserve">En este grupo se consideran indicadores de cumplimiento y de eficiencia en procesos relacionados con venta de medicamentos, envío de informes y adquisición de recetarios.</w:t>
      </w:r>
    </w:p>
    <w:p>
      <w:pPr>
        <w:numPr>
          <w:ilvl w:val="0"/>
          <w:numId w:val="1014"/>
        </w:numPr>
        <w:pStyle w:val="Compact"/>
      </w:pPr>
      <w:r>
        <w:t xml:space="preserve">Proporción de ventas realizadas por el FRE a instituciones en el departamento del FNE respecto a la suma de ventas de FRE y compras directas</w:t>
      </w:r>
    </w:p>
    <w:p>
      <w:pPr>
        <w:pStyle w:val="FirstParagraph"/>
      </w:pPr>
      <m:oMathPara>
        <m:oMathParaPr>
          <m:jc m:val="center"/>
        </m:oMathParaPr>
        <m:oMath>
          <m:r>
            <m:t>P</m:t>
          </m:r>
          <m:r>
            <m:t> </m:t>
          </m:r>
          <m:d>
            <m:dPr>
              <m:begChr m:val="("/>
              <m:endChr m:val=")"/>
              <m:sepChr m:val=""/>
              <m:grow/>
            </m:dPr>
            <m:e>
              <m:sSub>
                <m:e>
                  <m:r>
                    <m:t>v</m:t>
                  </m:r>
                </m:e>
                <m:sub>
                  <m:r>
                    <m:rPr>
                      <m:sty m:val="p"/>
                    </m:rPr>
                    <m:t>F</m:t>
                  </m:r>
                  <m:r>
                    <m:rPr>
                      <m:sty m:val="p"/>
                    </m:rPr>
                    <m:t>R</m:t>
                  </m:r>
                  <m:r>
                    <m:rPr>
                      <m:sty m:val="p"/>
                    </m:rPr>
                    <m:t>E</m:t>
                  </m:r>
                </m:sub>
              </m:sSub>
            </m:e>
          </m:d>
          <m:r>
            <m:rPr>
              <m:sty m:val="p"/>
            </m:rPr>
            <m:t>=</m:t>
          </m:r>
          <m:f>
            <m:fPr>
              <m:type m:val="bar"/>
            </m:fPr>
            <m:num>
              <m:sSub>
                <m:e>
                  <m:r>
                    <m:t>v</m:t>
                  </m:r>
                </m:e>
                <m:sub>
                  <m:r>
                    <m:rPr>
                      <m:sty m:val="p"/>
                    </m:rPr>
                    <m:t>F</m:t>
                  </m:r>
                  <m:r>
                    <m:rPr>
                      <m:sty m:val="p"/>
                    </m:rPr>
                    <m:t>R</m:t>
                  </m:r>
                  <m:r>
                    <m:rPr>
                      <m:sty m:val="p"/>
                    </m:rPr>
                    <m:t>E</m:t>
                  </m:r>
                </m:sub>
              </m:sSub>
            </m:num>
            <m:den>
              <m:sSub>
                <m:e>
                  <m:r>
                    <m:t>v</m:t>
                  </m:r>
                </m:e>
                <m:sub>
                  <m:r>
                    <m:rPr>
                      <m:sty m:val="p"/>
                    </m:rPr>
                    <m:t>F</m:t>
                  </m:r>
                  <m:r>
                    <m:rPr>
                      <m:sty m:val="p"/>
                    </m:rPr>
                    <m:t>R</m:t>
                  </m:r>
                  <m:r>
                    <m:rPr>
                      <m:sty m:val="p"/>
                    </m:rPr>
                    <m:t>E</m:t>
                  </m:r>
                </m:sub>
              </m:sSub>
              <m:r>
                <m:rPr>
                  <m:sty m:val="p"/>
                </m:rPr>
                <m:t>+</m:t>
              </m:r>
              <m:sSub>
                <m:e>
                  <m:r>
                    <m:t>v</m:t>
                  </m:r>
                </m:e>
                <m:sub>
                  <m:r>
                    <m:rPr>
                      <m:sty m:val="p"/>
                    </m:rPr>
                    <m:t>C</m:t>
                  </m:r>
                  <m:r>
                    <m:rPr>
                      <m:sty m:val="p"/>
                    </m:rPr>
                    <m:t>D</m:t>
                  </m:r>
                </m:sub>
              </m:sSub>
            </m:den>
          </m:f>
        </m:oMath>
      </m:oMathPara>
    </w:p>
    <w:p>
      <w:pPr>
        <w:pStyle w:val="FirstParagraph"/>
      </w:pPr>
      <w:r>
        <w:t xml:space="preserve">En donde,</w:t>
      </w:r>
      <w:r>
        <w:t xml:space="preserve"> </w:t>
      </w:r>
      <m:oMath>
        <m:r>
          <m:t>P</m:t>
        </m:r>
        <m:r>
          <m:t> </m:t>
        </m:r>
        <m:d>
          <m:dPr>
            <m:begChr m:val="("/>
            <m:endChr m:val=")"/>
            <m:sepChr m:val=""/>
            <m:grow/>
          </m:dPr>
          <m:e>
            <m:sSub>
              <m:e>
                <m:r>
                  <m:t>v</m:t>
                </m:r>
              </m:e>
              <m:sub>
                <m:r>
                  <m:rPr>
                    <m:sty m:val="p"/>
                  </m:rPr>
                  <m:t>F</m:t>
                </m:r>
                <m:r>
                  <m:rPr>
                    <m:sty m:val="p"/>
                  </m:rPr>
                  <m:t>R</m:t>
                </m:r>
                <m:r>
                  <m:rPr>
                    <m:sty m:val="p"/>
                  </m:rPr>
                  <m:t>E</m:t>
                </m:r>
              </m:sub>
            </m:sSub>
          </m:e>
        </m:d>
      </m:oMath>
      <w:r>
        <w:t xml:space="preserve"> </w:t>
      </w:r>
      <w:r>
        <w:t xml:space="preserve">es la proporción de ventas realizadas a través del canal FRE (se entiende a las compras directas como una desviación de la cadena de suministro),</w:t>
      </w:r>
      <w:r>
        <w:t xml:space="preserve"> </w:t>
      </w:r>
      <m:oMath>
        <m:sSub>
          <m:e>
            <m:r>
              <m:t>v</m:t>
            </m:r>
          </m:e>
          <m:sub>
            <m:r>
              <m:rPr>
                <m:sty m:val="p"/>
              </m:rPr>
              <m:t>F</m:t>
            </m:r>
            <m:r>
              <m:rPr>
                <m:sty m:val="p"/>
              </m:rPr>
              <m:t>R</m:t>
            </m:r>
            <m:r>
              <m:rPr>
                <m:sty m:val="p"/>
              </m:rPr>
              <m:t>E</m:t>
            </m:r>
          </m:sub>
        </m:sSub>
      </m:oMath>
      <w:r>
        <w:t xml:space="preserve"> </w:t>
      </w:r>
      <w:r>
        <w:t xml:space="preserve">y</w:t>
      </w:r>
      <w:r>
        <w:t xml:space="preserve"> </w:t>
      </w:r>
      <m:oMath>
        <m:sSub>
          <m:e>
            <m:r>
              <m:t>v</m:t>
            </m:r>
          </m:e>
          <m:sub>
            <m:r>
              <m:rPr>
                <m:sty m:val="p"/>
              </m:rPr>
              <m:t>C</m:t>
            </m:r>
            <m:r>
              <m:rPr>
                <m:sty m:val="p"/>
              </m:rPr>
              <m:t>D</m:t>
            </m:r>
          </m:sub>
        </m:sSub>
      </m:oMath>
      <w:r>
        <w:t xml:space="preserve"> </w:t>
      </w:r>
      <w:r>
        <w:t xml:space="preserve">son las ventas hechas por el FNE directamente a los FRE o instituciones por compra directa en el año 2021 de manera respectiva, las ventas se ingresan cómo ventas en unidades monetarias. Un valor alto en esta proporción indicaría que los FRE pueden suplir la mayor parte de la demanda que surge de los inscritos en el departamento.</w:t>
      </w:r>
    </w:p>
    <w:p>
      <w:pPr>
        <w:numPr>
          <w:ilvl w:val="0"/>
          <w:numId w:val="1015"/>
        </w:numPr>
        <w:pStyle w:val="Compact"/>
      </w:pPr>
      <w:r>
        <w:t xml:space="preserve">Proporción de meses con entrega del Anexo 1 de la Resolución 1479 de 2006 (cumplimiento).</w:t>
      </w:r>
    </w:p>
    <w:p>
      <w:pPr>
        <w:pStyle w:val="FirstParagraph"/>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oMath>
      <w:r>
        <w:t xml:space="preserve"> </w:t>
      </w:r>
      <w:r>
        <w:t xml:space="preserve">indica que se debe sumar 1 en los meses en los que se reporte un cumplimiento en la entrega del Anexo 1,</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6"/>
        </w:numPr>
        <w:pStyle w:val="Compact"/>
      </w:pPr>
      <w:r>
        <w:t xml:space="preserve">Proporción de meses con entrega del Anexo 2 de la Resolución 1479 de 2006 (cumplimiento).</w:t>
      </w:r>
    </w:p>
    <w:p>
      <w:pPr>
        <w:pStyle w:val="Compact"/>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oMath>
      <w:r>
        <w:t xml:space="preserve"> </w:t>
      </w:r>
      <w:r>
        <w:t xml:space="preserve">indica que se debe sumar 1 en los meses en los que se reporte un cumplimiento en la entrega del Anexo 2,</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7"/>
        </w:numPr>
        <w:pStyle w:val="Compact"/>
      </w:pPr>
      <w:r>
        <w:t xml:space="preserve">Razón entre tiempo de adquisición de recetarios sobre existencias estimadas de recetarios en circulación en el departamento.</w:t>
      </w:r>
    </w:p>
    <w:p>
      <w:pPr>
        <w:pStyle w:val="FirstParagraph"/>
      </w:pPr>
      <m:oMathPara>
        <m:oMathParaPr>
          <m:jc m:val="center"/>
        </m:oMathParaPr>
        <m:oMath>
          <m:r>
            <m:t>R</m:t>
          </m:r>
          <m:d>
            <m:dPr>
              <m:begChr m:val="("/>
              <m:endChr m:val=")"/>
              <m:sepChr m:val=""/>
              <m:grow/>
            </m:dPr>
            <m:e>
              <m:sSub>
                <m:e>
                  <m:r>
                    <m:rPr>
                      <m:sty m:val="p"/>
                    </m:rPr>
                    <m:t>T</m:t>
                  </m:r>
                </m:e>
                <m:sub>
                  <m:r>
                    <m:rPr>
                      <m:sty m:val="p"/>
                    </m:rPr>
                    <m:t>a</m:t>
                  </m:r>
                  <m:r>
                    <m:rPr>
                      <m:sty m:val="p"/>
                    </m:rPr>
                    <m:t>d</m:t>
                  </m:r>
                  <m:r>
                    <m:rPr>
                      <m:sty m:val="p"/>
                    </m:rPr>
                    <m:t>q</m:t>
                  </m:r>
                </m:sub>
              </m:sSub>
              <m:r>
                <m:rPr>
                  <m:sty m:val="p"/>
                </m:rPr>
                <m:t>/</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e>
          </m:d>
          <m:r>
            <m:rPr>
              <m:sty m:val="p"/>
            </m:rPr>
            <m:t>=</m:t>
          </m:r>
          <m:d>
            <m:dPr>
              <m:begChr m:val="{"/>
              <m:endChr m:val=""/>
              <m:sepChr m:val=""/>
              <m:grow/>
            </m:dPr>
            <m:e>
              <m:m>
                <m:mPr>
                  <m:baseJc m:val="center"/>
                  <m:plcHide m:val="1"/>
                  <m:mcs>
                    <m:mc>
                      <m:mcPr>
                        <m:mcJc m:val="center"/>
                        <m:count m:val="1"/>
                      </m:mcPr>
                    </m:mc>
                  </m:mcs>
                </m:mPr>
                <m:mr>
                  <m:e>
                    <m:f>
                      <m:fPr>
                        <m:type m:val="bar"/>
                      </m:fPr>
                      <m:num>
                        <m:sSub>
                          <m:e>
                            <m:r>
                              <m:rPr>
                                <m:sty m:val="p"/>
                              </m:rPr>
                              <m:t>T</m:t>
                            </m:r>
                          </m:e>
                          <m:sub>
                            <m:r>
                              <m:rPr>
                                <m:sty m:val="p"/>
                              </m:rPr>
                              <m:t>a</m:t>
                            </m:r>
                            <m:r>
                              <m:rPr>
                                <m:sty m:val="p"/>
                              </m:rPr>
                              <m:t>d</m:t>
                            </m:r>
                            <m:r>
                              <m:rPr>
                                <m:sty m:val="p"/>
                              </m:rPr>
                              <m:t>q</m:t>
                            </m:r>
                          </m:sub>
                        </m:sSub>
                      </m:num>
                      <m:den>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den>
                    </m:f>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&gt;</m:t>
                    </m:r>
                    <m:r>
                      <m:t>0</m:t>
                    </m:r>
                  </m:e>
                </m:mr>
                <m:mr>
                  <m:e>
                    <m:r>
                      <m:t>100</m:t>
                    </m:r>
                    <m:r>
                      <m:t> </m:t>
                    </m:r>
                    <m:r>
                      <m:t> </m:t>
                    </m:r>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m:t>
                    </m:r>
                    <m:r>
                      <m:t>0</m:t>
                    </m:r>
                  </m:e>
                </m:mr>
              </m:m>
            </m:e>
          </m:d>
        </m:oMath>
      </m:oMathPara>
    </w:p>
    <w:p>
      <w:pPr>
        <w:pStyle w:val="FirstParagraph"/>
      </w:pPr>
      <w:r>
        <w:t xml:space="preserve">Donde</w:t>
      </w:r>
      <w:r>
        <w:t xml:space="preserve"> </w:t>
      </w:r>
      <m:oMath>
        <m:sSub>
          <m:e>
            <m:r>
              <m:rPr>
                <m:sty m:val="p"/>
              </m:rPr>
              <m:t>T</m:t>
            </m:r>
          </m:e>
          <m:sub>
            <m:r>
              <m:rPr>
                <m:sty m:val="p"/>
              </m:rPr>
              <m:t>a</m:t>
            </m:r>
            <m:r>
              <m:rPr>
                <m:sty m:val="p"/>
              </m:rPr>
              <m:t>d</m:t>
            </m:r>
            <m:r>
              <m:rPr>
                <m:sty m:val="p"/>
              </m:rPr>
              <m:t>q</m:t>
            </m:r>
          </m:sub>
        </m:sSub>
      </m:oMath>
      <w:r>
        <w:t xml:space="preserve"> </w:t>
      </w:r>
      <w:r>
        <w:t xml:space="preserve">es el tiempo que toma la adquisición de recetarios en días, y</w:t>
      </w:r>
      <w:r>
        <w:t xml:space="preserve"> </w:t>
      </w:r>
      <m:oMath>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oMath>
      <w:r>
        <w:t xml:space="preserve"> </w:t>
      </w:r>
      <w:r>
        <w:t xml:space="preserve">es el número de recetarios que se tienen en circulación en el departamento de acuerdo a lo reportado por los FRE. A diferencia del resto de indicadores un valor bajo de esta razón indica que el proceso toma menos tiempo y por tal es más eficiente.</w:t>
      </w:r>
    </w:p>
    <w:bookmarkEnd w:id="51"/>
    <w:bookmarkEnd w:id="52"/>
    <w:bookmarkStart w:id="59" w:name="análisis-mediante-clusterización"/>
    <w:p>
      <w:pPr>
        <w:pStyle w:val="Heading3"/>
      </w:pPr>
      <w:r>
        <w:rPr>
          <w:rStyle w:val="SectionNumber"/>
        </w:rPr>
        <w:t xml:space="preserve">4.5.2</w:t>
      </w:r>
      <w:r>
        <w:tab/>
      </w:r>
      <w:r>
        <w:t xml:space="preserve">Análisis mediante clusterización</w:t>
      </w:r>
    </w:p>
    <w:p>
      <w:pPr>
        <w:pStyle w:val="FirstParagraph"/>
      </w:pPr>
      <w:r>
        <w:t xml:space="preserve">Se realizó un análisis de agrupación de los FRE mediante técnicas de análisis de clúster (conglomerados). Los métodos de análisis de clúster buscan crear grupos (subconjuntos) del conjunto de datos originales basados en la minimización de una función de costo o mediante modelos probabilísticos</w:t>
      </w:r>
      <w:hyperlink w:anchor="ref-Hennig2016">
        <w:r>
          <w:rPr>
            <w:rStyle w:val="Hyperlink"/>
            <w:vertAlign w:val="superscript"/>
          </w:rPr>
          <w:t xml:space="preserve">10</w:t>
        </w:r>
      </w:hyperlink>
      <w:r>
        <w:t xml:space="preserve">. El análisis de clúster jerárquico fue realizado mediante el algoritmo de Ward (función</w:t>
      </w:r>
      <w:r>
        <w:t xml:space="preserve"> </w:t>
      </w:r>
      <w:r>
        <w:rPr>
          <w:rStyle w:val="VerbatimChar"/>
        </w:rPr>
        <w:t xml:space="preserve">hclust</w:t>
      </w:r>
      <w:r>
        <w:t xml:space="preserve">) en el software R</w:t>
      </w:r>
      <w:hyperlink w:anchor="ref-R_Stats">
        <w:r>
          <w:rPr>
            <w:rStyle w:val="Hyperlink"/>
            <w:vertAlign w:val="superscript"/>
          </w:rPr>
          <w:t xml:space="preserve">11</w:t>
        </w:r>
      </w:hyperlink>
      <w:r>
        <w:t xml:space="preserve">, este análisis fue comparado con el obtenido mediante un método de análisis por K-means (función</w:t>
      </w:r>
      <w:r>
        <w:t xml:space="preserve"> </w:t>
      </w:r>
      <w:r>
        <w:rPr>
          <w:rStyle w:val="VerbatimChar"/>
        </w:rPr>
        <w:t xml:space="preserve">kmeans</w:t>
      </w:r>
      <w:r>
        <w:t xml:space="preserve">). El set de datos fue preprocesado mediante estandarización (</w:t>
      </w:r>
      <w:r>
        <w:rPr>
          <w:iCs/>
          <w:i/>
        </w:rPr>
        <w:t xml:space="preserve">Z-score</w:t>
      </w:r>
      <w:r>
        <w:t xml:space="preserve">) de cada una de las variables.</w:t>
      </w:r>
    </w:p>
    <w:p>
      <w:pPr>
        <w:pStyle w:val="BodyText"/>
      </w:pPr>
      <w:r>
        <w:t xml:space="preserve">El número de grupos (</w:t>
      </w:r>
      <m:oMath>
        <m:r>
          <m:t>k</m:t>
        </m:r>
      </m:oMath>
      <w:r>
        <w:t xml:space="preserve">) fue seleccionado mediante la comparación de varios índices de validez de clúster como: (i) Silhouette, (ii) índice de Dunn, (iii) conectividad, (iv) distancia promedio (AD), o (v) distancia promedio entre media (ADM)</w:t>
      </w:r>
      <w:hyperlink w:anchor="ref-R_clValid">
        <w:r>
          <w:rPr>
            <w:rStyle w:val="Hyperlink"/>
            <w:vertAlign w:val="superscript"/>
          </w:rPr>
          <w:t xml:space="preserve">12</w:t>
        </w:r>
      </w:hyperlink>
      <w:r>
        <w:t xml:space="preserve">. Se realizó la evaluación del número de grupos (</w:t>
      </w:r>
      <m:oMath>
        <m:r>
          <m:t>k</m:t>
        </m:r>
      </m:oMath>
      <w:r>
        <w:t xml:space="preserve">) de 2 a máximo 15 grupos, y se evalúo la presencia de incremento (o decrecimientos) súbitos a forma de</w:t>
      </w:r>
      <w:r>
        <w:t xml:space="preserve"> </w:t>
      </w:r>
      <w:r>
        <w:rPr>
          <w:iCs/>
          <w:i/>
        </w:rPr>
        <w:t xml:space="preserve">criterio de codo</w:t>
      </w:r>
      <w:r>
        <w:t xml:space="preserve"> </w:t>
      </w:r>
      <w:r>
        <w:t xml:space="preserve">en cada indicador. Se utilizó análisis por componentes principales (PCA,</w:t>
      </w:r>
      <w:r>
        <w:t xml:space="preserve"> </w:t>
      </w:r>
      <w:r>
        <w:rPr>
          <w:iCs/>
          <w:i/>
        </w:rPr>
        <w:t xml:space="preserve">Principal Component Analysis</w:t>
      </w:r>
      <w:r>
        <w:t xml:space="preserve">) para la visualización de la separación lograda por el análisis de clúster y evidenciar la pertenencia de los departamentos a cada grupo.</w:t>
      </w:r>
    </w:p>
    <w:p>
      <w:pPr>
        <w:pStyle w:val="BodyText"/>
      </w:pPr>
      <w:r>
        <w:t xml:space="preserve">En la Figura</w:t>
      </w:r>
      <w:r>
        <w:t xml:space="preserve"> </w:t>
      </w:r>
      <w:r>
        <w:t xml:space="preserve">4.11</w:t>
      </w:r>
      <w:r>
        <w:t xml:space="preserve"> </w:t>
      </w:r>
      <w:r>
        <w:t xml:space="preserve">se muestra el comportamiento de las variables definidas para el análisis mediante un círculo de correlación. En primer lugar se observa que los primeros dos componentes de PCA representan un 56.9% de la variabilidad del conjunto de datos. Se observa que las variables relacionadas a la complejidad cuenta con una correlación alta entre sí, p.ej. los departamentos con mayores presupuestos asignados tienen una mayor proporción de uso del portafolio, así como una mayor proporción de inscritos activos.</w:t>
      </w:r>
    </w:p>
    <w:p>
      <w:pPr>
        <w:pStyle w:val="CaptionedFigure"/>
      </w:pPr>
      <w:r>
        <w:drawing>
          <wp:inline>
            <wp:extent cx="5334000" cy="2667000"/>
            <wp:effectExtent b="0" l="0" r="0" t="0"/>
            <wp:docPr descr="Figura 4.11: Círculo de correlación de variables aplicadas en la definición de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4" w:name="fig10"/>
      <w:r>
        <w:t xml:space="preserve">Figure </w:t>
      </w:r>
      <w:fldSimple w:instr="SEQ Figure \* ARABIC ">
        <w:r>
          <w:t>10</w:t>
        </w:r>
      </w:fldSimple>
      <w:r>
        <w:t xml:space="preserve">:</w:t>
      </w:r>
      <w:r>
        <w:t xml:space="preserve"> </w:t>
      </w:r>
      <w:bookmarkEnd w:id="54"/>
      <w:r>
        <w:t xml:space="preserve">Figura 4.11: Círculo de correlación de variables aplicadas en la definición de componentes principales</w:t>
      </w:r>
    </w:p>
    <w:p>
      <w:pPr>
        <w:pStyle w:val="BodyText"/>
      </w:pPr>
      <w:r>
        <w:t xml:space="preserve">Se observa que los indicadores de gestión no presentan una correlación importante con las variables de complejidad (se evidencia porque las variables se proyectan de forma perpendicular), las variables de cumplimiento de envío de informe parecen tener una correlación un poco más alta respecto al resto de indicadores. Las variables de proporción de ventas realizadas por el FRE y cumplimiento de envío de Anexo 1 cuentan una correlación negativa con el indicador de tiempo de adquisición de recetario (esto era esperado por la definición de la variable) así como con el cumplimiento de envío de Anexo 2.</w:t>
      </w:r>
    </w:p>
    <w:p>
      <w:pPr>
        <w:pStyle w:val="BodyText"/>
      </w:pPr>
      <w:r>
        <w:t xml:space="preserve">Los resultados del análisis mediante el algoritmo K-means y Ward fueron similares en cuanto al número de clústers óptimo y agrupación de individuos. Una gran parte de los índices de validez de clústers presentaron un aumento o disminución monotónica respecto al valor de</w:t>
      </w:r>
      <w:r>
        <w:t xml:space="preserve"> </w:t>
      </w:r>
      <m:oMath>
        <m:r>
          <m:t>k</m:t>
        </m:r>
      </m:oMath>
      <w:r>
        <w:t xml:space="preserve">, sin embargo la mayoría de los índices mostraron cambios abruptos con</w:t>
      </w:r>
      <w:r>
        <w:t xml:space="preserve"> </w:t>
      </w:r>
      <m:oMath>
        <m:r>
          <m:t>k</m:t>
        </m:r>
        <m:r>
          <m:rPr>
            <m:sty m:val="p"/>
          </m:rPr>
          <m:t>=</m:t>
        </m:r>
        <m:r>
          <m:t>8</m:t>
        </m:r>
      </m:oMath>
      <w:r>
        <w:t xml:space="preserve">, por lo cual se asume que este es el valor óptimo de clústers. En el panel izquierdo de la Figura</w:t>
      </w:r>
      <w:r>
        <w:t xml:space="preserve"> </w:t>
      </w:r>
      <w:r>
        <w:t xml:space="preserve">4.12</w:t>
      </w:r>
      <w:r>
        <w:t xml:space="preserve"> </w:t>
      </w:r>
      <w:r>
        <w:t xml:space="preserve">se observa el comportamiento del índice Silhouette con respecto al número de clústers en el análisis se tiene que a partir de</w:t>
      </w:r>
      <w:r>
        <w:t xml:space="preserve"> </w:t>
      </w:r>
      <m:oMath>
        <m:r>
          <m:t>k</m:t>
        </m:r>
        <m:r>
          <m:rPr>
            <m:sty m:val="p"/>
          </m:rPr>
          <m:t>=</m:t>
        </m:r>
        <m:r>
          <m:t>8</m:t>
        </m:r>
      </m:oMath>
      <w:r>
        <w:t xml:space="preserve"> </w:t>
      </w:r>
      <w:r>
        <w:t xml:space="preserve">se presenta un decrecimiento en el valor del índice.</w:t>
      </w:r>
    </w:p>
    <w:p>
      <w:pPr>
        <w:pStyle w:val="BodyText"/>
      </w:pPr>
      <w:r>
        <w:t xml:space="preserve">En el panel derecho de la Figura</w:t>
      </w:r>
      <w:r>
        <w:t xml:space="preserve"> </w:t>
      </w:r>
      <w:r>
        <w:t xml:space="preserve">4.12</w:t>
      </w:r>
      <w:r>
        <w:t xml:space="preserve"> </w:t>
      </w:r>
      <w:r>
        <w:t xml:space="preserve">se observa un dendrograma con la clasificación de los FRE de acuerdo a su similaridad en las características exploradas. Se tiene que el departamento de Antioquia es el que presenta la mayor diferencia con el resto de los departamentos, mientras que los departamentos de Valle del Cauca y Santander presentan unas condiciones similares.</w:t>
      </w:r>
    </w:p>
    <w:p>
      <w:pPr>
        <w:pStyle w:val="CaptionedFigure"/>
      </w:pPr>
      <w:r>
        <w:drawing>
          <wp:inline>
            <wp:extent cx="5334000" cy="2129895"/>
            <wp:effectExtent b="0" l="0" r="0" t="0"/>
            <wp:docPr descr="Figura 4.12: Resultados de análisis por clúster jerárquico. (A) Índice Silhouette vs N.° de clústers. (B) Dendrograma de departamentos de acuerdo a análisis de similaridad, se muestran los grupos para k = 8." title="" id="1" name="Picture"/>
            <a:graphic>
              <a:graphicData uri="http://schemas.openxmlformats.org/drawingml/2006/picture">
                <pic:pic>
                  <pic:nvPicPr>
                    <pic:cNvPr descr="InformeFinal_files/figure-docx/PCA2-1.png" id="0" name="Picture"/>
                    <pic:cNvPicPr>
                      <a:picLocks noChangeArrowheads="1" noChangeAspect="1"/>
                    </pic:cNvPicPr>
                  </pic:nvPicPr>
                  <pic:blipFill>
                    <a:blip r:embed="rId55"/>
                    <a:stretch>
                      <a:fillRect/>
                    </a:stretch>
                  </pic:blipFill>
                  <pic:spPr bwMode="auto">
                    <a:xfrm>
                      <a:off x="0" y="0"/>
                      <a:ext cx="5334000" cy="2129895"/>
                    </a:xfrm>
                    <a:prstGeom prst="rect">
                      <a:avLst/>
                    </a:prstGeom>
                    <a:noFill/>
                    <a:ln w="9525">
                      <a:noFill/>
                      <a:headEnd/>
                      <a:tailEnd/>
                    </a:ln>
                  </pic:spPr>
                </pic:pic>
              </a:graphicData>
            </a:graphic>
          </wp:inline>
        </w:drawing>
      </w:r>
    </w:p>
    <w:p>
      <w:pPr>
        <w:pStyle w:val="ImageCaption"/>
      </w:pPr>
      <w:bookmarkStart w:id="56" w:name="fig11"/>
      <w:r>
        <w:t xml:space="preserve">Figure </w:t>
      </w:r>
      <w:fldSimple w:instr="SEQ Figure \* ARABIC ">
        <w:r>
          <w:t>11</w:t>
        </w:r>
      </w:fldSimple>
      <w:r>
        <w:t xml:space="preserve">:</w:t>
      </w:r>
      <w:r>
        <w:t xml:space="preserve"> </w:t>
      </w:r>
      <w:bookmarkEnd w:id="56"/>
      <w:r>
        <w:t xml:space="preserve">Figura 4.12: Resultados de análisis por clúster jerárquico. (A) Índice Silhouette vs N.° de clústers. (B) Dendrograma de departamentos de acuerdo a análisis de similaridad, se muestran los grupos para k = 8.</w:t>
      </w:r>
    </w:p>
    <w:p>
      <w:pPr>
        <w:pStyle w:val="BodyText"/>
      </w:pPr>
      <w:r>
        <w:t xml:space="preserve">Por otra parte, en la Figura</w:t>
      </w:r>
      <w:r>
        <w:t xml:space="preserve"> </w:t>
      </w:r>
      <w:r>
        <w:t xml:space="preserve">4.13</w:t>
      </w:r>
      <w:r>
        <w:t xml:space="preserve"> </w:t>
      </w:r>
      <w:r>
        <w:t xml:space="preserve">se muestra la clasificación de los FRE en los grupos así como la proyección de los departamentos en los primeros componentes principales.</w:t>
      </w:r>
    </w:p>
    <w:p>
      <w:pPr>
        <w:pStyle w:val="CaptionedFigure"/>
      </w:pPr>
      <w:r>
        <w:drawing>
          <wp:inline>
            <wp:extent cx="5334000" cy="3464485"/>
            <wp:effectExtent b="0" l="0" r="0" t="0"/>
            <wp:docPr descr="Figura 4.13: Clasificación de los FRE en grupos de acuerdo a análisis por clúster" title="" id="1" name="Picture"/>
            <a:graphic>
              <a:graphicData uri="http://schemas.openxmlformats.org/drawingml/2006/picture">
                <pic:pic>
                  <pic:nvPicPr>
                    <pic:cNvPr descr="InformeFinal_files/figure-docx/PCA3-1.png" id="0" name="Picture"/>
                    <pic:cNvPicPr>
                      <a:picLocks noChangeArrowheads="1" noChangeAspect="1"/>
                    </pic:cNvPicPr>
                  </pic:nvPicPr>
                  <pic:blipFill>
                    <a:blip r:embed="rId57"/>
                    <a:stretch>
                      <a:fillRect/>
                    </a:stretch>
                  </pic:blipFill>
                  <pic:spPr bwMode="auto">
                    <a:xfrm>
                      <a:off x="0" y="0"/>
                      <a:ext cx="5334000" cy="3464485"/>
                    </a:xfrm>
                    <a:prstGeom prst="rect">
                      <a:avLst/>
                    </a:prstGeom>
                    <a:noFill/>
                    <a:ln w="9525">
                      <a:noFill/>
                      <a:headEnd/>
                      <a:tailEnd/>
                    </a:ln>
                  </pic:spPr>
                </pic:pic>
              </a:graphicData>
            </a:graphic>
          </wp:inline>
        </w:drawing>
      </w:r>
    </w:p>
    <w:p>
      <w:pPr>
        <w:pStyle w:val="ImageCaption"/>
      </w:pPr>
      <w:bookmarkStart w:id="58" w:name="fig12"/>
      <w:r>
        <w:t xml:space="preserve">Figure </w:t>
      </w:r>
      <w:fldSimple w:instr="SEQ Figure \* ARABIC ">
        <w:r>
          <w:t>12</w:t>
        </w:r>
      </w:fldSimple>
      <w:r>
        <w:t xml:space="preserve">:</w:t>
      </w:r>
      <w:r>
        <w:t xml:space="preserve"> </w:t>
      </w:r>
      <w:bookmarkEnd w:id="58"/>
      <w:r>
        <w:t xml:space="preserve">Figura 4.13: Clasificación de los FRE en grupos de acuerdo a análisis por clúster</w:t>
      </w:r>
    </w:p>
    <w:p>
      <w:pPr>
        <w:pStyle w:val="BodyText"/>
      </w:pPr>
      <w:r>
        <w:t xml:space="preserve">A continuación, se describen algunas características de los grupos encontrados:</w:t>
      </w:r>
    </w:p>
    <w:p>
      <w:pPr>
        <w:numPr>
          <w:ilvl w:val="0"/>
          <w:numId w:val="1018"/>
        </w:numPr>
      </w:pPr>
      <w:r>
        <w:t xml:space="preserve">Grupo 1: compuesto por Huila y Amazonas estos FRE cuentan con una complejidad mediana (promedio 91 inscritos), con una proporción de uso del portafolio de ~88.7% y un cumplimiento bajo en la entrega de anexos sobre todo en el Anexo 1 (75%).</w:t>
      </w:r>
    </w:p>
    <w:p>
      <w:pPr>
        <w:numPr>
          <w:ilvl w:val="0"/>
          <w:numId w:val="1018"/>
        </w:numPr>
      </w:pPr>
      <w:r>
        <w:t xml:space="preserve">Grupo 2: sólo cuenta con el departamento de Antioquia que es el FRE con la complejidad más alta (p.ej. tiene 1054 inscritos a activos) y con valores óptimos en los indicadores de gestión.</w:t>
      </w:r>
    </w:p>
    <w:p>
      <w:pPr>
        <w:numPr>
          <w:ilvl w:val="0"/>
          <w:numId w:val="1018"/>
        </w:numPr>
      </w:pPr>
      <w:r>
        <w:t xml:space="preserve">Grupo 3: este grupo cuenta con 15 departamentos entre ellos se encuentra Atlántico, Nariño y Caquetá. Este grupo contiene a FREs de mediana a alta complejidad, con un promedio de 150 inscritos y una proporción de uso de portafolio del 92%. Los indicadores de gestión parecen tener valores óptimos, sin embargo cuentan con un cumplimiento moderado en la entrega del Anexo 2 con un promedio de 0.55.</w:t>
      </w:r>
    </w:p>
    <w:p>
      <w:pPr>
        <w:numPr>
          <w:ilvl w:val="0"/>
          <w:numId w:val="1018"/>
        </w:numPr>
      </w:pPr>
      <w:r>
        <w:t xml:space="preserve">Grupo 4: este grupo consta de Córdoba y Bolívar que se comportan como FRE de complejidad mediana (promedio 91 inscritos), este grupo tiene una asignación presupuestal relativamente baja (con 16 mil millones), un promedio de 91 inscritos activos y una proporción de uso del portafolio de 0.94. Este grupo tiene un cumplimiento óptimo en la entrega del Anexo 1, con un cumplimiento moderado en el Anexo 2 (0.47), la proporción de utilización del canal FRE en las ventas es alta con 0.802. La característica más importante es que estos FRE tienen problemas por la inexistencia de recetarios en circulación a nivel departamental.</w:t>
      </w:r>
    </w:p>
    <w:p>
      <w:pPr>
        <w:numPr>
          <w:ilvl w:val="0"/>
          <w:numId w:val="1018"/>
        </w:numPr>
      </w:pPr>
      <w:r>
        <w:t xml:space="preserve">Grupo 5: este grupo cuenta con los departamentos de Meta, Casanare y Magdalena se trata de FRE con mediana complejidad con un promedio de 101 inscritos activos y una utilización del portafolio de 0.88. En cuanto a indicadores de gestión se tiene como característica principal que la proporción de ventas por el canal de FRE en comparación de compra directa es baja con un valor de 0.21, se tiene un cumplimiento moderado en la entrega de anexos.</w:t>
      </w:r>
    </w:p>
    <w:p>
      <w:pPr>
        <w:numPr>
          <w:ilvl w:val="0"/>
          <w:numId w:val="1018"/>
        </w:numPr>
      </w:pPr>
      <w:r>
        <w:t xml:space="preserve">Grupo 6: sólo cuenta con el departamento de Guainía que es un FRE de baja complejidad con un sólo inscrito activo, y una proporción baja de uso de portafolio. Se reporta un cumplimiento bajo en la proporción de ventas mediante canal FRE (0.0), una proporción de cumplimiento de Anexo 1/Anexo 2 moderada y una razón de tiempo de adquisición para recetarios alta.</w:t>
      </w:r>
    </w:p>
    <w:p>
      <w:pPr>
        <w:numPr>
          <w:ilvl w:val="0"/>
          <w:numId w:val="1018"/>
        </w:numPr>
      </w:pPr>
      <w:r>
        <w:t xml:space="preserve">Grupo 7: este grupo cuenta con FRE de baja complejidad con un promedio de 12.4 inscritos activos y una proporción de uso de portafolio baja del 0.49. Este grupo cuenta con indicadores de gestión altos con una proporción de ventas en FRE por 0.919, una proporción de cumplimiento de entrega de Anexo 1 alta, y Anexo 2 moderada, así como razones de tiempos de adquisición cortas (3.46).</w:t>
      </w:r>
    </w:p>
    <w:p>
      <w:pPr>
        <w:numPr>
          <w:ilvl w:val="0"/>
          <w:numId w:val="1018"/>
        </w:numPr>
      </w:pPr>
      <w:r>
        <w:t xml:space="preserve">Grupo 8: cuenta con Valle del Cauca y Santander que se consideran como FRE de alta complejidad en promedio 453 inscritos y un uso completo del portafolio. Estos FRE con una proporción de ventas a través de FRE de 0.871, y un cumplimiento muy bajo en la entrega del Anexo 2 (en promedio 0).</w:t>
      </w:r>
    </w:p>
    <w:p>
      <w:pPr>
        <w:pStyle w:val="FirstParagraph"/>
      </w:pPr>
      <w:r>
        <w:t xml:space="preserve">Se concluye que la agrupación de los FRE se puede realizar por factores relacionados a la magnitud de las necesidades de los inscritos en el departamento (complejidad) pero también de acuerdo a factores relacionados a indicadores de gestión, a continuación se resumen las características principales de los grupos, de acuerdo a la complejidad:</w:t>
      </w:r>
    </w:p>
    <w:p>
      <w:pPr>
        <w:numPr>
          <w:ilvl w:val="0"/>
          <w:numId w:val="1019"/>
        </w:numPr>
      </w:pPr>
      <w:r>
        <w:rPr>
          <w:bCs/>
          <w:b/>
        </w:rPr>
        <w:t xml:space="preserve">FRE de alta complejidad</w:t>
      </w:r>
      <w:r>
        <w:t xml:space="preserve"> </w:t>
      </w:r>
      <w:r>
        <w:t xml:space="preserve">se tienen a los grupos 2 (Antioquia) y 8. Los FRE pertenecientes al grupo 8 (p.ej. Valle del Cauca) tienen algunos indicadores de gestión con un valor bajo, mientras que el Antioquia tiene todos los indicadores de gestión en valores óptimos.</w:t>
      </w:r>
    </w:p>
    <w:p>
      <w:pPr>
        <w:numPr>
          <w:ilvl w:val="0"/>
          <w:numId w:val="1019"/>
        </w:numPr>
      </w:pPr>
      <w:r>
        <w:rPr>
          <w:bCs/>
          <w:b/>
        </w:rPr>
        <w:t xml:space="preserve">FRE de mediana complejidad</w:t>
      </w:r>
      <w:r>
        <w:t xml:space="preserve"> </w:t>
      </w:r>
      <w:r>
        <w:t xml:space="preserve">se tienen a los grupos 1, 3, 4, y 5. Los FRE en el grupo 3 (p.ej Atlántico) tienen indicadores de gestión en valores altos, mientras que el grupo 1 (p.ej Huila) cuenta con un cumplimiento bajo en la entrega del Anexo 1. El grupo 4 (p.ej Córdoba) se caracteriza por tener inexistencia de recetarios en circulación en el departamento, y el grupo 5 (p.ej Meta) tiene FRE que presentan una proporción alta de compras mediante el canal de compra directa.</w:t>
      </w:r>
    </w:p>
    <w:p>
      <w:pPr>
        <w:numPr>
          <w:ilvl w:val="0"/>
          <w:numId w:val="1019"/>
        </w:numPr>
      </w:pPr>
      <w:r>
        <w:rPr>
          <w:bCs/>
          <w:b/>
        </w:rPr>
        <w:t xml:space="preserve">FRE de baja complejidad</w:t>
      </w:r>
      <w:r>
        <w:t xml:space="preserve"> </w:t>
      </w:r>
      <w:r>
        <w:t xml:space="preserve">se tienen a los grupos 6 (sólo Guainía) y 7 estos grupos tienen características de indicadores de gestión parecidas, sin embargo Guainía tiene una proporción de ventas reportadas por el FRE baja en comparación con compra directa debido a lo cual se separa en un grupo diferente.</w:t>
      </w:r>
    </w:p>
    <w:p>
      <w:pPr>
        <w:pStyle w:val="FirstParagraph"/>
      </w:pPr>
      <w:r>
        <w:t xml:space="preserve">Las variables de presupuesto y número de inscritos, reflejan la asignación de recurso económico en cada región para la partida presupuestal en temas de salud de cada territorio. Esta asignación es un condicionante de la capacidad que tienen los FRE para disponer de infraestructura tecnológica y recurso humano suficiente, para que el ente territorial pueda cumplir con todas sus funciones. El número de inscritos en cada territorio también refleja la interacción entre oferta y demanda de MME en cada región, la cual debe ser satisfecha por el FRE.</w:t>
      </w:r>
    </w:p>
    <w:p>
      <w:pPr>
        <w:pStyle w:val="BodyText"/>
      </w:pPr>
      <w:r>
        <w:t xml:space="preserve">La variable de proporción de adquisición de MME indica el número de MME distintos ofertados por el FRE en su territorio, relativo al tamaño de portafolio general de MME presentado por el FNE. A partir de esto, se determina de manera indirecta, la capacidad de manejo de portafolio que tiene un FRE. Esta variable se relaciona también con la carga de enfermedad, especialistas disponibles, complejidad de las instituciones prestadoras de salud en el departamento y el conocimiento a profundidad del portafolio de medicamentos que ofrece el FNE por partes de los prescriptores.</w:t>
      </w:r>
    </w:p>
    <w:p>
      <w:pPr>
        <w:pStyle w:val="BodyText"/>
      </w:pPr>
      <w:r>
        <w:t xml:space="preserve">Otra variable importante en este análisis es la variable referente a la proporción de compras del FNE relativo a las compras totales provenientes del departamento (FRE más compra directa). Esta variable es un indicador de gestión administrativa importante para el FRE ya que este debería poder suplir la demanda de los inscritos en el departamento y sólo de manera excepcional estos inscritos deberían utilizar las compras directas al FNE. Un nivel bajo de este indicador podría estar causado por problemas en la proyección de compra por parte del FRE o la presentación de</w:t>
      </w:r>
      <w:r>
        <w:t xml:space="preserve"> </w:t>
      </w:r>
      <w:r>
        <w:rPr>
          <w:iCs/>
          <w:i/>
        </w:rPr>
        <w:t xml:space="preserve">cuellos de botella</w:t>
      </w:r>
      <w:r>
        <w:t xml:space="preserve"> </w:t>
      </w:r>
      <w:r>
        <w:t xml:space="preserve">administrativos que impidan el reabastecimiento adecuado de MME.</w:t>
      </w:r>
    </w:p>
    <w:p>
      <w:pPr>
        <w:pStyle w:val="BodyText"/>
      </w:pPr>
      <w:r>
        <w:t xml:space="preserve">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Por último, se utilizó la variable de razón de tiempo de adquisición de recetarios como una medida para evaluar la eficacia del proceso de adquisición de estos productos. Esta variable se ve afectada por la demora en los tiempos de procesos precontractuales, contractuales y los tiempos de fabricación dependientes del contratista. Este indicador tiene una formulación diferente al resto ya que si la razón de tiempo de adquisición es menor se tiene un proceso más eficaz. No se utilizaron variables de tiempos de adquisición de medicamentos MME debido a que no todos los departamentos brindaron información al respecto.</w:t>
      </w:r>
    </w:p>
    <w:p>
      <w:pPr>
        <w:pStyle w:val="BodyText"/>
      </w:pPr>
      <w:r>
        <w:t xml:space="preserve">Como se observó en el círculo de correlación en la Figura</w:t>
      </w:r>
      <w:r>
        <w:t xml:space="preserve"> </w:t>
      </w:r>
      <w:r>
        <w:t xml:space="preserve">4.11</w:t>
      </w:r>
      <w:r>
        <w:t xml:space="preserve"> </w:t>
      </w:r>
      <w:r>
        <w:t xml:space="preserve">las variables relacionadas a la complejidad tenían una correlación alta por lo cual no se espera que brinden información diferente una de la otra para la clasificación. Se tiene que estas variables son las que tienen la mayor variabilidad y por ende son las más utilizadas por el método de clusterización. Las variables relacionadas a indicadores de gestión también fueron útiles para la separación de los departamentos en grupos y permitieron diagnosticar las capacidades de los FRE de acuerdo a factores de distribución medicamentos, entrega de informes y duración de procesos de adquisición.</w:t>
      </w:r>
    </w:p>
    <w:p>
      <w:pPr>
        <w:pStyle w:val="BodyText"/>
      </w:pPr>
      <w:r>
        <w:t xml:space="preserve">Por todo esto se demuestra que el método de clasificación mediante análisis por clúster permite encontrar ciertas características en los FRE que permiten direccionar intervenciones por parte del FNE para mejorar algunos indicadores de gestión. Si bien la clasificación omite algunos criterios de alta relevancia la metodología tiene utilidad para evidenciar el impacto que tiene el nivel de los indicadores en los FRE.</w:t>
      </w:r>
    </w:p>
    <w:bookmarkEnd w:id="59"/>
    <w:bookmarkEnd w:id="60"/>
    <w:bookmarkEnd w:id="61"/>
    <w:bookmarkStart w:id="122"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13</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8" w:name="existencia-de-recetarios"/>
    <w:p>
      <w:pPr>
        <w:pStyle w:val="Heading2"/>
      </w:pPr>
      <w:r>
        <w:rPr>
          <w:rStyle w:val="SectionNumber"/>
        </w:rPr>
        <w:t xml:space="preserve">5.1</w:t>
      </w:r>
      <w:r>
        <w:tab/>
      </w:r>
      <w:r>
        <w:t xml:space="preserve">Existencia de recetarios</w:t>
      </w:r>
    </w:p>
    <w:bookmarkStart w:id="64"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 con los FRE del país, se pudo determinar la cantidad de recetarios oficiales con los que cuentan entre los meses de junio a septiembre. Así pues, en la Figura</w:t>
      </w:r>
      <w:r>
        <w:t xml:space="preserve"> </w:t>
      </w:r>
      <w:r>
        <w:t xml:space="preserve">5.1</w:t>
      </w:r>
      <w:r>
        <w:t xml:space="preserve">A, se observa la tendencia de los departamentos más distantes de la capital de la nación, a presentar menores existencias de recetarios oficiales.</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63" w:name="fig13"/>
      <w:r>
        <w:t xml:space="preserve">Figure </w:t>
      </w:r>
      <w:fldSimple w:instr="SEQ Figure \* ARABIC ">
        <w:r>
          <w:t>13</w:t>
        </w:r>
      </w:fldSimple>
      <w:r>
        <w:t xml:space="preserve">:</w:t>
      </w:r>
      <w:r>
        <w:t xml:space="preserve"> </w:t>
      </w:r>
      <w:bookmarkEnd w:id="63"/>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64"/>
    <w:bookmarkStart w:id="67"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6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6" w:name="fig14"/>
      <w:r>
        <w:t xml:space="preserve">Figure </w:t>
      </w:r>
      <w:fldSimple w:instr="SEQ Figure \* ARABIC ">
        <w:r>
          <w:t>14</w:t>
        </w:r>
      </w:fldSimple>
      <w:r>
        <w:t xml:space="preserve">:</w:t>
      </w:r>
      <w:r>
        <w:t xml:space="preserve"> </w:t>
      </w:r>
      <w:bookmarkEnd w:id="66"/>
      <w:r>
        <w:t xml:space="preserve">Figura 5.2: N.° de recetarios circulantes en el departamento.</w:t>
      </w:r>
    </w:p>
    <w:bookmarkEnd w:id="67"/>
    <w:bookmarkEnd w:id="68"/>
    <w:bookmarkStart w:id="80" w:name="costos-de-recetarios"/>
    <w:p>
      <w:pPr>
        <w:pStyle w:val="Heading2"/>
      </w:pPr>
      <w:r>
        <w:rPr>
          <w:rStyle w:val="SectionNumber"/>
        </w:rPr>
        <w:t xml:space="preserve">5.2</w:t>
      </w:r>
      <w:r>
        <w:tab/>
      </w:r>
      <w:r>
        <w:t xml:space="preserve">Costos de recetarios</w:t>
      </w:r>
    </w:p>
    <w:bookmarkStart w:id="73"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15"/>
      <w:r>
        <w:t xml:space="preserve">Figure </w:t>
      </w:r>
      <w:fldSimple w:instr="SEQ Figure \* ARABIC ">
        <w:r>
          <w:t>15</w:t>
        </w:r>
      </w:fldSimple>
      <w:r>
        <w:t xml:space="preserve">:</w:t>
      </w:r>
      <w:r>
        <w:t xml:space="preserve"> </w:t>
      </w:r>
      <w:bookmarkEnd w:id="70"/>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6"/>
      <w:r>
        <w:t xml:space="preserve">Figure </w:t>
      </w:r>
      <w:fldSimple w:instr="SEQ Figure \* ARABIC ">
        <w:r>
          <w:t>16</w:t>
        </w:r>
      </w:fldSimple>
      <w:r>
        <w:t xml:space="preserve">:</w:t>
      </w:r>
      <w:r>
        <w:t xml:space="preserve"> </w:t>
      </w:r>
      <w:bookmarkEnd w:id="72"/>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73"/>
    <w:bookmarkStart w:id="76"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20"/>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14</w:t>
        </w:r>
      </w:hyperlink>
      <w:r>
        <w:t xml:space="preserve">.</w:t>
      </w:r>
    </w:p>
    <w:p>
      <w:pPr>
        <w:numPr>
          <w:ilvl w:val="0"/>
          <w:numId w:val="1020"/>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14</w:t>
        </w:r>
      </w:hyperlink>
      <w:r>
        <w:t xml:space="preserve">.</w:t>
      </w:r>
    </w:p>
    <w:p>
      <w:pPr>
        <w:numPr>
          <w:ilvl w:val="0"/>
          <w:numId w:val="1020"/>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14</w:t>
        </w:r>
      </w:hyperlink>
      <w:r>
        <w:t xml:space="preserve">.</w:t>
      </w:r>
    </w:p>
    <w:p>
      <w:pPr>
        <w:numPr>
          <w:ilvl w:val="0"/>
          <w:numId w:val="1020"/>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15</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21"/>
        </w:numPr>
      </w:pPr>
      <w:r>
        <w:t xml:space="preserve">número de prescripciones en el recetario (variable continua).</w:t>
      </w:r>
    </w:p>
    <w:p>
      <w:pPr>
        <w:numPr>
          <w:ilvl w:val="0"/>
          <w:numId w:val="1021"/>
        </w:numPr>
      </w:pPr>
      <w:r>
        <w:t xml:space="preserve">número de medidas de seguridad implementadas en el recetario (variable continua).</w:t>
      </w:r>
    </w:p>
    <w:p>
      <w:pPr>
        <w:numPr>
          <w:ilvl w:val="0"/>
          <w:numId w:val="1021"/>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7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5" w:name="fig17"/>
      <w:r>
        <w:t xml:space="preserve">Figure </w:t>
      </w:r>
      <w:fldSimple w:instr="SEQ Figure \* ARABIC ">
        <w:r>
          <w:t>17</w:t>
        </w:r>
      </w:fldSimple>
      <w:r>
        <w:t xml:space="preserve">:</w:t>
      </w:r>
      <w:r>
        <w:t xml:space="preserve"> </w:t>
      </w:r>
      <w:bookmarkEnd w:id="75"/>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76"/>
    <w:bookmarkStart w:id="79"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8" w:name="fig18"/>
      <w:r>
        <w:t xml:space="preserve">Figure </w:t>
      </w:r>
      <w:fldSimple w:instr="SEQ Figure \* ARABIC ">
        <w:r>
          <w:t>18</w:t>
        </w:r>
      </w:fldSimple>
      <w:r>
        <w:t xml:space="preserve">:</w:t>
      </w:r>
      <w:r>
        <w:t xml:space="preserve"> </w:t>
      </w:r>
      <w:bookmarkEnd w:id="78"/>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9"/>
    <w:bookmarkEnd w:id="80"/>
    <w:bookmarkStart w:id="89" w:name="adquisición-de-recetarios"/>
    <w:p>
      <w:pPr>
        <w:pStyle w:val="Heading2"/>
      </w:pPr>
      <w:r>
        <w:rPr>
          <w:rStyle w:val="SectionNumber"/>
        </w:rPr>
        <w:t xml:space="preserve">5.3</w:t>
      </w:r>
      <w:r>
        <w:tab/>
      </w:r>
      <w:r>
        <w:t xml:space="preserve">Adquisición de recetarios</w:t>
      </w:r>
    </w:p>
    <w:bookmarkStart w:id="85"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2" w:name="fig19"/>
      <w:r>
        <w:t xml:space="preserve">Figure </w:t>
      </w:r>
      <w:fldSimple w:instr="SEQ Figure \* ARABIC ">
        <w:r>
          <w:t>19</w:t>
        </w:r>
      </w:fldSimple>
      <w:r>
        <w:t xml:space="preserve">:</w:t>
      </w:r>
      <w:r>
        <w:t xml:space="preserve"> </w:t>
      </w:r>
      <w:bookmarkEnd w:id="82"/>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83"/>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84" w:name="fig20"/>
      <w:r>
        <w:t xml:space="preserve">Figure </w:t>
      </w:r>
      <w:fldSimple w:instr="SEQ Figure \* ARABIC ">
        <w:r>
          <w:t>20</w:t>
        </w:r>
      </w:fldSimple>
      <w:r>
        <w:t xml:space="preserve">:</w:t>
      </w:r>
      <w:r>
        <w:t xml:space="preserve"> </w:t>
      </w:r>
      <w:bookmarkEnd w:id="84"/>
      <w:r>
        <w:t xml:space="preserve">Figura 5.8: Proceso de contratación/licitación de los recetarios oficiales.</w:t>
      </w:r>
    </w:p>
    <w:bookmarkEnd w:id="85"/>
    <w:bookmarkStart w:id="88"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1"/>
      <w:r>
        <w:t xml:space="preserve">Figure </w:t>
      </w:r>
      <w:fldSimple w:instr="SEQ Figure \* ARABIC ">
        <w:r>
          <w:t>21</w:t>
        </w:r>
      </w:fldSimple>
      <w:r>
        <w:t xml:space="preserve">:</w:t>
      </w:r>
      <w:r>
        <w:t xml:space="preserve"> </w:t>
      </w:r>
      <w:bookmarkEnd w:id="87"/>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8"/>
    <w:bookmarkEnd w:id="89"/>
    <w:bookmarkStart w:id="108" w:name="procesos-relacionados-a-los-recetarios"/>
    <w:p>
      <w:pPr>
        <w:pStyle w:val="Heading2"/>
      </w:pPr>
      <w:r>
        <w:rPr>
          <w:rStyle w:val="SectionNumber"/>
        </w:rPr>
        <w:t xml:space="preserve">5.4</w:t>
      </w:r>
      <w:r>
        <w:tab/>
      </w:r>
      <w:r>
        <w:t xml:space="preserve">Procesos relacionados a los recetarios</w:t>
      </w:r>
    </w:p>
    <w:bookmarkStart w:id="92"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1" w:name="fig22"/>
      <w:r>
        <w:t xml:space="preserve">Figure </w:t>
      </w:r>
      <w:fldSimple w:instr="SEQ Figure \* ARABIC ">
        <w:r>
          <w:t>22</w:t>
        </w:r>
      </w:fldSimple>
      <w:r>
        <w:t xml:space="preserve">:</w:t>
      </w:r>
      <w:r>
        <w:t xml:space="preserve"> </w:t>
      </w:r>
      <w:bookmarkEnd w:id="91"/>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92"/>
    <w:bookmarkStart w:id="97"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93"/>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94" w:name="fig23"/>
      <w:r>
        <w:t xml:space="preserve">Figure </w:t>
      </w:r>
      <w:fldSimple w:instr="SEQ Figure \* ARABIC ">
        <w:r>
          <w:t>23</w:t>
        </w:r>
      </w:fldSimple>
      <w:r>
        <w:t xml:space="preserve">:</w:t>
      </w:r>
      <w:r>
        <w:t xml:space="preserve"> </w:t>
      </w:r>
      <w:bookmarkEnd w:id="94"/>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6" w:name="fig24"/>
      <w:r>
        <w:t xml:space="preserve">Figure </w:t>
      </w:r>
      <w:fldSimple w:instr="SEQ Figure \* ARABIC ">
        <w:r>
          <w:t>24</w:t>
        </w:r>
      </w:fldSimple>
      <w:r>
        <w:t xml:space="preserve">:</w:t>
      </w:r>
      <w:r>
        <w:t xml:space="preserve"> </w:t>
      </w:r>
      <w:bookmarkEnd w:id="96"/>
      <w:r>
        <w:t xml:space="preserve">Figura 5.12: Tiempo de demora en la venta de recetarios oficiales a clientes.</w:t>
      </w:r>
    </w:p>
    <w:bookmarkEnd w:id="97"/>
    <w:bookmarkStart w:id="102"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22"/>
        </w:numPr>
      </w:pPr>
      <w:r>
        <w:t xml:space="preserve">Datos básicos de las entidades y prescriptores inscritos en el FRE.</w:t>
      </w:r>
    </w:p>
    <w:p>
      <w:pPr>
        <w:numPr>
          <w:ilvl w:val="0"/>
          <w:numId w:val="1022"/>
        </w:numPr>
      </w:pPr>
      <w:r>
        <w:t xml:space="preserve">Unidades consumidas y su respectivo valor.</w:t>
      </w:r>
    </w:p>
    <w:p>
      <w:pPr>
        <w:numPr>
          <w:ilvl w:val="0"/>
          <w:numId w:val="1022"/>
        </w:numPr>
      </w:pPr>
      <w:r>
        <w:t xml:space="preserve">Datos de identificación de los recetarios.</w:t>
      </w:r>
    </w:p>
    <w:p>
      <w:pPr>
        <w:numPr>
          <w:ilvl w:val="0"/>
          <w:numId w:val="1022"/>
        </w:numPr>
      </w:pPr>
      <w:r>
        <w:t xml:space="preserve">Número de talonarios que se distribuyen en los respectivos departamentos.</w:t>
      </w:r>
    </w:p>
    <w:p>
      <w:pPr>
        <w:pStyle w:val="CaptionedFigure"/>
      </w:pPr>
      <w:r>
        <w:drawing>
          <wp:inline>
            <wp:extent cx="5334000" cy="2667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9" w:name="fig25"/>
      <w:r>
        <w:t xml:space="preserve">Figure </w:t>
      </w:r>
      <w:fldSimple w:instr="SEQ Figure \* ARABIC ">
        <w:r>
          <w:t>25</w:t>
        </w:r>
      </w:fldSimple>
      <w:r>
        <w:t xml:space="preserve">:</w:t>
      </w:r>
      <w:r>
        <w:t xml:space="preserve"> </w:t>
      </w:r>
      <w:bookmarkEnd w:id="99"/>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23"/>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23"/>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2930921"/>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100"/>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01" w:name="fig26"/>
      <w:r>
        <w:t xml:space="preserve">Figure </w:t>
      </w:r>
      <w:fldSimple w:instr="SEQ Figure \* ARABIC ">
        <w:r>
          <w:t>26</w:t>
        </w:r>
      </w:fldSimple>
      <w:r>
        <w:t xml:space="preserve">:</w:t>
      </w:r>
      <w:r>
        <w:t xml:space="preserve"> </w:t>
      </w:r>
      <w:bookmarkEnd w:id="101"/>
      <w:r>
        <w:t xml:space="preserve">Figura 5.14: Actividades realizadas por el FRE para el seguimiento del uso de recetarios.</w:t>
      </w:r>
    </w:p>
    <w:bookmarkEnd w:id="102"/>
    <w:bookmarkStart w:id="107"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16</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11 FRE los almacenan por un período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198812"/>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103"/>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104" w:name="fig27"/>
      <w:r>
        <w:t xml:space="preserve">Figure </w:t>
      </w:r>
      <w:fldSimple w:instr="SEQ Figure \* ARABIC ">
        <w:r>
          <w:t>27</w:t>
        </w:r>
      </w:fldSimple>
      <w:r>
        <w:t xml:space="preserve">:</w:t>
      </w:r>
      <w:r>
        <w:t xml:space="preserve"> </w:t>
      </w:r>
      <w:bookmarkEnd w:id="104"/>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17</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16</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28"/>
      <w:r>
        <w:t xml:space="preserve">Figure </w:t>
      </w:r>
      <w:fldSimple w:instr="SEQ Figure \* ARABIC ">
        <w:r>
          <w:t>28</w:t>
        </w:r>
      </w:fldSimple>
      <w:r>
        <w:t xml:space="preserve">:</w:t>
      </w:r>
      <w:r>
        <w:t xml:space="preserve"> </w:t>
      </w:r>
      <w:bookmarkEnd w:id="106"/>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7"/>
    <w:bookmarkEnd w:id="108"/>
    <w:bookmarkStart w:id="117" w:name="características-de-los-recetarios"/>
    <w:p>
      <w:pPr>
        <w:pStyle w:val="Heading2"/>
      </w:pPr>
      <w:r>
        <w:rPr>
          <w:rStyle w:val="SectionNumber"/>
        </w:rPr>
        <w:t xml:space="preserve">5.5</w:t>
      </w:r>
      <w:r>
        <w:tab/>
      </w:r>
      <w:r>
        <w:t xml:space="preserve">Características de los recetarios</w:t>
      </w:r>
    </w:p>
    <w:bookmarkStart w:id="111"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29"/>
      <w:r>
        <w:t xml:space="preserve">Figure </w:t>
      </w:r>
      <w:fldSimple w:instr="SEQ Figure \* ARABIC ">
        <w:r>
          <w:t>29</w:t>
        </w:r>
      </w:fldSimple>
      <w:r>
        <w:t xml:space="preserve">:</w:t>
      </w:r>
      <w:r>
        <w:t xml:space="preserve"> </w:t>
      </w:r>
      <w:bookmarkEnd w:id="110"/>
      <w:r>
        <w:t xml:space="preserve">Figura 5.17: N.° de prescripciones por recetario.</w:t>
      </w:r>
    </w:p>
    <w:bookmarkEnd w:id="111"/>
    <w:bookmarkStart w:id="116"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reportadas por los FRE."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0"/>
      <w:r>
        <w:t xml:space="preserve">Figure </w:t>
      </w:r>
      <w:fldSimple w:instr="SEQ Figure \* ARABIC ">
        <w:r>
          <w:t>30</w:t>
        </w:r>
      </w:fldSimple>
      <w:r>
        <w:t xml:space="preserve">:</w:t>
      </w:r>
      <w:r>
        <w:t xml:space="preserve"> </w:t>
      </w:r>
      <w:bookmarkEnd w:id="113"/>
      <w:r>
        <w:t xml:space="preserve">Figura 5.18: Medidas de seguridad en los recetarios reportadas por los FRE.</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24"/>
        </w:numPr>
      </w:pPr>
      <w:r>
        <w:t xml:space="preserve">Tintas invisibles o fluorescentes que brillan al estar frente a la luz UV.</w:t>
      </w:r>
    </w:p>
    <w:p>
      <w:pPr>
        <w:numPr>
          <w:ilvl w:val="0"/>
          <w:numId w:val="1024"/>
        </w:numPr>
      </w:pPr>
      <w:r>
        <w:t xml:space="preserve">Microletras/microtextos, los cuales están inmersos en cada folio del recetario donde se describe para quien va cada copia.</w:t>
      </w:r>
    </w:p>
    <w:p>
      <w:pPr>
        <w:numPr>
          <w:ilvl w:val="0"/>
          <w:numId w:val="1024"/>
        </w:numPr>
      </w:pPr>
      <w:r>
        <w:t xml:space="preserve">Relieves o laminados observados en la copia original de los recetarios.</w:t>
      </w:r>
    </w:p>
    <w:p>
      <w:pPr>
        <w:numPr>
          <w:ilvl w:val="0"/>
          <w:numId w:val="1024"/>
        </w:numPr>
      </w:pPr>
      <w:r>
        <w:t xml:space="preserve">Filamentos o bandas de seguridad tecnología similar a los billetes.</w:t>
      </w:r>
    </w:p>
    <w:p>
      <w:pPr>
        <w:numPr>
          <w:ilvl w:val="0"/>
          <w:numId w:val="1024"/>
        </w:numPr>
      </w:pPr>
      <w:r>
        <w:t xml:space="preserve">Pruebas reactivo metal, que consisten en raspar un espacio determinado del recetario con un metal o moneda desde la página original del mismo y automáticamente los folios continuos se marcarán.</w:t>
      </w:r>
    </w:p>
    <w:p>
      <w:pPr>
        <w:numPr>
          <w:ilvl w:val="0"/>
          <w:numId w:val="1024"/>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16"/>
    <w:bookmarkEnd w:id="117"/>
    <w:bookmarkStart w:id="121"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18</w:t>
        </w:r>
      </w:hyperlink>
      <w:r>
        <w:t xml:space="preserve">.</w:t>
      </w:r>
    </w:p>
    <w:bookmarkStart w:id="120"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2"/>
      <w:r>
        <w:t xml:space="preserve">Figure </w:t>
      </w:r>
      <w:fldSimple w:instr="SEQ Figure \* ARABIC ">
        <w:r>
          <w:t>32</w:t>
        </w:r>
      </w:fldSimple>
      <w:r>
        <w:t xml:space="preserve">:</w:t>
      </w:r>
      <w:r>
        <w:t xml:space="preserve"> </w:t>
      </w:r>
      <w:bookmarkEnd w:id="119"/>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20"/>
    <w:bookmarkEnd w:id="121"/>
    <w:bookmarkEnd w:id="122"/>
    <w:bookmarkStart w:id="182"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19</w:t>
        </w:r>
      </w:hyperlink>
      <w:r>
        <w:t xml:space="preserve"> </w:t>
      </w:r>
      <w:r>
        <w:t xml:space="preserve">y la Resolución 940 de 2007</w:t>
      </w:r>
      <w:hyperlink w:anchor="ref-MSPS940-2007">
        <w:r>
          <w:rPr>
            <w:rStyle w:val="Hyperlink"/>
            <w:vertAlign w:val="superscript"/>
          </w:rPr>
          <w:t xml:space="preserve">20</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 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21</w:t>
        </w:r>
      </w:hyperlink>
      <w:r>
        <w:rPr>
          <w:vertAlign w:val="superscript"/>
        </w:rPr>
        <w:t xml:space="preserve">,</w:t>
      </w:r>
      <w:hyperlink w:anchor="ref-MSPS2021b">
        <w:r>
          <w:rPr>
            <w:rStyle w:val="Hyperlink"/>
            <w:vertAlign w:val="superscript"/>
          </w:rPr>
          <w:t xml:space="preserve">22</w:t>
        </w:r>
      </w:hyperlink>
      <w:r>
        <w:t xml:space="preserve">.</w:t>
      </w:r>
    </w:p>
    <w:p>
      <w:pPr>
        <w:pStyle w:val="BodyText"/>
      </w:pPr>
      <w:r>
        <w:t xml:space="preserve">Tabla 6.1: Listado del Portafolio Medicamentos Monopolio del Estado disponibles a 3 de diciembre de 2020.</w:t>
      </w:r>
    </w:p>
    <w:p>
      <w:pPr>
        <w:pStyle w:val="BodyText"/>
      </w:pPr>
      <w:r>
        <w:t xml:space="preserve">Producto</w:t>
      </w:r>
    </w:p>
    <w:p>
      <w:pPr>
        <w:pStyle w:val="BodyText"/>
      </w:pPr>
      <w:r>
        <w:t xml:space="preserve">Presentación</w:t>
      </w:r>
    </w:p>
    <w:p>
      <w:pPr>
        <w:pStyle w:val="BodyText"/>
      </w:pPr>
      <w:r>
        <w:t xml:space="preserve">Fenobarbital Sol Oral 0,4%</w:t>
      </w:r>
    </w:p>
    <w:p>
      <w:pPr>
        <w:pStyle w:val="BodyText"/>
      </w:pPr>
      <w:r>
        <w:t xml:space="preserve">Frasco</w:t>
      </w:r>
    </w:p>
    <w:p>
      <w:pPr>
        <w:pStyle w:val="BodyText"/>
      </w:pPr>
      <w:r>
        <w:t xml:space="preserve">Fenobarbital 10 mg</w:t>
      </w:r>
    </w:p>
    <w:p>
      <w:pPr>
        <w:pStyle w:val="BodyText"/>
      </w:pPr>
      <w:r>
        <w:t xml:space="preserve">Caja 30 tabletas</w:t>
      </w:r>
    </w:p>
    <w:p>
      <w:pPr>
        <w:pStyle w:val="BodyText"/>
      </w:pPr>
      <w:r>
        <w:t xml:space="preserve">Fenobarbital 50 mg</w:t>
      </w:r>
    </w:p>
    <w:p>
      <w:pPr>
        <w:pStyle w:val="BodyText"/>
      </w:pPr>
      <w:r>
        <w:t xml:space="preserve">Caja 30 tabletas</w:t>
      </w:r>
    </w:p>
    <w:p>
      <w:pPr>
        <w:pStyle w:val="BodyText"/>
      </w:pPr>
      <w:r>
        <w:t xml:space="preserve">Fenobarbital 100 mg</w:t>
      </w:r>
    </w:p>
    <w:p>
      <w:pPr>
        <w:pStyle w:val="BodyText"/>
      </w:pPr>
      <w:r>
        <w:t xml:space="preserve">Caja 30 tabletas</w:t>
      </w:r>
    </w:p>
    <w:p>
      <w:pPr>
        <w:pStyle w:val="BodyText"/>
      </w:pPr>
      <w:r>
        <w:t xml:space="preserve">Fenobarbital 40 mg</w:t>
      </w:r>
    </w:p>
    <w:p>
      <w:pPr>
        <w:pStyle w:val="BodyText"/>
      </w:pPr>
      <w:r>
        <w:t xml:space="preserve">Caja 10 ampollas</w:t>
      </w:r>
    </w:p>
    <w:p>
      <w:pPr>
        <w:pStyle w:val="BodyText"/>
      </w:pPr>
      <w:r>
        <w:t xml:space="preserve">Fenobarbital 200 mg</w:t>
      </w:r>
    </w:p>
    <w:p>
      <w:pPr>
        <w:pStyle w:val="BodyText"/>
      </w:pPr>
      <w:r>
        <w:t xml:space="preserve">Caja 10 ampollas</w:t>
      </w:r>
    </w:p>
    <w:p>
      <w:pPr>
        <w:pStyle w:val="BodyText"/>
      </w:pPr>
      <w:r>
        <w:t xml:space="preserve">Hidromorfona HCL 2 mg</w:t>
      </w:r>
    </w:p>
    <w:p>
      <w:pPr>
        <w:pStyle w:val="BodyText"/>
      </w:pPr>
      <w:r>
        <w:t xml:space="preserve">Caja 10 ampollas</w:t>
      </w:r>
    </w:p>
    <w:p>
      <w:pPr>
        <w:pStyle w:val="BodyText"/>
      </w:pPr>
      <w:r>
        <w:t xml:space="preserve">Hidromorfona HCL 2.5 mg</w:t>
      </w:r>
    </w:p>
    <w:p>
      <w:pPr>
        <w:pStyle w:val="BodyText"/>
      </w:pPr>
      <w:r>
        <w:t xml:space="preserve">Caja 20 tabletas</w:t>
      </w:r>
    </w:p>
    <w:p>
      <w:pPr>
        <w:pStyle w:val="BodyText"/>
      </w:pPr>
      <w:r>
        <w:t xml:space="preserve">Meperidina HCL 100 mg</w:t>
      </w:r>
    </w:p>
    <w:p>
      <w:pPr>
        <w:pStyle w:val="BodyText"/>
      </w:pPr>
      <w:r>
        <w:t xml:space="preserve">Caja 10 ampollas</w:t>
      </w:r>
    </w:p>
    <w:p>
      <w:pPr>
        <w:pStyle w:val="BodyText"/>
      </w:pPr>
      <w:r>
        <w:t xml:space="preserve">Morfina HCL 10 mg</w:t>
      </w:r>
    </w:p>
    <w:p>
      <w:pPr>
        <w:pStyle w:val="BodyText"/>
      </w:pPr>
      <w:r>
        <w:t xml:space="preserve">Caja 10 ampollas</w:t>
      </w:r>
    </w:p>
    <w:p>
      <w:pPr>
        <w:pStyle w:val="BodyText"/>
      </w:pPr>
      <w:r>
        <w:t xml:space="preserve">Morfina Solución Oral</w:t>
      </w:r>
    </w:p>
    <w:p>
      <w:pPr>
        <w:pStyle w:val="BodyText"/>
      </w:pPr>
      <w:r>
        <w:t xml:space="preserve">Frasco</w:t>
      </w:r>
    </w:p>
    <w:p>
      <w:pPr>
        <w:pStyle w:val="BodyText"/>
      </w:pPr>
      <w:r>
        <w:t xml:space="preserve">Primidona 250 mg Tabletas</w:t>
      </w:r>
    </w:p>
    <w:p>
      <w:pPr>
        <w:pStyle w:val="BodyText"/>
      </w:pPr>
      <w:r>
        <w:t xml:space="preserve">Caja x 30 Tabletas</w:t>
      </w:r>
    </w:p>
    <w:p>
      <w:pPr>
        <w:pStyle w:val="BodyText"/>
      </w:pPr>
      <w:r>
        <w:t xml:space="preserve">Metadona HCL 10 mg</w:t>
      </w:r>
    </w:p>
    <w:p>
      <w:pPr>
        <w:pStyle w:val="BodyText"/>
      </w:pPr>
      <w:r>
        <w:t xml:space="preserve">Frasco 20 tabletas</w:t>
      </w:r>
    </w:p>
    <w:p>
      <w:pPr>
        <w:pStyle w:val="BodyText"/>
      </w:pPr>
      <w:r>
        <w:t xml:space="preserve">Metadona HCL 10 mg</w:t>
      </w:r>
    </w:p>
    <w:p>
      <w:pPr>
        <w:pStyle w:val="BodyText"/>
      </w:pPr>
      <w:r>
        <w:t xml:space="preserve">Caja 30 tabletas</w:t>
      </w:r>
    </w:p>
    <w:p>
      <w:pPr>
        <w:pStyle w:val="BodyText"/>
      </w:pPr>
      <w:r>
        <w:t xml:space="preserve">Metadona HCL 40 mg</w:t>
      </w:r>
    </w:p>
    <w:p>
      <w:pPr>
        <w:pStyle w:val="BodyText"/>
      </w:pPr>
      <w:r>
        <w:t xml:space="preserve">Frasco 20 tabletas</w:t>
      </w:r>
    </w:p>
    <w:p>
      <w:pPr>
        <w:pStyle w:val="BodyText"/>
      </w:pPr>
      <w:r>
        <w:t xml:space="preserve">Metadona HCL 40 mg</w:t>
      </w:r>
    </w:p>
    <w:p>
      <w:pPr>
        <w:pStyle w:val="BodyText"/>
      </w:pPr>
      <w:r>
        <w:t xml:space="preserve">Caja x 30 tab</w:t>
      </w:r>
    </w:p>
    <w:p>
      <w:pPr>
        <w:pStyle w:val="BodyText"/>
      </w:pPr>
      <w:r>
        <w:t xml:space="preserve">Metilfenidato HCL 10 mg</w:t>
      </w:r>
    </w:p>
    <w:p>
      <w:pPr>
        <w:pStyle w:val="BodyText"/>
      </w:pPr>
      <w:r>
        <w:t xml:space="preserve">Caja 30 tabletas</w:t>
      </w:r>
    </w:p>
    <w:p>
      <w:pPr>
        <w:pStyle w:val="BodyText"/>
      </w:pPr>
      <w:r>
        <w:t xml:space="preserve">Metilfenidato LA 30 mg</w:t>
      </w:r>
    </w:p>
    <w:p>
      <w:pPr>
        <w:pStyle w:val="BodyText"/>
      </w:pPr>
      <w:r>
        <w:t xml:space="preserve">Frasco 30 capsulas</w:t>
      </w:r>
    </w:p>
    <w:p>
      <w:pPr>
        <w:pStyle w:val="BodyText"/>
      </w:pPr>
      <w:r>
        <w:t xml:space="preserve">Metilfenidato 18 mg</w:t>
      </w:r>
    </w:p>
    <w:p>
      <w:pPr>
        <w:pStyle w:val="BodyText"/>
      </w:pPr>
      <w:r>
        <w:t xml:space="preserve">Frasco 30 tabletas</w:t>
      </w:r>
    </w:p>
    <w:p>
      <w:pPr>
        <w:pStyle w:val="BodyText"/>
      </w:pPr>
      <w:r>
        <w:t xml:space="preserve">Metilfenidato 36 mg</w:t>
      </w:r>
    </w:p>
    <w:p>
      <w:pPr>
        <w:pStyle w:val="BodyText"/>
      </w:pPr>
      <w:r>
        <w:t xml:space="preserve">Frasco 30 tabletas</w:t>
      </w:r>
    </w:p>
    <w:p>
      <w:pPr>
        <w:pStyle w:val="BodyText"/>
      </w:pPr>
      <w:r>
        <w:t xml:space="preserve">Hidrato de Cloral 10% Solución oral</w:t>
      </w:r>
    </w:p>
    <w:p>
      <w:pPr>
        <w:pStyle w:val="BodyText"/>
      </w:pPr>
      <w:r>
        <w:t xml:space="preserve">Frasco</w:t>
      </w:r>
    </w:p>
    <w:p>
      <w:pPr>
        <w:pStyle w:val="BodyText"/>
      </w:pPr>
      <w:r>
        <w:t xml:space="preserve">Morfina HCL 10 mg ampolla x 5 mL</w:t>
      </w:r>
    </w:p>
    <w:p>
      <w:pPr>
        <w:pStyle w:val="BodyText"/>
      </w:pPr>
      <w:r>
        <w:t xml:space="preserve">Caja 5 ampollas</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23</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24</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25</w:t>
        </w:r>
      </w:hyperlink>
      <w:r>
        <w:t xml:space="preserve">, o estatus convulsivo</w:t>
      </w:r>
      <w:hyperlink w:anchor="ref-VergaraAguilar2019">
        <w:r>
          <w:rPr>
            <w:rStyle w:val="Hyperlink"/>
            <w:vertAlign w:val="superscript"/>
          </w:rPr>
          <w:t xml:space="preserve">26</w:t>
        </w:r>
      </w:hyperlink>
      <w:r>
        <w:t xml:space="preserve">. La primidona cuenta con un espacio limitado en la terapia moderna de la epilepsia</w:t>
      </w:r>
      <w:hyperlink w:anchor="ref-Johannessen2020">
        <w:r>
          <w:rPr>
            <w:rStyle w:val="Hyperlink"/>
            <w:vertAlign w:val="superscript"/>
          </w:rPr>
          <w:t xml:space="preserve">27</w:t>
        </w:r>
      </w:hyperlink>
      <w:r>
        <w:t xml:space="preserve">, y algunos pacientes todavía requieren un suministro ininterrumpido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28</w:t>
        </w:r>
      </w:hyperlink>
      <w:r>
        <w:rPr>
          <w:vertAlign w:val="superscript"/>
        </w:rPr>
        <w:t xml:space="preserve">,</w:t>
      </w:r>
      <w:hyperlink w:anchor="ref-Llanos-Lizcanoa2019">
        <w:r>
          <w:rPr>
            <w:rStyle w:val="Hyperlink"/>
            <w:vertAlign w:val="superscript"/>
          </w:rPr>
          <w:t xml:space="preserve">29</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30</w:t>
        </w:r>
      </w:hyperlink>
      <w:r>
        <w:rPr>
          <w:vertAlign w:val="superscript"/>
        </w:rPr>
        <w:t xml:space="preserve">,</w:t>
      </w:r>
      <w:hyperlink w:anchor="ref-INVIMA2018-Desabast">
        <w:r>
          <w:rPr>
            <w:rStyle w:val="Hyperlink"/>
            <w:vertAlign w:val="superscript"/>
          </w:rPr>
          <w:t xml:space="preserve">31</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31</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32</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33</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33</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34</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34</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35</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36</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37</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32"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38</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39</w:t>
        </w:r>
      </w:hyperlink>
      <w:r>
        <w:t xml:space="preserve">:</w:t>
      </w:r>
    </w:p>
    <w:p>
      <w:pPr>
        <w:numPr>
          <w:ilvl w:val="0"/>
          <w:numId w:val="1025"/>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25"/>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25"/>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39</w:t>
        </w:r>
      </w:hyperlink>
      <w:r>
        <w:t xml:space="preserve">.</w:t>
      </w:r>
    </w:p>
    <w:bookmarkStart w:id="125"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35</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930921"/>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23"/>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25"/>
    <w:bookmarkStart w:id="128" w:name="Xd2635c1aee9393776b2f4d5e3ec9e6eb791c1bf"/>
    <w:p>
      <w:pPr>
        <w:pStyle w:val="Heading3"/>
      </w:pPr>
      <w:r>
        <w:rPr>
          <w:rStyle w:val="SectionNumber"/>
        </w:rPr>
        <w:t xml:space="preserve">6.1.2</w:t>
      </w:r>
      <w:r>
        <w:tab/>
      </w:r>
      <w:r>
        <w:t xml:space="preserve">Comportamiento de compra de MME por parte del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35</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4"/>
      <w:r>
        <w:t xml:space="preserve">Figure </w:t>
      </w:r>
      <w:fldSimple w:instr="SEQ Figure \* ARABIC ">
        <w:r>
          <w:t>34</w:t>
        </w:r>
      </w:fldSimple>
      <w:r>
        <w:t xml:space="preserve">:</w:t>
      </w:r>
      <w:r>
        <w:t xml:space="preserve"> </w:t>
      </w:r>
      <w:bookmarkEnd w:id="127"/>
      <w:r>
        <w:t xml:space="preserve">Figura 6.2: Frecuencia de compras de medicamentos por año al FNE.</w:t>
      </w:r>
    </w:p>
    <w:bookmarkEnd w:id="128"/>
    <w:bookmarkStart w:id="131"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40</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40</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39</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35</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6.3: Uso de niveles de seguridad del inventarios.</w:t>
      </w:r>
    </w:p>
    <w:p>
      <w:pPr>
        <w:pStyle w:val="BodyText"/>
      </w:pPr>
      <w:r>
        <w:t xml:space="preserve">Según los resultados obtenidos el 51.6% de los FRE si manejan niveles de seguridad en los inventarios, es decir que de los 31 FRE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diario con los medicamentos, les permite verificar el comportamiento y determinar el momento indicado para tomar alguna acción. Se concluye entonces que 16 FRE usan estrategias de manejo óptimos de inventario y los 15 restantes lo hacen de una manera tradicional y dada por la experiencia adquirida con los años que llevan manejando el FRE en su región.</w:t>
      </w:r>
    </w:p>
    <w:bookmarkEnd w:id="131"/>
    <w:bookmarkEnd w:id="132"/>
    <w:bookmarkStart w:id="146" w:name="adquisición-de-mme"/>
    <w:p>
      <w:pPr>
        <w:pStyle w:val="Heading2"/>
      </w:pPr>
      <w:r>
        <w:rPr>
          <w:rStyle w:val="SectionNumber"/>
        </w:rPr>
        <w:t xml:space="preserve">6.2</w:t>
      </w:r>
      <w:r>
        <w:tab/>
      </w:r>
      <w:r>
        <w:t xml:space="preserve">Adquisición de MME</w:t>
      </w:r>
    </w:p>
    <w:bookmarkStart w:id="136"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w:t>
      </w:r>
      <w:r>
        <w:t xml:space="preserve"> </w:t>
      </w:r>
      <w:r>
        <w:rPr>
          <w:iCs/>
          <w:i/>
        </w:rPr>
        <w:t xml:space="preserve">lead time</w:t>
      </w:r>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35</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6"/>
        </w:numPr>
      </w:pPr>
      <w:r>
        <w:t xml:space="preserve">Estimación de necesidades</w:t>
      </w:r>
    </w:p>
    <w:p>
      <w:pPr>
        <w:numPr>
          <w:ilvl w:val="0"/>
          <w:numId w:val="1026"/>
        </w:numPr>
      </w:pPr>
      <w:r>
        <w:t xml:space="preserve">Precontractual</w:t>
      </w:r>
    </w:p>
    <w:p>
      <w:pPr>
        <w:numPr>
          <w:ilvl w:val="0"/>
          <w:numId w:val="1026"/>
        </w:numPr>
      </w:pPr>
      <w:r>
        <w:t xml:space="preserve">Contractual</w:t>
      </w:r>
    </w:p>
    <w:p>
      <w:pPr>
        <w:numPr>
          <w:ilvl w:val="0"/>
          <w:numId w:val="1026"/>
        </w:numPr>
      </w:pPr>
      <w:r>
        <w:t xml:space="preserve">Solicitud en la plataforma tecnológica</w:t>
      </w:r>
    </w:p>
    <w:p>
      <w:pPr>
        <w:numPr>
          <w:ilvl w:val="0"/>
          <w:numId w:val="1026"/>
        </w:numPr>
      </w:pPr>
      <w:r>
        <w:t xml:space="preserve">Despacho (tiempo de tránsito)</w:t>
      </w:r>
    </w:p>
    <w:p>
      <w:pPr>
        <w:pStyle w:val="FirstParagraph"/>
      </w:pPr>
      <w:r>
        <w:t xml:space="preserve">En este caso la plataforma tecnológica es la tienda virtual del Estado:</w:t>
      </w:r>
      <w:r>
        <w:t xml:space="preserve"> </w:t>
      </w:r>
      <w:r>
        <w:rPr>
          <w:bCs/>
          <w:b/>
        </w:rPr>
        <w:t xml:space="preserve">Colombia Compra Eficiente</w:t>
      </w:r>
      <w:r>
        <w:t xml:space="preserv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33"/>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41</w:t>
        </w:r>
      </w:hyperlink>
      <w:r>
        <w:rPr>
          <w:vertAlign w:val="superscript"/>
        </w:rPr>
        <w:t xml:space="preserve">,</w:t>
      </w:r>
      <w:hyperlink w:anchor="ref-CongresodelaRepublicadeColombia2007">
        <w:r>
          <w:rPr>
            <w:rStyle w:val="Hyperlink"/>
            <w:vertAlign w:val="superscript"/>
          </w:rPr>
          <w:t xml:space="preserve">42</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41</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36"/>
      <w:r>
        <w:t xml:space="preserve">Figure </w:t>
      </w:r>
      <w:fldSimple w:instr="SEQ Figure \* ARABIC ">
        <w:r>
          <w:t>36</w:t>
        </w:r>
      </w:fldSimple>
      <w:r>
        <w:t xml:space="preserve">:</w:t>
      </w:r>
      <w:r>
        <w:t xml:space="preserve"> </w:t>
      </w:r>
      <w:bookmarkEnd w:id="135"/>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43</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44</w:t>
        </w:r>
      </w:hyperlink>
      <w:r>
        <w:t xml:space="preserve">.</w:t>
      </w:r>
    </w:p>
    <w:bookmarkEnd w:id="136"/>
    <w:bookmarkStart w:id="139"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45</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7"/>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8" w:name="fig37"/>
      <w:r>
        <w:t xml:space="preserve">Figure </w:t>
      </w:r>
      <w:fldSimple w:instr="SEQ Figure \* ARABIC ">
        <w:r>
          <w:t>37</w:t>
        </w:r>
      </w:fldSimple>
      <w:r>
        <w:t xml:space="preserve">:</w:t>
      </w:r>
      <w:r>
        <w:t xml:space="preserve"> </w:t>
      </w:r>
      <w:bookmarkEnd w:id="138"/>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9"/>
    <w:bookmarkStart w:id="142"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40</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7"/>
        </w:numPr>
      </w:pPr>
      <w:r>
        <w:t xml:space="preserve">estudiar la documentación propia de la institución que realiza la recepción, con el fin de establecer los productos a recibir y qué condiciones requieren los mismos para su recepción.</w:t>
      </w:r>
    </w:p>
    <w:p>
      <w:pPr>
        <w:numPr>
          <w:ilvl w:val="0"/>
          <w:numId w:val="1027"/>
        </w:numPr>
      </w:pPr>
      <w:r>
        <w:t xml:space="preserve">verificar la documentación de quien hace la entrega, p.ej. guía de entrega. Las cantidades solicitadas deben corresponder con las aprobadas tras el pedido.</w:t>
      </w:r>
    </w:p>
    <w:p>
      <w:pPr>
        <w:numPr>
          <w:ilvl w:val="0"/>
          <w:numId w:val="1027"/>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46</w:t>
        </w:r>
      </w:hyperlink>
      <w:r>
        <w:rPr>
          <w:vertAlign w:val="superscript"/>
        </w:rPr>
        <w:t xml:space="preserve">,</w:t>
      </w:r>
      <w:hyperlink w:anchor="ref-GutierrezPulido2008">
        <w:r>
          <w:rPr>
            <w:rStyle w:val="Hyperlink"/>
            <w:vertAlign w:val="superscript"/>
          </w:rPr>
          <w:t xml:space="preserve">47</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8"/>
        </w:numPr>
      </w:pPr>
      <w:r>
        <w:t xml:space="preserve">fecha y hora de entrega</w:t>
      </w:r>
    </w:p>
    <w:p>
      <w:pPr>
        <w:numPr>
          <w:ilvl w:val="0"/>
          <w:numId w:val="1028"/>
        </w:numPr>
      </w:pPr>
      <w:r>
        <w:t xml:space="preserve">cantidad de unidades</w:t>
      </w:r>
    </w:p>
    <w:p>
      <w:pPr>
        <w:numPr>
          <w:ilvl w:val="0"/>
          <w:numId w:val="1028"/>
        </w:numPr>
      </w:pPr>
      <w:r>
        <w:t xml:space="preserve">número de lote</w:t>
      </w:r>
    </w:p>
    <w:p>
      <w:pPr>
        <w:numPr>
          <w:ilvl w:val="0"/>
          <w:numId w:val="1028"/>
        </w:numPr>
      </w:pPr>
      <w:r>
        <w:t xml:space="preserve">registro sanitario</w:t>
      </w:r>
    </w:p>
    <w:p>
      <w:pPr>
        <w:numPr>
          <w:ilvl w:val="0"/>
          <w:numId w:val="1028"/>
        </w:numPr>
      </w:pPr>
      <w:r>
        <w:t xml:space="preserve">fechas de vencimiento</w:t>
      </w:r>
    </w:p>
    <w:p>
      <w:pPr>
        <w:numPr>
          <w:ilvl w:val="0"/>
          <w:numId w:val="1028"/>
        </w:numPr>
      </w:pPr>
      <w:r>
        <w:t xml:space="preserve">condiciones de trasporte, manipulación y embalaje</w:t>
      </w:r>
    </w:p>
    <w:p>
      <w:pPr>
        <w:numPr>
          <w:ilvl w:val="0"/>
          <w:numId w:val="1028"/>
        </w:numPr>
      </w:pPr>
      <w:r>
        <w:t xml:space="preserve">material de empaque y envase</w:t>
      </w:r>
    </w:p>
    <w:p>
      <w:pPr>
        <w:numPr>
          <w:ilvl w:val="0"/>
          <w:numId w:val="1028"/>
        </w:numPr>
      </w:pPr>
      <w:r>
        <w:t xml:space="preserve">condiciones administrativas y técnicas establecidas en la negociación así como la trazabilidad</w:t>
      </w:r>
    </w:p>
    <w:p>
      <w:pPr>
        <w:pStyle w:val="FirstParagraph"/>
      </w:pPr>
      <w:r>
        <w:t xml:space="preserve">El acta es firmada por las persona que recibe y entrega para ser archivada. Como parte final se ingresan los productos al inventario, teniendo en cuenta sólo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se deba esperar hasta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40"/>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41" w:name="fig38"/>
      <w:r>
        <w:t xml:space="preserve">Figure </w:t>
      </w:r>
      <w:fldSimple w:instr="SEQ Figure \* ARABIC ">
        <w:r>
          <w:t>38</w:t>
        </w:r>
      </w:fldSimple>
      <w:r>
        <w:t xml:space="preserve">:</w:t>
      </w:r>
      <w:r>
        <w:t xml:space="preserve"> </w:t>
      </w:r>
      <w:bookmarkEnd w:id="141"/>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puede tomar hasta 3 días en todo el proceso, se observa que el volúmen de inscritos es alto y que en este caso lo llevan dos regentes de farmacia dando paso a la realización de acta con el transportador y luego una revisión completa de cada medicamento y su correcto almacenamiento con el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42"/>
    <w:bookmarkStart w:id="145"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35</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48</w:t>
        </w:r>
      </w:hyperlink>
      <w:r>
        <w:t xml:space="preserve">, esto puede reducir los costos sí se utiliza en emergencias, o aumentarlos sí se utiliza de forma excesiva</w:t>
      </w:r>
      <w:hyperlink w:anchor="ref-Silver2017">
        <w:r>
          <w:rPr>
            <w:rStyle w:val="Hyperlink"/>
            <w:vertAlign w:val="superscript"/>
          </w:rPr>
          <w:t xml:space="preserve">35</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43"/>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44" w:name="fig39"/>
      <w:r>
        <w:t xml:space="preserve">Figure </w:t>
      </w:r>
      <w:fldSimple w:instr="SEQ Figure \* ARABIC ">
        <w:r>
          <w:t>39</w:t>
        </w:r>
      </w:fldSimple>
      <w:r>
        <w:t xml:space="preserve">:</w:t>
      </w:r>
      <w:r>
        <w:t xml:space="preserve"> </w:t>
      </w:r>
      <w:bookmarkEnd w:id="144"/>
      <w:r>
        <w:t xml:space="preserve">Figura 6.8: Caracterización en demoras de traslados interdepartamentales. (A) Gráfico de tiempos de traslados interdepartamentales reportados para los departamentos. (B) Mapa de tiempos de traslados interdepartamentales.</w:t>
      </w:r>
    </w:p>
    <w:p>
      <w:pPr>
        <w:pStyle w:val="BodyText"/>
      </w:pPr>
      <w:r>
        <w:t xml:space="preserve">Por otra parte, no se tiene información de los tiempos de demora en los traslados interdepartamentales para 12 departamentos. Es posible que algunos departamentos no requieran este tipo de solicitudes por un manejo muy estricto de los niveles de inventario p.ej. Antioquia o Santander. Así mismo, otros fondos rotatorios con un menor nivel de complejidad puede que no cuenten con mucha experiencia en la recepción o envío de traslados interdepartamentales.</w:t>
      </w:r>
    </w:p>
    <w:bookmarkEnd w:id="145"/>
    <w:bookmarkEnd w:id="146"/>
    <w:bookmarkStart w:id="154"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los inscritos en el departamento. En Vaupés, por ejemplo, el abastecimiento se enfoca en satisfacer la demanda del hospital, no se realiza venta a otras IPS, por lo cual no se necesita almacenar los medicamentos en el FRE, las compras se destinan inmediatamente al hospital. El caso es diferente en departamentos con mayor población y necesidad de medicamentos como Risaralda donde la venta de MME es frecuente, y usualmente las IPS establecen sus necesidades de manera mensual.</w:t>
      </w:r>
    </w:p>
    <w:p>
      <w:pPr>
        <w:pStyle w:val="CaptionedFigure"/>
      </w:pPr>
      <w:r>
        <w:drawing>
          <wp:inline>
            <wp:extent cx="5334000" cy="3463395"/>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7"/>
                    <a:stretch>
                      <a:fillRect/>
                    </a:stretch>
                  </pic:blipFill>
                  <pic:spPr bwMode="auto">
                    <a:xfrm>
                      <a:off x="0" y="0"/>
                      <a:ext cx="5334000" cy="3463395"/>
                    </a:xfrm>
                    <a:prstGeom prst="rect">
                      <a:avLst/>
                    </a:prstGeom>
                    <a:noFill/>
                    <a:ln w="9525">
                      <a:noFill/>
                      <a:headEnd/>
                      <a:tailEnd/>
                    </a:ln>
                  </pic:spPr>
                </pic:pic>
              </a:graphicData>
            </a:graphic>
          </wp:inline>
        </w:drawing>
      </w:r>
    </w:p>
    <w:p>
      <w:pPr>
        <w:pStyle w:val="ImageCaption"/>
      </w:pPr>
      <w:bookmarkStart w:id="148" w:name="fig40"/>
      <w:r>
        <w:t xml:space="preserve">Figure </w:t>
      </w:r>
      <w:fldSimple w:instr="SEQ Figure \* ARABIC ">
        <w:r>
          <w:t>40</w:t>
        </w:r>
      </w:fldSimple>
      <w:r>
        <w:t xml:space="preserve">:</w:t>
      </w:r>
      <w:r>
        <w:t xml:space="preserve"> </w:t>
      </w:r>
      <w:bookmarkEnd w:id="148"/>
      <w:r>
        <w:t xml:space="preserve">Figura 6.9: Frecuencia de venta de MME a instituciones en el departamento.</w:t>
      </w:r>
    </w:p>
    <w:p>
      <w:pPr>
        <w:pStyle w:val="BodyText"/>
      </w:pPr>
      <w:r>
        <w:t xml:space="preserve">Cabe resaltar que en departamentos como Atlántico y Chocó las ventas de MME se realizaba de forma diaria, sin embargo, por la contingencia en salud se decidió que sólo se despachan medicamentos dos días a la semana. Por otra parte, las necesidades en algunos departamentos de MME pueden cambiar rápidamente, por ejemplo pueden darse casos de traslados desde otros departamentos que alteren de forma significativa la demanda, como es el caso de pacientes que llegan de ciudades como Antioquia y Valle del Cauca a departamentos vecinos.</w:t>
      </w:r>
    </w:p>
    <w:bookmarkStart w:id="153" w:name="X34d7672cca2f46a16a73ad8c09ae664b3192b3d"/>
    <w:p>
      <w:pPr>
        <w:pStyle w:val="Heading3"/>
      </w:pPr>
      <w:r>
        <w:rPr>
          <w:rStyle w:val="SectionNumber"/>
        </w:rPr>
        <w:t xml:space="preserve">6.3.1</w:t>
      </w:r>
      <w:r>
        <w:tab/>
      </w:r>
      <w:r>
        <w:t xml:space="preserve">Controles en venta directa a particulares</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31 FRE), seguido de la solicitud de identificación a los pacientes (realizada por 21 de 31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aplazamiento de la entrega. Se tienen algunos FRE que no realizan controles, debido a que no realizan dispensación a los pacientes como Quindío, Valle del Cauca, Putumayo, Nariño, Risaralda y Vaupés.</w:t>
      </w:r>
    </w:p>
    <w:p>
      <w:pPr>
        <w:pStyle w:val="CaptionedFigure"/>
      </w:pPr>
      <w:r>
        <w:drawing>
          <wp:inline>
            <wp:extent cx="5334000" cy="3729632"/>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9"/>
                    <a:stretch>
                      <a:fillRect/>
                    </a:stretch>
                  </pic:blipFill>
                  <pic:spPr bwMode="auto">
                    <a:xfrm>
                      <a:off x="0" y="0"/>
                      <a:ext cx="5334000" cy="3729632"/>
                    </a:xfrm>
                    <a:prstGeom prst="rect">
                      <a:avLst/>
                    </a:prstGeom>
                    <a:noFill/>
                    <a:ln w="9525">
                      <a:noFill/>
                      <a:headEnd/>
                      <a:tailEnd/>
                    </a:ln>
                  </pic:spPr>
                </pic:pic>
              </a:graphicData>
            </a:graphic>
          </wp:inline>
        </w:drawing>
      </w:r>
    </w:p>
    <w:p>
      <w:pPr>
        <w:pStyle w:val="ImageCaption"/>
      </w:pPr>
      <w:bookmarkStart w:id="150" w:name="fig41"/>
      <w:r>
        <w:t xml:space="preserve">Figure </w:t>
      </w:r>
      <w:fldSimple w:instr="SEQ Figure \* ARABIC ">
        <w:r>
          <w:t>41</w:t>
        </w:r>
      </w:fldSimple>
      <w:r>
        <w:t xml:space="preserve">:</w:t>
      </w:r>
      <w:r>
        <w:t xml:space="preserve"> </w:t>
      </w:r>
      <w:bookmarkEnd w:id="150"/>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particulares por parte del FRE. Se observa que en la mayoría de departamentos el FRE no vende MME a particulares, la venta a particulares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Venta de MME a particulares por parte del instituciones distintas al FR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42"/>
      <w:r>
        <w:t xml:space="preserve">Figure </w:t>
      </w:r>
      <w:fldSimple w:instr="SEQ Figure \* ARABIC ">
        <w:r>
          <w:t>42</w:t>
        </w:r>
      </w:fldSimple>
      <w:r>
        <w:t xml:space="preserve">:</w:t>
      </w:r>
      <w:r>
        <w:t xml:space="preserve"> </w:t>
      </w:r>
      <w:bookmarkEnd w:id="152"/>
      <w:r>
        <w:t xml:space="preserve">Figura 6.11: Venta de MME a particulares por parte del instituciones distintas al FRE.</w:t>
      </w:r>
    </w:p>
    <w:bookmarkEnd w:id="153"/>
    <w:bookmarkEnd w:id="154"/>
    <w:bookmarkStart w:id="171" w:name="almacenamiento"/>
    <w:p>
      <w:pPr>
        <w:pStyle w:val="Heading2"/>
      </w:pPr>
      <w:r>
        <w:rPr>
          <w:rStyle w:val="SectionNumber"/>
        </w:rPr>
        <w:t xml:space="preserve">6.4</w:t>
      </w:r>
      <w:r>
        <w:tab/>
      </w:r>
      <w:r>
        <w:t xml:space="preserve">Almacenamiento</w:t>
      </w:r>
    </w:p>
    <w:bookmarkStart w:id="157"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20 de 31 FRE), seguido de (ii) gabinetes con llaves simple (en 17 de 31 FRE), (iii) almacenamiento en oficina privada (18 de 31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55"/>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56" w:name="fig43"/>
      <w:r>
        <w:t xml:space="preserve">Figure </w:t>
      </w:r>
      <w:fldSimple w:instr="SEQ Figure \* ARABIC ">
        <w:r>
          <w:t>43</w:t>
        </w:r>
      </w:fldSimple>
      <w:r>
        <w:t xml:space="preserve">:</w:t>
      </w:r>
      <w:r>
        <w:t xml:space="preserve"> </w:t>
      </w:r>
      <w:bookmarkEnd w:id="156"/>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7"/>
    <w:bookmarkStart w:id="161"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9" w:name="fig44"/>
      <w:r>
        <w:t xml:space="preserve">Figure </w:t>
      </w:r>
      <w:fldSimple w:instr="SEQ Figure \* ARABIC ">
        <w:r>
          <w:t>44</w:t>
        </w:r>
      </w:fldSimple>
      <w:r>
        <w:t xml:space="preserve">:</w:t>
      </w:r>
      <w:r>
        <w:t xml:space="preserve"> </w:t>
      </w:r>
      <w:bookmarkEnd w:id="159"/>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6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61"/>
    <w:bookmarkStart w:id="167"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346571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62"/>
                    <a:stretch>
                      <a:fillRect/>
                    </a:stretch>
                  </pic:blipFill>
                  <pic:spPr bwMode="auto">
                    <a:xfrm>
                      <a:off x="0" y="0"/>
                      <a:ext cx="5334000" cy="346571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evidencia que la práctica más común es la utilización de un espacio destinado exclusivo para estos medicamentos y esto se presenta en 12 FREs.</w:t>
      </w:r>
    </w:p>
    <w:p>
      <w:pPr>
        <w:pStyle w:val="CaptionedFigure"/>
      </w:pPr>
      <w:r>
        <w:drawing>
          <wp:inline>
            <wp:extent cx="5334000" cy="3731947"/>
            <wp:effectExtent b="0" l="0" r="0" t="0"/>
            <wp:docPr descr="Figura 6.16: Ocupación promedio de MME frente a otros medicamentos o ítems almacenados en el almacén d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63"/>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64" w:name="fig45"/>
      <w:r>
        <w:t xml:space="preserve">Figure </w:t>
      </w:r>
      <w:fldSimple w:instr="SEQ Figure \* ARABIC ">
        <w:r>
          <w:t>45</w:t>
        </w:r>
      </w:fldSimple>
      <w:r>
        <w:t xml:space="preserve">:</w:t>
      </w:r>
      <w:r>
        <w:t xml:space="preserve"> </w:t>
      </w:r>
      <w:bookmarkEnd w:id="164"/>
      <w:r>
        <w:t xml:space="preserve">Figura 6.16: Ocupación promedio de MME frente a otros medicamentos o ítems almacenados en el almacén del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35</w:t>
        </w:r>
      </w:hyperlink>
      <w:r>
        <w:t xml:space="preserve">. 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 En algunos departamentos como Cundinamarca, Guainía o Vaupés no se realiza la actividad de seguimiento de existencias por lo cual no aplica esta pregunta en los mismos.</w:t>
      </w:r>
    </w:p>
    <w:p>
      <w:pPr>
        <w:pStyle w:val="CaptionedFigure"/>
      </w:pPr>
      <w:r>
        <w:drawing>
          <wp:inline>
            <wp:extent cx="5334000" cy="2424545"/>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65"/>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bookmarkStart w:id="166" w:name="fig46"/>
      <w:r>
        <w:t xml:space="preserve">Figure </w:t>
      </w:r>
      <w:fldSimple w:instr="SEQ Figure \* ARABIC ">
        <w:r>
          <w:t>46</w:t>
        </w:r>
      </w:fldSimple>
      <w:r>
        <w:t xml:space="preserve">:</w:t>
      </w:r>
      <w:r>
        <w:t xml:space="preserve"> </w:t>
      </w:r>
      <w:bookmarkEnd w:id="166"/>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7"/>
    <w:bookmarkStart w:id="170"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40</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40</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49</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9"/>
        </w:numPr>
      </w:pPr>
      <w:r>
        <w:t xml:space="preserve">Rojo: medicamento que se encuentra próximo a vencer.</w:t>
      </w:r>
    </w:p>
    <w:p>
      <w:pPr>
        <w:numPr>
          <w:ilvl w:val="0"/>
          <w:numId w:val="1029"/>
        </w:numPr>
      </w:pPr>
      <w:r>
        <w:t xml:space="preserve">Amarillo: medicamento que se encuentra en riesgo moderado de vencimiento.</w:t>
      </w:r>
    </w:p>
    <w:p>
      <w:pPr>
        <w:numPr>
          <w:ilvl w:val="0"/>
          <w:numId w:val="1029"/>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30"/>
        </w:numPr>
      </w:pPr>
      <w:r>
        <w:t xml:space="preserve">El producto cuenta con una vida útil de 18 meses.</w:t>
      </w:r>
    </w:p>
    <w:p>
      <w:pPr>
        <w:numPr>
          <w:ilvl w:val="0"/>
          <w:numId w:val="1030"/>
        </w:numPr>
      </w:pPr>
      <w:r>
        <w:t xml:space="preserve">Este medicamento es importado y en ocasiones la casa matriz entrega el producto con una vida útil efectiva menor a los 18 meses mencionados.</w:t>
      </w:r>
    </w:p>
    <w:p>
      <w:pPr>
        <w:numPr>
          <w:ilvl w:val="0"/>
          <w:numId w:val="1030"/>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9" w:name="fig47"/>
      <w:r>
        <w:t xml:space="preserve">Figure </w:t>
      </w:r>
      <w:fldSimple w:instr="SEQ Figure \* ARABIC ">
        <w:r>
          <w:t>47</w:t>
        </w:r>
      </w:fldSimple>
      <w:r>
        <w:t xml:space="preserve">:</w:t>
      </w:r>
      <w:r>
        <w:t xml:space="preserve"> </w:t>
      </w:r>
      <w:bookmarkEnd w:id="169"/>
      <w:r>
        <w:t xml:space="preserve">Figura 6.18: Vencimiento de medicamentos. (A) Presentación de casos de vencimiento de MME. (B) Medicamentos implicados en casos de vencimiento de MME.</w:t>
      </w:r>
    </w:p>
    <w:bookmarkEnd w:id="170"/>
    <w:bookmarkEnd w:id="171"/>
    <w:bookmarkStart w:id="174"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930921"/>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72"/>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73" w:name="fig48"/>
      <w:r>
        <w:t xml:space="preserve">Figure </w:t>
      </w:r>
      <w:fldSimple w:instr="SEQ Figure \* ARABIC ">
        <w:r>
          <w:t>48</w:t>
        </w:r>
      </w:fldSimple>
      <w:r>
        <w:t xml:space="preserve">:</w:t>
      </w:r>
      <w:r>
        <w:t xml:space="preserve"> </w:t>
      </w:r>
      <w:bookmarkEnd w:id="173"/>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74"/>
    <w:bookmarkStart w:id="181"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50</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51</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52</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52</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49"/>
      <w:r>
        <w:t xml:space="preserve">Figure </w:t>
      </w:r>
      <w:fldSimple w:instr="SEQ Figure \* ARABIC ">
        <w:r>
          <w:t>49</w:t>
        </w:r>
      </w:fldSimple>
      <w:r>
        <w:t xml:space="preserve">:</w:t>
      </w:r>
      <w:r>
        <w:t xml:space="preserve"> </w:t>
      </w:r>
      <w:bookmarkEnd w:id="176"/>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8" w:name="fig50"/>
      <w:r>
        <w:t xml:space="preserve">Figure </w:t>
      </w:r>
      <w:fldSimple w:instr="SEQ Figure \* ARABIC ">
        <w:r>
          <w:t>50</w:t>
        </w:r>
      </w:fldSimple>
      <w:r>
        <w:t xml:space="preserve">:</w:t>
      </w:r>
      <w:r>
        <w:t xml:space="preserve"> </w:t>
      </w:r>
      <w:bookmarkEnd w:id="178"/>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ilómetros,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80" w:name="fig51"/>
      <w:r>
        <w:t xml:space="preserve">Figure </w:t>
      </w:r>
      <w:fldSimple w:instr="SEQ Figure \* ARABIC ">
        <w:r>
          <w:t>51</w:t>
        </w:r>
      </w:fldSimple>
      <w:r>
        <w:t xml:space="preserve">:</w:t>
      </w:r>
      <w:r>
        <w:t xml:space="preserve"> </w:t>
      </w:r>
      <w:bookmarkEnd w:id="180"/>
      <w:r>
        <w:t xml:space="preserve">Figura 6.22: Relación de márgen de ganancia y otras variables. (A) Distancia física en kilómetros,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35</w:t>
        </w:r>
      </w:hyperlink>
      <w:r>
        <w:t xml:space="preserve">. Se deben revisar a profundidad los precios de los medicamentos en el territorio de manera que se articule una política de precios de medicamentos monopolio del Estado.</w:t>
      </w:r>
    </w:p>
    <w:bookmarkEnd w:id="181"/>
    <w:bookmarkEnd w:id="182"/>
    <w:bookmarkStart w:id="204"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2"/>
      <w:r>
        <w:t xml:space="preserve">Figure </w:t>
      </w:r>
      <w:fldSimple w:instr="SEQ Figure \* ARABIC ">
        <w:r>
          <w:t>52</w:t>
        </w:r>
      </w:fldSimple>
      <w:r>
        <w:t xml:space="preserve">:</w:t>
      </w:r>
      <w:r>
        <w:t xml:space="preserve"> </w:t>
      </w:r>
      <w:bookmarkEnd w:id="184"/>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9"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460750"/>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85"/>
                    <a:stretch>
                      <a:fillRect/>
                    </a:stretch>
                  </pic:blipFill>
                  <pic:spPr bwMode="auto">
                    <a:xfrm>
                      <a:off x="0" y="0"/>
                      <a:ext cx="5334000" cy="3460750"/>
                    </a:xfrm>
                    <a:prstGeom prst="rect">
                      <a:avLst/>
                    </a:prstGeom>
                    <a:noFill/>
                    <a:ln w="9525">
                      <a:noFill/>
                      <a:headEnd/>
                      <a:tailEnd/>
                    </a:ln>
                  </pic:spPr>
                </pic:pic>
              </a:graphicData>
            </a:graphic>
          </wp:inline>
        </w:drawing>
      </w:r>
    </w:p>
    <w:p>
      <w:pPr>
        <w:pStyle w:val="ImageCaption"/>
      </w:pPr>
      <w:bookmarkStart w:id="186" w:name="fig53"/>
      <w:r>
        <w:t xml:space="preserve">Figure </w:t>
      </w:r>
      <w:fldSimple w:instr="SEQ Figure \* ARABIC ">
        <w:r>
          <w:t>53</w:t>
        </w:r>
      </w:fldSimple>
      <w:r>
        <w:t xml:space="preserve">:</w:t>
      </w:r>
      <w:r>
        <w:t xml:space="preserve"> </w:t>
      </w:r>
      <w:bookmarkEnd w:id="186"/>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048000"/>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88" w:name="fig54"/>
      <w:r>
        <w:t xml:space="preserve">Figure </w:t>
      </w:r>
      <w:fldSimple w:instr="SEQ Figure \* ARABIC ">
        <w:r>
          <w:t>54</w:t>
        </w:r>
      </w:fldSimple>
      <w:r>
        <w:t xml:space="preserve">:</w:t>
      </w:r>
      <w:r>
        <w:t xml:space="preserve"> </w:t>
      </w:r>
      <w:bookmarkEnd w:id="188"/>
      <w:r>
        <w:t xml:space="preserve">Figura 7.3: Velocidad de conexión de internet.</w:t>
      </w:r>
    </w:p>
    <w:bookmarkEnd w:id="189"/>
    <w:bookmarkStart w:id="196"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se tienen nueve FRE que poseen solo un (1) equipo de cómputo, lo que puede perjudicar el desarrollo de sus actividades laborales y funciones principales como ente territorial, responsable del control de MME en el departamento. Incluso, según las experiencias y observaciones del personal de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1" w:name="fig55"/>
      <w:r>
        <w:t xml:space="preserve">Figure </w:t>
      </w:r>
      <w:fldSimple w:instr="SEQ Figure \* ARABIC ">
        <w:r>
          <w:t>55</w:t>
        </w:r>
      </w:fldSimple>
      <w:r>
        <w:t xml:space="preserve">:</w:t>
      </w:r>
      <w:r>
        <w:t xml:space="preserve"> </w:t>
      </w:r>
      <w:bookmarkEnd w:id="191"/>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3" w:name="fig56"/>
      <w:r>
        <w:t xml:space="preserve">Figure </w:t>
      </w:r>
      <w:fldSimple w:instr="SEQ Figure \* ARABIC ">
        <w:r>
          <w:t>56</w:t>
        </w:r>
      </w:fldSimple>
      <w:r>
        <w:t xml:space="preserve">:</w:t>
      </w:r>
      <w:r>
        <w:t xml:space="preserve"> </w:t>
      </w:r>
      <w:bookmarkEnd w:id="193"/>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5" w:name="fig57"/>
      <w:r>
        <w:t xml:space="preserve">Figure </w:t>
      </w:r>
      <w:fldSimple w:instr="SEQ Figure \* ARABIC ">
        <w:r>
          <w:t>57</w:t>
        </w:r>
      </w:fldSimple>
      <w:r>
        <w:t xml:space="preserve">:</w:t>
      </w:r>
      <w:r>
        <w:t xml:space="preserve"> </w:t>
      </w:r>
      <w:bookmarkEnd w:id="195"/>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96"/>
    <w:bookmarkStart w:id="203" w:name="control-de-la-información"/>
    <w:p>
      <w:pPr>
        <w:pStyle w:val="Heading2"/>
      </w:pPr>
      <w:r>
        <w:rPr>
          <w:rStyle w:val="SectionNumber"/>
        </w:rPr>
        <w:t xml:space="preserve">7.3</w:t>
      </w:r>
      <w:r>
        <w:tab/>
      </w:r>
      <w:r>
        <w:t xml:space="preserve">Control de la información</w:t>
      </w:r>
    </w:p>
    <w:bookmarkStart w:id="199"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2926291"/>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7"/>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bookmarkStart w:id="198" w:name="fig58"/>
      <w:r>
        <w:t xml:space="preserve">Figure </w:t>
      </w:r>
      <w:fldSimple w:instr="SEQ Figure \* ARABIC ">
        <w:r>
          <w:t>58</w:t>
        </w:r>
      </w:fldSimple>
      <w:r>
        <w:t xml:space="preserve">:</w:t>
      </w:r>
      <w:r>
        <w:t xml:space="preserve"> </w:t>
      </w:r>
      <w:bookmarkEnd w:id="198"/>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 la limitación de acceso que se tiene a estos informes para su visualización o edición. Algunos FRE cómo La Guajira ham implementado una restricción de acceso a los informes por medio de contraseñas y bloqueo de columnas en hojas de cálculo. Una gran parte de los FRE maneja la información de recetarios y MME mediante bitácoras manuales y hojas de cálculo. Esto puede causar una trazabilidad fragmentada en la información del FRE, además de un reproceso que tiene que asumir el personal, relacionado con la transcripción a medios digitales, contemplando los errores humanos de digitación.</w:t>
      </w:r>
    </w:p>
    <w:bookmarkEnd w:id="199"/>
    <w:bookmarkStart w:id="202"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2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201" w:name="fig59"/>
      <w:r>
        <w:t xml:space="preserve">Figure </w:t>
      </w:r>
      <w:fldSimple w:instr="SEQ Figure \* ARABIC ">
        <w:r>
          <w:t>59</w:t>
        </w:r>
      </w:fldSimple>
      <w:r>
        <w:t xml:space="preserve">:</w:t>
      </w:r>
      <w:r>
        <w:t xml:space="preserve"> </w:t>
      </w:r>
      <w:bookmarkEnd w:id="201"/>
      <w:r>
        <w:t xml:space="preserve">Figura 7.8: Proporción de FRE que cuenta con: (A) bases de datos con información de inscritos, o (B) bases de datos con información de pacientes a los que se les dispensa MME.</w:t>
      </w:r>
    </w:p>
    <w:bookmarkEnd w:id="202"/>
    <w:bookmarkEnd w:id="203"/>
    <w:bookmarkEnd w:id="204"/>
    <w:bookmarkStart w:id="231"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3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3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3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31"/>
        </w:numPr>
      </w:pPr>
      <w:r>
        <w:t xml:space="preserve">Novedades sobre la inscripción de los Establecimientos Farmacéuticos e IPS autorizados, de acuerdo al formato (Anexo número 3) de la presente resolución.</w:t>
      </w:r>
    </w:p>
    <w:p>
      <w:pPr>
        <w:numPr>
          <w:ilvl w:val="0"/>
          <w:numId w:val="103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31"/>
        </w:numPr>
      </w:pPr>
      <w:r>
        <w:t xml:space="preserve">Informe mensual consolidado sobre las transformaciones realizadas en el mes inmediatamente anterior, dentro de los diez (10) primeros días calendarios de cada mes. (Anexo número 4)</w:t>
      </w:r>
    </w:p>
    <w:p>
      <w:pPr>
        <w:numPr>
          <w:ilvl w:val="0"/>
          <w:numId w:val="103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31"/>
        </w:numPr>
      </w:pPr>
      <w:r>
        <w:t xml:space="preserve">Informe trimestral de sanciones impuestas por infracciones administrativas en la fabricación, distribución y dispensación de medicamentos de Control Especial.</w:t>
      </w:r>
    </w:p>
    <w:p>
      <w:pPr>
        <w:numPr>
          <w:ilvl w:val="0"/>
          <w:numId w:val="1031"/>
        </w:numPr>
      </w:pPr>
      <w:r>
        <w:t xml:space="preserve">Consolidado semestral del registro de Farmacodependientes de productos sometidos a fiscalización.</w:t>
      </w:r>
    </w:p>
    <w:p>
      <w:pPr>
        <w:pStyle w:val="FirstParagraph"/>
      </w:pPr>
      <w:r>
        <w:t xml:space="preserve">Es preciso resaltar que en este capítulo se presenta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24"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2667000"/>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2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6" w:name="fig60"/>
      <w:r>
        <w:t xml:space="preserve">Figure </w:t>
      </w:r>
      <w:fldSimple w:instr="SEQ Figure \* ARABIC ">
        <w:r>
          <w:t>60</w:t>
        </w:r>
      </w:fldSimple>
      <w:r>
        <w:t xml:space="preserve">:</w:t>
      </w:r>
      <w:r>
        <w:t xml:space="preserve"> </w:t>
      </w:r>
      <w:bookmarkEnd w:id="206"/>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13"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7"/>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8" w:name="fig61"/>
      <w:r>
        <w:t xml:space="preserve">Figure </w:t>
      </w:r>
      <w:fldSimple w:instr="SEQ Figure \* ARABIC ">
        <w:r>
          <w:t>61</w:t>
        </w:r>
      </w:fldSimple>
      <w:r>
        <w:t xml:space="preserve">:</w:t>
      </w:r>
      <w:r>
        <w:t xml:space="preserve"> </w:t>
      </w:r>
      <w:bookmarkEnd w:id="208"/>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2930921"/>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9"/>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210" w:name="fig62"/>
      <w:r>
        <w:t xml:space="preserve">Figure </w:t>
      </w:r>
      <w:fldSimple w:instr="SEQ Figure \* ARABIC ">
        <w:r>
          <w:t>62</w:t>
        </w:r>
      </w:fldSimple>
      <w:r>
        <w:t xml:space="preserve">:</w:t>
      </w:r>
      <w:r>
        <w:t xml:space="preserve"> </w:t>
      </w:r>
      <w:bookmarkEnd w:id="210"/>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3194843"/>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11"/>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2" w:name="fig63"/>
      <w:r>
        <w:t xml:space="preserve">Figure </w:t>
      </w:r>
      <w:fldSimple w:instr="SEQ Figure \* ARABIC ">
        <w:r>
          <w:t>63</w:t>
        </w:r>
      </w:fldSimple>
      <w:r>
        <w:t xml:space="preserve">:</w:t>
      </w:r>
      <w:r>
        <w:t xml:space="preserve"> </w:t>
      </w:r>
      <w:bookmarkEnd w:id="212"/>
      <w:r>
        <w:t xml:space="preserve">Figura 8.4: Tiempo en la consolidación del Anexo 1 de la Resolución 1479 de 2006 vs N° de instituciones que realizan compra en un año.</w:t>
      </w:r>
    </w:p>
    <w:bookmarkEnd w:id="213"/>
    <w:bookmarkStart w:id="220"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14"/>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15" w:name="fig64"/>
      <w:r>
        <w:t xml:space="preserve">Figure </w:t>
      </w:r>
      <w:fldSimple w:instr="SEQ Figure \* ARABIC ">
        <w:r>
          <w:t>64</w:t>
        </w:r>
      </w:fldSimple>
      <w:r>
        <w:t xml:space="preserve">:</w:t>
      </w:r>
      <w:r>
        <w:t xml:space="preserve"> </w:t>
      </w:r>
      <w:bookmarkEnd w:id="215"/>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medios utilizados por las instituciones inscritas en el territorio para el envío de información del Anexo 13 de la Resolución 1478 de 2006</w:t>
      </w:r>
      <w:hyperlink w:anchor="ref-MSPS1478-2006">
        <w:r>
          <w:rPr>
            <w:rStyle w:val="Hyperlink"/>
            <w:vertAlign w:val="superscript"/>
          </w:rPr>
          <w:t xml:space="preserve">1</w:t>
        </w:r>
      </w:hyperlink>
      <w:r>
        <w:t xml:space="preserve"> </w:t>
      </w:r>
      <w:r>
        <w:t xml:space="preserve">a los FRE.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3194843"/>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16"/>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7" w:name="fig65"/>
      <w:r>
        <w:t xml:space="preserve">Figure </w:t>
      </w:r>
      <w:fldSimple w:instr="SEQ Figure \* ARABIC ">
        <w:r>
          <w:t>65</w:t>
        </w:r>
      </w:fldSimple>
      <w:r>
        <w:t xml:space="preserve">:</w:t>
      </w:r>
      <w:r>
        <w:t xml:space="preserve"> </w:t>
      </w:r>
      <w:bookmarkEnd w:id="217"/>
      <w:r>
        <w:t xml:space="preserve">Figura 8.6: Medio para consolidación de Anexo 13 de la Resolución 1478 de 2006.</w:t>
      </w:r>
    </w:p>
    <w:p>
      <w:pPr>
        <w:pStyle w:val="BodyText"/>
      </w:pPr>
      <w:r>
        <w:t xml:space="preserve">Los FRE de Córdoba y Guainía mencionaron, durante la realización de visitas, no recibir el Anexo 13 como parte del seguimiento a sus inscritos. 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9" w:name="fig66"/>
      <w:r>
        <w:t xml:space="preserve">Figure </w:t>
      </w:r>
      <w:fldSimple w:instr="SEQ Figure \* ARABIC ">
        <w:r>
          <w:t>66</w:t>
        </w:r>
      </w:fldSimple>
      <w:r>
        <w:t xml:space="preserve">:</w:t>
      </w:r>
      <w:r>
        <w:t xml:space="preserve"> </w:t>
      </w:r>
      <w:bookmarkEnd w:id="219"/>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En el caso de Antioquia por su cantidad de inscritos, se tienen tiempos de diligenciamiento y consolidación de Anexos de hasta 3 semanas con apoyo de un técnico de IVC.</w:t>
      </w:r>
    </w:p>
    <w:p>
      <w:pPr>
        <w:pStyle w:val="BodyText"/>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20"/>
    <w:bookmarkStart w:id="223"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198812"/>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21"/>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2" w:name="fig67"/>
      <w:r>
        <w:t xml:space="preserve">Figure </w:t>
      </w:r>
      <w:fldSimple w:instr="SEQ Figure \* ARABIC ">
        <w:r>
          <w:t>67</w:t>
        </w:r>
      </w:fldSimple>
      <w:r>
        <w:t xml:space="preserve">:</w:t>
      </w:r>
      <w:r>
        <w:t xml:space="preserve"> </w:t>
      </w:r>
      <w:bookmarkEnd w:id="222"/>
      <w:r>
        <w:t xml:space="preserve">Figura 8.8: Tiempo de archivo de Anexo 13 de la Resolución 1478 de 2006.</w:t>
      </w:r>
    </w:p>
    <w:bookmarkEnd w:id="223"/>
    <w:bookmarkEnd w:id="224"/>
    <w:bookmarkStart w:id="227"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Los FRE de Arauca, Magdalena, Tolima, Boyacá y Guainía realizan este seguimiento sólo mediante este mecanismo.</w:t>
      </w:r>
    </w:p>
    <w:p>
      <w:pPr>
        <w:pStyle w:val="CaptionedFigure"/>
      </w:pPr>
      <w:r>
        <w:drawing>
          <wp:inline>
            <wp:extent cx="5334000" cy="3198812"/>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25"/>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6" w:name="fig68"/>
      <w:r>
        <w:t xml:space="preserve">Figure </w:t>
      </w:r>
      <w:fldSimple w:instr="SEQ Figure \* ARABIC ">
        <w:r>
          <w:t>68</w:t>
        </w:r>
      </w:fldSimple>
      <w:r>
        <w:t xml:space="preserve">:</w:t>
      </w:r>
      <w:r>
        <w:t xml:space="preserve"> </w:t>
      </w:r>
      <w:bookmarkEnd w:id="226"/>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7"/>
    <w:bookmarkStart w:id="230"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9" w:name="fig69"/>
      <w:r>
        <w:t xml:space="preserve">Figure </w:t>
      </w:r>
      <w:fldSimple w:instr="SEQ Figure \* ARABIC ">
        <w:r>
          <w:t>69</w:t>
        </w:r>
      </w:fldSimple>
      <w:r>
        <w:t xml:space="preserve">:</w:t>
      </w:r>
      <w:r>
        <w:t xml:space="preserve"> </w:t>
      </w:r>
      <w:bookmarkEnd w:id="229"/>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en 25 de los 31 FRE sólo aplican llamados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30"/>
    <w:bookmarkEnd w:id="231"/>
    <w:bookmarkStart w:id="237" w:name="lineamientos-y-recomendaciones"/>
    <w:p>
      <w:pPr>
        <w:pStyle w:val="Heading1"/>
      </w:pPr>
      <w:r>
        <w:rPr>
          <w:rStyle w:val="SectionNumber"/>
        </w:rPr>
        <w:t xml:space="preserve">9</w:t>
      </w:r>
      <w:r>
        <w:tab/>
      </w:r>
      <w:r>
        <w:t xml:space="preserve">Lineamientos y Recomendaciones</w:t>
      </w:r>
    </w:p>
    <w:bookmarkStart w:id="232"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32"/>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32"/>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32"/>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32"/>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32"/>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32"/>
    <w:bookmarkStart w:id="233"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33"/>
        </w:numPr>
      </w:pPr>
      <w:r>
        <w:t xml:space="preserve">Tener una espacio exclusivo y seguro para el almacenamiento de los recetarios, en el cual sólo se tenga acceso cierto personal del FRE.</w:t>
      </w:r>
    </w:p>
    <w:p>
      <w:pPr>
        <w:numPr>
          <w:ilvl w:val="0"/>
          <w:numId w:val="1033"/>
        </w:numPr>
      </w:pPr>
      <w:r>
        <w:t xml:space="preserve">Realizar un seguimiento de los recetarios por medio de la codificación al momento de venderse, puesto que al no llevar registro de los mismos hay una posibilidad de falsificación y/o desvío.</w:t>
      </w:r>
    </w:p>
    <w:p>
      <w:pPr>
        <w:numPr>
          <w:ilvl w:val="0"/>
          <w:numId w:val="1033"/>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33"/>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33"/>
        </w:numPr>
      </w:pPr>
      <w:r>
        <w:t xml:space="preserve">Tener niveles de seguridad para realizar la compra de nuevos recetarios, evitando desabastecimientos y llegando a planes de contingencia que pueden llegar a ser reprocesos en los entes territoriales.</w:t>
      </w:r>
    </w:p>
    <w:bookmarkEnd w:id="233"/>
    <w:bookmarkStart w:id="234"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34"/>
        </w:numPr>
      </w:pPr>
      <w:r>
        <w:t xml:space="preserve">Usar herramientas informáticas que permitan tener un mejor manejo de trazabilidad del inventario.</w:t>
      </w:r>
    </w:p>
    <w:p>
      <w:pPr>
        <w:numPr>
          <w:ilvl w:val="0"/>
          <w:numId w:val="1034"/>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34"/>
        </w:numPr>
      </w:pPr>
      <w:r>
        <w:t xml:space="preserve">Actualizar los equipos de cómputo en el FRE que deben estar en cantidad suficiente de forma que permitan realizar un control del inventario.</w:t>
      </w:r>
    </w:p>
    <w:p>
      <w:pPr>
        <w:numPr>
          <w:ilvl w:val="0"/>
          <w:numId w:val="1034"/>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34"/>
        </w:numPr>
      </w:pPr>
      <w:r>
        <w:t xml:space="preserve">Implementar un adecuado proceso de recepción técnica con inspección a niveles de 100% o utilización de planes de muestreo como el expuesto por la tabla militar estándar.</w:t>
      </w:r>
    </w:p>
    <w:p>
      <w:pPr>
        <w:numPr>
          <w:ilvl w:val="0"/>
          <w:numId w:val="1034"/>
        </w:numPr>
      </w:pPr>
      <w:r>
        <w:t xml:space="preserve">Seguir con buenas prácticas de almacenamiento de los medicamentos evitando utilizar los lugares destinados para esto con otros fines.</w:t>
      </w:r>
    </w:p>
    <w:p>
      <w:pPr>
        <w:numPr>
          <w:ilvl w:val="0"/>
          <w:numId w:val="1034"/>
        </w:numPr>
      </w:pPr>
      <w:r>
        <w:t xml:space="preserve">Comunicar de manera eficiente y oportuna sobre problemas relacionados con la distribución de MME por parte del FNE.</w:t>
      </w:r>
    </w:p>
    <w:p>
      <w:pPr>
        <w:numPr>
          <w:ilvl w:val="0"/>
          <w:numId w:val="1034"/>
        </w:numPr>
      </w:pPr>
      <w:r>
        <w:t xml:space="preserve">Realizar ajustes en los esquemas de precios por parte del FNE para disminuir la utilización del canal de compra directa.</w:t>
      </w:r>
    </w:p>
    <w:p>
      <w:pPr>
        <w:numPr>
          <w:ilvl w:val="0"/>
          <w:numId w:val="1034"/>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34"/>
    <w:bookmarkStart w:id="235"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35"/>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35"/>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35"/>
        </w:numPr>
      </w:pPr>
      <w:r>
        <w:t xml:space="preserve">Asegurar que el envío de informes mensuales, se haga en el tiempo estipulado según la Resolución 1479 de 2006. Esta actividad debe considerándose como un indicador de buena gestión al interior del ente territorial.</w:t>
      </w:r>
    </w:p>
    <w:bookmarkEnd w:id="235"/>
    <w:bookmarkStart w:id="236"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6"/>
        </w:numPr>
      </w:pPr>
      <w:r>
        <w:t xml:space="preserve">Adecuar un (1) computador en óptimas condiciones, para adelantar las principales tareas y cumplir las funciones estipuladas en la Resolución 1479 del 2006.</w:t>
      </w:r>
    </w:p>
    <w:p>
      <w:pPr>
        <w:numPr>
          <w:ilvl w:val="0"/>
          <w:numId w:val="1036"/>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6"/>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36"/>
    <w:bookmarkEnd w:id="237"/>
    <w:bookmarkStart w:id="238" w:name="glosario"/>
    <w:p>
      <w:pPr>
        <w:pStyle w:val="Heading1"/>
      </w:pPr>
      <w:r>
        <w:t xml:space="preserve">Glosario</w:t>
      </w:r>
    </w:p>
    <w:p>
      <w:pPr>
        <w:numPr>
          <w:ilvl w:val="0"/>
          <w:numId w:val="1037"/>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53</w:t>
        </w:r>
      </w:hyperlink>
      <w:r>
        <w:t xml:space="preserve">.</w:t>
      </w:r>
    </w:p>
    <w:p>
      <w:pPr>
        <w:numPr>
          <w:ilvl w:val="0"/>
          <w:numId w:val="1037"/>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7"/>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31</w:t>
        </w:r>
      </w:hyperlink>
      <w:r>
        <w:t xml:space="preserve">.</w:t>
      </w:r>
    </w:p>
    <w:p>
      <w:pPr>
        <w:numPr>
          <w:ilvl w:val="0"/>
          <w:numId w:val="1037"/>
        </w:numPr>
      </w:pPr>
      <w:r>
        <w:rPr>
          <w:bCs/>
          <w:b/>
        </w:rPr>
        <w:t xml:space="preserve">Disponibilidad</w:t>
      </w:r>
      <w:r>
        <w:t xml:space="preserve">: condición en la cual se cuentan con existencias del medicamento en el territorio nacional.</w:t>
      </w:r>
    </w:p>
    <w:p>
      <w:pPr>
        <w:numPr>
          <w:ilvl w:val="0"/>
          <w:numId w:val="1037"/>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54</w:t>
        </w:r>
      </w:hyperlink>
      <w:r>
        <w:t xml:space="preserve">.</w:t>
      </w:r>
    </w:p>
    <w:p>
      <w:pPr>
        <w:numPr>
          <w:ilvl w:val="0"/>
          <w:numId w:val="1037"/>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7"/>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7"/>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7"/>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7"/>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7"/>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7"/>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7"/>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7"/>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7"/>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18</w:t>
        </w:r>
      </w:hyperlink>
      <w:r>
        <w:t xml:space="preserve">.</w:t>
      </w:r>
    </w:p>
    <w:p>
      <w:pPr>
        <w:numPr>
          <w:ilvl w:val="0"/>
          <w:numId w:val="1037"/>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7"/>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7"/>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7"/>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8"/>
    <w:bookmarkStart w:id="241" w:name="créditos"/>
    <w:p>
      <w:pPr>
        <w:pStyle w:val="Heading1"/>
      </w:pPr>
      <w:r>
        <w:t xml:space="preserve">Créditos</w:t>
      </w:r>
    </w:p>
    <w:bookmarkStart w:id="23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9"/>
    <w:bookmarkStart w:id="240"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8"/>
        </w:numPr>
      </w:pPr>
      <w:r>
        <w:t xml:space="preserve">Heliodoro Kerguelen y Erick Novoa (FRE Córdoba)</w:t>
      </w:r>
    </w:p>
    <w:p>
      <w:pPr>
        <w:numPr>
          <w:ilvl w:val="0"/>
          <w:numId w:val="1038"/>
        </w:numPr>
      </w:pPr>
      <w:r>
        <w:t xml:space="preserve">Jovana Vitola Julio, Leidy Llorente Villadiego y Dilia Borge Bonadiez (FRE Atlántico)</w:t>
      </w:r>
    </w:p>
    <w:p>
      <w:pPr>
        <w:numPr>
          <w:ilvl w:val="0"/>
          <w:numId w:val="1038"/>
        </w:numPr>
      </w:pPr>
      <w:r>
        <w:t xml:space="preserve">Paola Andrea Gómez Llano (FRE Antioquia)</w:t>
      </w:r>
    </w:p>
    <w:p>
      <w:pPr>
        <w:numPr>
          <w:ilvl w:val="0"/>
          <w:numId w:val="1038"/>
        </w:numPr>
      </w:pPr>
      <w:r>
        <w:t xml:space="preserve">Rafael Tapia Buendia (FRE Magdalena)</w:t>
      </w:r>
    </w:p>
    <w:p>
      <w:pPr>
        <w:numPr>
          <w:ilvl w:val="0"/>
          <w:numId w:val="1038"/>
        </w:numPr>
      </w:pPr>
      <w:r>
        <w:t xml:space="preserve">Maria Eugenia Barrios (FRE Bolivar)</w:t>
      </w:r>
    </w:p>
    <w:p>
      <w:pPr>
        <w:numPr>
          <w:ilvl w:val="0"/>
          <w:numId w:val="1038"/>
        </w:numPr>
      </w:pPr>
      <w:r>
        <w:t xml:space="preserve">Amilcar Marquez (FRE Norte De Santander)</w:t>
      </w:r>
    </w:p>
    <w:p>
      <w:pPr>
        <w:numPr>
          <w:ilvl w:val="0"/>
          <w:numId w:val="1038"/>
        </w:numPr>
      </w:pPr>
      <w:r>
        <w:t xml:space="preserve">Diana Carolina Valbuena Sterling y Edimer Covaleda Yustres (FRE Huila)</w:t>
      </w:r>
    </w:p>
    <w:p>
      <w:pPr>
        <w:numPr>
          <w:ilvl w:val="0"/>
          <w:numId w:val="1038"/>
        </w:numPr>
      </w:pPr>
      <w:r>
        <w:t xml:space="preserve">Julieta Palacios Pinzón y Jonathan Sánchez Mateus (FRE Casanare)</w:t>
      </w:r>
    </w:p>
    <w:p>
      <w:pPr>
        <w:numPr>
          <w:ilvl w:val="0"/>
          <w:numId w:val="1038"/>
        </w:numPr>
      </w:pPr>
      <w:r>
        <w:t xml:space="preserve">Marly Julieth Espitia y Stella Torres Sanabria (FRE Tolima)</w:t>
      </w:r>
    </w:p>
    <w:p>
      <w:pPr>
        <w:numPr>
          <w:ilvl w:val="0"/>
          <w:numId w:val="1038"/>
        </w:numPr>
      </w:pPr>
      <w:r>
        <w:t xml:space="preserve">Adriana María Murillo (FRE Quindío)</w:t>
      </w:r>
    </w:p>
    <w:p>
      <w:pPr>
        <w:numPr>
          <w:ilvl w:val="0"/>
          <w:numId w:val="1038"/>
        </w:numPr>
      </w:pPr>
      <w:r>
        <w:t xml:space="preserve">Sara Bacares y Pilar Pacheco (FRE Boyacá)</w:t>
      </w:r>
    </w:p>
    <w:p>
      <w:pPr>
        <w:numPr>
          <w:ilvl w:val="0"/>
          <w:numId w:val="1038"/>
        </w:numPr>
      </w:pPr>
      <w:r>
        <w:t xml:space="preserve">Andrea Porras (FRE Valle Del Cauca)</w:t>
      </w:r>
    </w:p>
    <w:p>
      <w:pPr>
        <w:numPr>
          <w:ilvl w:val="0"/>
          <w:numId w:val="1038"/>
        </w:numPr>
      </w:pPr>
      <w:r>
        <w:t xml:space="preserve">Juan David Apraez (FRE Putumayo)</w:t>
      </w:r>
    </w:p>
    <w:p>
      <w:pPr>
        <w:numPr>
          <w:ilvl w:val="0"/>
          <w:numId w:val="1038"/>
        </w:numPr>
      </w:pPr>
      <w:r>
        <w:t xml:space="preserve">Andrés Alexander Benavides Salazar y Zully Bolaños Guerrero (FRE Nariño)</w:t>
      </w:r>
    </w:p>
    <w:p>
      <w:pPr>
        <w:numPr>
          <w:ilvl w:val="0"/>
          <w:numId w:val="1038"/>
        </w:numPr>
      </w:pPr>
      <w:r>
        <w:t xml:space="preserve">Silvia Espitia Vergara y Greici Castilla (FRE Cauca)</w:t>
      </w:r>
    </w:p>
    <w:p>
      <w:pPr>
        <w:numPr>
          <w:ilvl w:val="0"/>
          <w:numId w:val="1038"/>
        </w:numPr>
      </w:pPr>
      <w:r>
        <w:t xml:space="preserve">Sara Ramírez Acosta (FRE Vichada)</w:t>
      </w:r>
    </w:p>
    <w:p>
      <w:pPr>
        <w:numPr>
          <w:ilvl w:val="0"/>
          <w:numId w:val="1038"/>
        </w:numPr>
      </w:pPr>
      <w:r>
        <w:t xml:space="preserve">Enith Del Carmen Gil y Milena Arnero (FRE Sucre)</w:t>
      </w:r>
    </w:p>
    <w:p>
      <w:pPr>
        <w:numPr>
          <w:ilvl w:val="0"/>
          <w:numId w:val="1038"/>
        </w:numPr>
      </w:pPr>
      <w:r>
        <w:t xml:space="preserve">Carlos Manuel Cantillo (FRE Chocó)</w:t>
      </w:r>
    </w:p>
    <w:p>
      <w:pPr>
        <w:numPr>
          <w:ilvl w:val="0"/>
          <w:numId w:val="1038"/>
        </w:numPr>
      </w:pPr>
      <w:r>
        <w:t xml:space="preserve">Dina Luz Gómez Mena y Dairys Isabel Medina Cujia (FRE Cesar)</w:t>
      </w:r>
    </w:p>
    <w:p>
      <w:pPr>
        <w:numPr>
          <w:ilvl w:val="0"/>
          <w:numId w:val="1038"/>
        </w:numPr>
      </w:pPr>
      <w:r>
        <w:t xml:space="preserve">Armando Pulido y Libardo Padilla Molina (FRE La Guajira)</w:t>
      </w:r>
    </w:p>
    <w:p>
      <w:pPr>
        <w:numPr>
          <w:ilvl w:val="0"/>
          <w:numId w:val="1038"/>
        </w:numPr>
      </w:pPr>
      <w:r>
        <w:t xml:space="preserve">Yudislay Prado Restrepo (FRE Caquetá)</w:t>
      </w:r>
    </w:p>
    <w:p>
      <w:pPr>
        <w:numPr>
          <w:ilvl w:val="0"/>
          <w:numId w:val="1038"/>
        </w:numPr>
      </w:pPr>
      <w:r>
        <w:t xml:space="preserve">Marcia Medina y Camilo Tananta (FRE Amazonas)</w:t>
      </w:r>
    </w:p>
    <w:p>
      <w:pPr>
        <w:numPr>
          <w:ilvl w:val="0"/>
          <w:numId w:val="1038"/>
        </w:numPr>
      </w:pPr>
      <w:r>
        <w:t xml:space="preserve">Luz Marina Hernández (FRE Risaralda)</w:t>
      </w:r>
    </w:p>
    <w:p>
      <w:pPr>
        <w:numPr>
          <w:ilvl w:val="0"/>
          <w:numId w:val="1038"/>
        </w:numPr>
      </w:pPr>
      <w:r>
        <w:t xml:space="preserve">Lourdres Cristina Tous Tous (FRE San Andrés, Providencia y Santa Catalina)</w:t>
      </w:r>
    </w:p>
    <w:p>
      <w:pPr>
        <w:numPr>
          <w:ilvl w:val="0"/>
          <w:numId w:val="1038"/>
        </w:numPr>
      </w:pPr>
      <w:r>
        <w:t xml:space="preserve">Brenda Colina Moreno y Kiara Bolívar (FRE Arauca)</w:t>
      </w:r>
    </w:p>
    <w:p>
      <w:pPr>
        <w:numPr>
          <w:ilvl w:val="0"/>
          <w:numId w:val="1038"/>
        </w:numPr>
      </w:pPr>
      <w:r>
        <w:t xml:space="preserve">Enna Rossana Ruiz (FRE Meta)</w:t>
      </w:r>
    </w:p>
    <w:p>
      <w:pPr>
        <w:numPr>
          <w:ilvl w:val="0"/>
          <w:numId w:val="1038"/>
        </w:numPr>
      </w:pPr>
      <w:r>
        <w:t xml:space="preserve">Ludy Rivera y Luis Felipe Salamanca (FRE Santander)</w:t>
      </w:r>
    </w:p>
    <w:p>
      <w:pPr>
        <w:numPr>
          <w:ilvl w:val="0"/>
          <w:numId w:val="1038"/>
        </w:numPr>
      </w:pPr>
      <w:r>
        <w:t xml:space="preserve">Ener Mauricio Hernández y Dany Leandro Hidalgo Méndez (FRE Guainia)</w:t>
      </w:r>
    </w:p>
    <w:p>
      <w:pPr>
        <w:numPr>
          <w:ilvl w:val="0"/>
          <w:numId w:val="1038"/>
        </w:numPr>
      </w:pPr>
      <w:r>
        <w:t xml:space="preserve">Gilberto Jimenez Jaramillo y Juan David Cadavid Rendón (FRE Caldas)</w:t>
      </w:r>
    </w:p>
    <w:p>
      <w:pPr>
        <w:numPr>
          <w:ilvl w:val="0"/>
          <w:numId w:val="1038"/>
        </w:numPr>
      </w:pPr>
      <w:r>
        <w:t xml:space="preserve">Gregorio Figueroa Cruz y Juan Pablo Arias (FRE Guaviare)</w:t>
      </w:r>
    </w:p>
    <w:p>
      <w:pPr>
        <w:numPr>
          <w:ilvl w:val="0"/>
          <w:numId w:val="1038"/>
        </w:numPr>
      </w:pPr>
      <w:r>
        <w:t xml:space="preserve">Leyda Lugo y Carlos Guzman (FRE Vaupés)</w:t>
      </w:r>
    </w:p>
    <w:bookmarkEnd w:id="240"/>
    <w:bookmarkEnd w:id="241"/>
    <w:bookmarkStart w:id="303" w:name="referencias"/>
    <w:p>
      <w:pPr>
        <w:pStyle w:val="Heading1"/>
      </w:pPr>
      <w:r>
        <w:t xml:space="preserve">Referencias</w:t>
      </w:r>
    </w:p>
    <w:bookmarkStart w:id="302" w:name="refs"/>
    <w:bookmarkStart w:id="242"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42"/>
    <w:bookmarkStart w:id="243"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43"/>
    <w:bookmarkStart w:id="244"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44"/>
    <w:bookmarkStart w:id="245"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45"/>
    <w:bookmarkStart w:id="246"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46"/>
    <w:bookmarkStart w:id="247"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7"/>
    <w:bookmarkStart w:id="248"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8"/>
    <w:bookmarkStart w:id="249" w:name="ref-MinisteriodeSalud1994"/>
    <w:p>
      <w:pPr>
        <w:pStyle w:val="Bibliography"/>
      </w:pPr>
      <w:r>
        <w:t xml:space="preserve">8.</w:t>
      </w:r>
      <w:r>
        <w:t xml:space="preserve"> </w:t>
      </w:r>
      <w:r>
        <w:t xml:space="preserve">	</w:t>
      </w:r>
      <w:r>
        <w:t xml:space="preserve">Ministerio de Salud.</w:t>
      </w:r>
      <w:r>
        <w:t xml:space="preserve"> </w:t>
      </w:r>
      <w:r>
        <w:t xml:space="preserve">Resoluci</w:t>
      </w:r>
      <w:r>
        <w:t xml:space="preserve">ó</w:t>
      </w:r>
      <w:r>
        <w:t xml:space="preserve">n 5261 de 1994. Por la cual se establece el Manual de Actividades, Intervenciones y Procedimientos del Plan Obligatorio de Salud en el Sistema General de Seguridad Social en Salud.</w:t>
      </w:r>
      <w:r>
        <w:t xml:space="preserve"> 1994.</w:t>
      </w:r>
    </w:p>
    <w:bookmarkEnd w:id="249"/>
    <w:bookmarkStart w:id="250" w:name="ref-DepartamentoNacionaldePlaneacion2019"/>
    <w:p>
      <w:pPr>
        <w:pStyle w:val="Bibliography"/>
      </w:pPr>
      <w:r>
        <w:t xml:space="preserve">9.</w:t>
      </w:r>
      <w:r>
        <w:t xml:space="preserve"> </w:t>
      </w:r>
      <w:r>
        <w:t xml:space="preserve">	</w:t>
      </w:r>
      <w:r>
        <w:t xml:space="preserve">Departamento Nacional de Planeación.</w:t>
      </w:r>
      <w:r>
        <w:t xml:space="preserve"> </w:t>
      </w:r>
      <w:r>
        <w:t xml:space="preserve">Regionalizaci</w:t>
      </w:r>
      <w:r>
        <w:t xml:space="preserve">ó</w:t>
      </w:r>
      <w:r>
        <w:t xml:space="preserve">n Presupuesto de Inversi</w:t>
      </w:r>
      <w:r>
        <w:t xml:space="preserve">ó</w:t>
      </w:r>
      <w:r>
        <w:t xml:space="preserve">n. Vigencia 2020. Regionalizaci</w:t>
      </w:r>
      <w:r>
        <w:t xml:space="preserve">ó</w:t>
      </w:r>
      <w:r>
        <w:t xml:space="preserve">n indicativa sobre el monto de inversi</w:t>
      </w:r>
      <w:r>
        <w:t xml:space="preserve">ó</w:t>
      </w:r>
      <w:r>
        <w:t xml:space="preserve">n para segundo debate al prpyecto de Ley del Presupuesto General de la Naci</w:t>
      </w:r>
      <w:r>
        <w:t xml:space="preserve">ó</w:t>
      </w:r>
      <w:r>
        <w:t xml:space="preserve">n 2020</w:t>
      </w:r>
      <w:r>
        <w:t xml:space="preserve">. 1.ª edición. Bogot</w:t>
      </w:r>
      <w:r>
        <w:t xml:space="preserve">á</w:t>
      </w:r>
      <w:r>
        <w:t xml:space="preserve">: Departamento Nacional de Planeaci</w:t>
      </w:r>
      <w:r>
        <w:t xml:space="preserve">ó</w:t>
      </w:r>
      <w:r>
        <w:t xml:space="preserve">n; 2019.</w:t>
      </w:r>
    </w:p>
    <w:bookmarkEnd w:id="250"/>
    <w:bookmarkStart w:id="251" w:name="ref-Hennig2016"/>
    <w:p>
      <w:pPr>
        <w:pStyle w:val="Bibliography"/>
      </w:pPr>
      <w:r>
        <w:t xml:space="preserve">10.</w:t>
      </w:r>
      <w:r>
        <w:t xml:space="preserve"> </w:t>
      </w:r>
      <w:r>
        <w:t xml:space="preserve">	</w:t>
      </w:r>
      <w:r>
        <w:t xml:space="preserve">Hennig C., Meila M., Murtagh F., Rocci R.</w:t>
      </w:r>
      <w:r>
        <w:t xml:space="preserve"> </w:t>
      </w:r>
      <w:r>
        <w:t xml:space="preserve">Handbook of Cluster Analysis</w:t>
      </w:r>
      <w:r>
        <w:t xml:space="preserve">. 1.ª edición. Boca Raton, FL, USA: Taylor &amp; Francis Group, LLC; 2016.</w:t>
      </w:r>
    </w:p>
    <w:bookmarkEnd w:id="251"/>
    <w:bookmarkStart w:id="252" w:name="ref-R_Stats"/>
    <w:p>
      <w:pPr>
        <w:pStyle w:val="Bibliography"/>
      </w:pPr>
      <w:r>
        <w:t xml:space="preserve">11.</w:t>
      </w:r>
      <w:r>
        <w:t xml:space="preserve"> </w:t>
      </w:r>
      <w:r>
        <w:t xml:space="preserve">	</w:t>
      </w:r>
      <w:r>
        <w:t xml:space="preserve">R Core Team. R: A Language and Environment for Statistical Computing. Vienna, Austria: R Foundation for Statistical Computing; 2021.</w:t>
      </w:r>
    </w:p>
    <w:bookmarkEnd w:id="252"/>
    <w:bookmarkStart w:id="253" w:name="ref-R_clValid"/>
    <w:p>
      <w:pPr>
        <w:pStyle w:val="Bibliography"/>
      </w:pPr>
      <w:r>
        <w:t xml:space="preserve">12.</w:t>
      </w:r>
      <w:r>
        <w:t xml:space="preserve"> </w:t>
      </w:r>
      <w:r>
        <w:t xml:space="preserve">	</w:t>
      </w:r>
      <w:r>
        <w:t xml:space="preserve">Brock G., Pihur V., Datta S., Datta S.</w:t>
      </w:r>
      <w:r>
        <w:t xml:space="preserve"> </w:t>
      </w:r>
      <w:r>
        <w:t xml:space="preserve">clValid</w:t>
      </w:r>
      <w:r>
        <w:t xml:space="preserve">: An</w:t>
      </w:r>
      <w:r>
        <w:t xml:space="preserve"> </w:t>
      </w:r>
      <w:r>
        <w:t xml:space="preserve">R</w:t>
      </w:r>
      <w:r>
        <w:t xml:space="preserve"> </w:t>
      </w:r>
      <w:r>
        <w:t xml:space="preserve">Package for Cluster Validation. Journal of Statistical Software. 2008;25(4):1-22.</w:t>
      </w:r>
    </w:p>
    <w:bookmarkEnd w:id="253"/>
    <w:bookmarkStart w:id="254" w:name="ref-MSPS2200-2005"/>
    <w:p>
      <w:pPr>
        <w:pStyle w:val="Bibliography"/>
      </w:pPr>
      <w:r>
        <w:t xml:space="preserve">13.</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54"/>
    <w:bookmarkStart w:id="255" w:name="ref-MinisteriodeRelacionesExteriores2014"/>
    <w:p>
      <w:pPr>
        <w:pStyle w:val="Bibliography"/>
      </w:pPr>
      <w:r>
        <w:t xml:space="preserve">14.</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55"/>
    <w:bookmarkStart w:id="256" w:name="ref-ColombiaCompraEficiente2019"/>
    <w:p>
      <w:pPr>
        <w:pStyle w:val="Bibliography"/>
      </w:pPr>
      <w:r>
        <w:t xml:space="preserve">15.</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56"/>
    <w:bookmarkStart w:id="257" w:name="ref-FNE2015-9"/>
    <w:p>
      <w:pPr>
        <w:pStyle w:val="Bibliography"/>
      </w:pPr>
      <w:r>
        <w:t xml:space="preserve">16.</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57"/>
    <w:bookmarkStart w:id="258" w:name="X4242f5a7e44b24d61e2675796eed085a7e5e2cf"/>
    <w:p>
      <w:pPr>
        <w:pStyle w:val="Bibliography"/>
      </w:pPr>
      <w:r>
        <w:t xml:space="preserve">17.</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58"/>
    <w:bookmarkStart w:id="259" w:name="ref-CuervoBustamante2021"/>
    <w:p>
      <w:pPr>
        <w:pStyle w:val="Bibliography"/>
      </w:pPr>
      <w:r>
        <w:t xml:space="preserve">18.</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59"/>
    <w:bookmarkStart w:id="260" w:name="ref-MSPS262-2009"/>
    <w:p>
      <w:pPr>
        <w:pStyle w:val="Bibliography"/>
      </w:pPr>
      <w:r>
        <w:t xml:space="preserve">19.</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60"/>
    <w:bookmarkStart w:id="261" w:name="ref-MSPS940-2007"/>
    <w:p>
      <w:pPr>
        <w:pStyle w:val="Bibliography"/>
      </w:pPr>
      <w:r>
        <w:t xml:space="preserve">20.</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61"/>
    <w:bookmarkStart w:id="262" w:name="ref-ColombiaCompraEficiente2021"/>
    <w:p>
      <w:pPr>
        <w:pStyle w:val="Bibliography"/>
      </w:pPr>
      <w:r>
        <w:t xml:space="preserve">21.</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62"/>
    <w:bookmarkStart w:id="263" w:name="ref-MSPS2021b"/>
    <w:p>
      <w:pPr>
        <w:pStyle w:val="Bibliography"/>
      </w:pPr>
      <w:r>
        <w:t xml:space="preserve">22.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3"/>
    <w:bookmarkStart w:id="264" w:name="ref-LeonDelgado2018"/>
    <w:p>
      <w:pPr>
        <w:pStyle w:val="Bibliography"/>
      </w:pPr>
      <w:r>
        <w:t xml:space="preserve">23.</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64"/>
    <w:bookmarkStart w:id="265" w:name="ref-Pastrana2020"/>
    <w:p>
      <w:pPr>
        <w:pStyle w:val="Bibliography"/>
      </w:pPr>
      <w:r>
        <w:t xml:space="preserve">24.</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65"/>
    <w:bookmarkStart w:id="266" w:name="ref-WatsonLewis2014"/>
    <w:p>
      <w:pPr>
        <w:pStyle w:val="Bibliography"/>
      </w:pPr>
      <w:r>
        <w:t xml:space="preserve">25.</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66"/>
    <w:bookmarkStart w:id="268" w:name="ref-VergaraAguilar2019"/>
    <w:p>
      <w:pPr>
        <w:pStyle w:val="Bibliography"/>
      </w:pPr>
      <w:r>
        <w:t xml:space="preserve">26.</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67">
        <w:r>
          <w:rPr>
            <w:rStyle w:val="Hyperlink"/>
          </w:rPr>
          <w:t xml:space="preserve">10.22379/24224022237</w:t>
        </w:r>
      </w:hyperlink>
      <w:r>
        <w:t xml:space="preserve">.</w:t>
      </w:r>
    </w:p>
    <w:bookmarkEnd w:id="268"/>
    <w:bookmarkStart w:id="270" w:name="ref-Johannessen2020"/>
    <w:p>
      <w:pPr>
        <w:pStyle w:val="Bibliography"/>
      </w:pPr>
      <w:r>
        <w:t xml:space="preserve">27.</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69">
        <w:r>
          <w:rPr>
            <w:rStyle w:val="Hyperlink"/>
          </w:rPr>
          <w:t xml:space="preserve">10.1007/978-3-319-56015-1_302-1</w:t>
        </w:r>
      </w:hyperlink>
      <w:r>
        <w:t xml:space="preserve">.</w:t>
      </w:r>
    </w:p>
    <w:bookmarkEnd w:id="270"/>
    <w:bookmarkStart w:id="272" w:name="ref-Pineda2001"/>
    <w:p>
      <w:pPr>
        <w:pStyle w:val="Bibliography"/>
      </w:pPr>
      <w:r>
        <w:t xml:space="preserve">28.</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71">
        <w:r>
          <w:rPr>
            <w:rStyle w:val="Hyperlink"/>
          </w:rPr>
          <w:t xml:space="preserve">10.33588/rn.3203.2000499</w:t>
        </w:r>
      </w:hyperlink>
      <w:r>
        <w:t xml:space="preserve">.</w:t>
      </w:r>
    </w:p>
    <w:bookmarkEnd w:id="272"/>
    <w:bookmarkStart w:id="273" w:name="ref-Llanos-Lizcanoa2019"/>
    <w:p>
      <w:pPr>
        <w:pStyle w:val="Bibliography"/>
      </w:pPr>
      <w:r>
        <w:t xml:space="preserve">29.</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73"/>
    <w:bookmarkStart w:id="274" w:name="ref-LopezLopez2021"/>
    <w:p>
      <w:pPr>
        <w:pStyle w:val="Bibliography"/>
      </w:pPr>
      <w:r>
        <w:t xml:space="preserve">30.</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74"/>
    <w:bookmarkStart w:id="275" w:name="ref-INVIMA2018-Desabast"/>
    <w:p>
      <w:pPr>
        <w:pStyle w:val="Bibliography"/>
      </w:pPr>
      <w:r>
        <w:t xml:space="preserve">31.</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75"/>
    <w:bookmarkStart w:id="276" w:name="ref-FDA2014"/>
    <w:p>
      <w:pPr>
        <w:pStyle w:val="Bibliography"/>
      </w:pPr>
      <w:r>
        <w:t xml:space="preserve">32.</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76"/>
    <w:bookmarkStart w:id="277" w:name="ref-Barbosa-Povoa2019"/>
    <w:p>
      <w:pPr>
        <w:pStyle w:val="Bibliography"/>
      </w:pPr>
      <w:r>
        <w:t xml:space="preserve">33.</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77"/>
    <w:bookmarkStart w:id="279" w:name="ref-Pettit2013"/>
    <w:p>
      <w:pPr>
        <w:pStyle w:val="Bibliography"/>
      </w:pPr>
      <w:r>
        <w:t xml:space="preserve">34.</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78">
        <w:r>
          <w:rPr>
            <w:rStyle w:val="Hyperlink"/>
          </w:rPr>
          <w:t xml:space="preserve">10.1111/jbl.12009</w:t>
        </w:r>
      </w:hyperlink>
      <w:r>
        <w:t xml:space="preserve">.</w:t>
      </w:r>
    </w:p>
    <w:bookmarkEnd w:id="279"/>
    <w:bookmarkStart w:id="280" w:name="ref-Silver2017"/>
    <w:p>
      <w:pPr>
        <w:pStyle w:val="Bibliography"/>
      </w:pPr>
      <w:r>
        <w:t xml:space="preserve">35.</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80"/>
    <w:bookmarkStart w:id="282" w:name="ref-Cachon2007"/>
    <w:p>
      <w:pPr>
        <w:pStyle w:val="Bibliography"/>
      </w:pPr>
      <w:r>
        <w:t xml:space="preserve">36.</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81">
        <w:r>
          <w:rPr>
            <w:rStyle w:val="Hyperlink"/>
          </w:rPr>
          <w:t xml:space="preserve">10.1287/msom.1060.0149</w:t>
        </w:r>
      </w:hyperlink>
      <w:r>
        <w:t xml:space="preserve">.</w:t>
      </w:r>
    </w:p>
    <w:bookmarkEnd w:id="282"/>
    <w:bookmarkStart w:id="283" w:name="ref-Hollmann2015"/>
    <w:p>
      <w:pPr>
        <w:pStyle w:val="Bibliography"/>
      </w:pPr>
      <w:r>
        <w:t xml:space="preserve">37.</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83"/>
    <w:bookmarkStart w:id="284" w:name="ref-Nahmias2007"/>
    <w:p>
      <w:pPr>
        <w:pStyle w:val="Bibliography"/>
      </w:pPr>
      <w:r>
        <w:t xml:space="preserve">38.</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84"/>
    <w:bookmarkStart w:id="285" w:name="ref-Krajewski2016"/>
    <w:p>
      <w:pPr>
        <w:pStyle w:val="Bibliography"/>
      </w:pPr>
      <w:r>
        <w:t xml:space="preserve">39.</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85"/>
    <w:bookmarkStart w:id="286" w:name="X4e956815ca1199d73a39485c932e7d8485463a0"/>
    <w:p>
      <w:pPr>
        <w:pStyle w:val="Bibliography"/>
      </w:pPr>
      <w:r>
        <w:t xml:space="preserve">40.</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86"/>
    <w:bookmarkStart w:id="287" w:name="ref-CongresodelaRepublicadeColombia1993"/>
    <w:p>
      <w:pPr>
        <w:pStyle w:val="Bibliography"/>
      </w:pPr>
      <w:r>
        <w:t xml:space="preserve">41.</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7"/>
    <w:bookmarkStart w:id="288" w:name="ref-CongresodelaRepublicadeColombia2007"/>
    <w:p>
      <w:pPr>
        <w:pStyle w:val="Bibliography"/>
      </w:pPr>
      <w:r>
        <w:t xml:space="preserve">42.</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8"/>
    <w:bookmarkStart w:id="289" w:name="ref-OMS2021"/>
    <w:p>
      <w:pPr>
        <w:pStyle w:val="Bibliography"/>
      </w:pPr>
      <w:r>
        <w:t xml:space="preserve">43.</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89"/>
    <w:bookmarkStart w:id="290" w:name="ref-PDSPMinSalud2019"/>
    <w:p>
      <w:pPr>
        <w:pStyle w:val="Bibliography"/>
      </w:pPr>
      <w:r>
        <w:t xml:space="preserve">44.</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90"/>
    <w:bookmarkStart w:id="291" w:name="ref-FNE005-2019"/>
    <w:p>
      <w:pPr>
        <w:pStyle w:val="Bibliography"/>
      </w:pPr>
      <w:r>
        <w:t xml:space="preserve">45.</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91"/>
    <w:bookmarkStart w:id="292" w:name="X151870ab54b01afcd5b4b1f9212b983bdc4c06e"/>
    <w:p>
      <w:pPr>
        <w:pStyle w:val="Bibliography"/>
      </w:pPr>
      <w:r>
        <w:t xml:space="preserve">46.</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92"/>
    <w:bookmarkStart w:id="293" w:name="ref-GutierrezPulido2008"/>
    <w:p>
      <w:pPr>
        <w:pStyle w:val="Bibliography"/>
      </w:pPr>
      <w:r>
        <w:t xml:space="preserve">47.</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93"/>
    <w:bookmarkStart w:id="295" w:name="ref-Paterson2011"/>
    <w:p>
      <w:pPr>
        <w:pStyle w:val="Bibliography"/>
      </w:pPr>
      <w:r>
        <w:t xml:space="preserve">48.</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94">
        <w:r>
          <w:rPr>
            <w:rStyle w:val="Hyperlink"/>
          </w:rPr>
          <w:t xml:space="preserve">10.1016/j.ejor.2010.05.048</w:t>
        </w:r>
      </w:hyperlink>
      <w:r>
        <w:t xml:space="preserve">.</w:t>
      </w:r>
    </w:p>
    <w:bookmarkEnd w:id="295"/>
    <w:bookmarkStart w:id="296" w:name="ref-HernandezVera2017"/>
    <w:p>
      <w:pPr>
        <w:pStyle w:val="Bibliography"/>
      </w:pPr>
      <w:r>
        <w:t xml:space="preserve">49.</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96"/>
    <w:bookmarkStart w:id="297" w:name="ref-AvilaRoncancio2019"/>
    <w:p>
      <w:pPr>
        <w:pStyle w:val="Bibliography"/>
      </w:pPr>
      <w:r>
        <w:t xml:space="preserve">50.</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97"/>
    <w:bookmarkStart w:id="298" w:name="ref-CongresodelaRepublicadeColombia1988"/>
    <w:p>
      <w:pPr>
        <w:pStyle w:val="Bibliography"/>
      </w:pPr>
      <w:r>
        <w:t xml:space="preserve">51.</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98"/>
    <w:bookmarkStart w:id="299" w:name="ref-SecretariaTecnicaCNPDM-2019"/>
    <w:p>
      <w:pPr>
        <w:pStyle w:val="Bibliography"/>
      </w:pPr>
      <w:r>
        <w:t xml:space="preserve">52.</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99"/>
    <w:bookmarkStart w:id="300" w:name="ref-INVIMA2021-ALERTAS"/>
    <w:p>
      <w:pPr>
        <w:pStyle w:val="Bibliography"/>
      </w:pPr>
      <w:r>
        <w:t xml:space="preserve">53.</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300"/>
    <w:bookmarkStart w:id="301" w:name="ref-INVIMA2006-FV"/>
    <w:p>
      <w:pPr>
        <w:pStyle w:val="Bibliography"/>
      </w:pPr>
      <w:r>
        <w:t xml:space="preserve">54.</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301"/>
    <w:bookmarkEnd w:id="302"/>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98" Target="media/rId98.png" /><Relationship Type="http://schemas.openxmlformats.org/officeDocument/2006/relationships/image" Id="rId168" Target="media/rId168.png" /><Relationship Type="http://schemas.openxmlformats.org/officeDocument/2006/relationships/image" Id="rId137" Target="media/rId137.png" /><Relationship Type="http://schemas.openxmlformats.org/officeDocument/2006/relationships/image" Id="rId114" Target="media/rId114.png" /><Relationship Type="http://schemas.openxmlformats.org/officeDocument/2006/relationships/image" Id="rId187" Target="media/rId187.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190" Target="media/rId19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65" Target="media/rId165.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97" Target="media/rId197.png" /><Relationship Type="http://schemas.openxmlformats.org/officeDocument/2006/relationships/image" Id="rId205" Target="media/rId205.png" /><Relationship Type="http://schemas.openxmlformats.org/officeDocument/2006/relationships/image" Id="rId123" Target="media/rId123.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51" Target="media/rId151.png" /><Relationship Type="http://schemas.openxmlformats.org/officeDocument/2006/relationships/image" Id="rId105" Target="media/rId105.png" /><Relationship Type="http://schemas.openxmlformats.org/officeDocument/2006/relationships/image" Id="rId155" Target="media/rId155.png" /><Relationship Type="http://schemas.openxmlformats.org/officeDocument/2006/relationships/image" Id="rId112" Target="media/rId112.png" /><Relationship Type="http://schemas.openxmlformats.org/officeDocument/2006/relationships/image" Id="rId185" Target="media/rId185.png" /><Relationship Type="http://schemas.openxmlformats.org/officeDocument/2006/relationships/image" Id="rId160" Target="media/rId160.png" /><Relationship Type="http://schemas.openxmlformats.org/officeDocument/2006/relationships/image" Id="rId194" Target="media/rId19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3" Target="media/rId163.png" /><Relationship Type="http://schemas.openxmlformats.org/officeDocument/2006/relationships/image" Id="rId216" Target="media/rId216.png" /><Relationship Type="http://schemas.openxmlformats.org/officeDocument/2006/relationships/image" Id="rId90" Target="media/rId90.png" /><Relationship Type="http://schemas.openxmlformats.org/officeDocument/2006/relationships/image" Id="rId192" Target="media/rId192.png" /><Relationship Type="http://schemas.openxmlformats.org/officeDocument/2006/relationships/image" Id="rId225" Target="media/rId225.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211" Target="media/rId21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72" Target="media/rId172.png" /><Relationship Type="http://schemas.openxmlformats.org/officeDocument/2006/relationships/image" Id="rId129" Target="media/rId129.png" /><Relationship Type="http://schemas.openxmlformats.org/officeDocument/2006/relationships/image" Id="rId177" Target="media/rId177.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81" Target="media/rId8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83" Target="media/rId83.jpg" /><Relationship Type="http://schemas.openxmlformats.org/officeDocument/2006/relationships/image" Id="rId93" Target="media/rId93.png" /><Relationship Type="http://schemas.openxmlformats.org/officeDocument/2006/relationships/hyperlink" Id="rId269" Target="https://doi.org/10.1007/978-3-319-56015-1_302-1" TargetMode="External" /><Relationship Type="http://schemas.openxmlformats.org/officeDocument/2006/relationships/hyperlink" Id="rId294" Target="https://doi.org/10.1016/j.ejor.2010.05.048" TargetMode="External" /><Relationship Type="http://schemas.openxmlformats.org/officeDocument/2006/relationships/hyperlink" Id="rId278" Target="https://doi.org/10.1111/jbl.12009" TargetMode="External" /><Relationship Type="http://schemas.openxmlformats.org/officeDocument/2006/relationships/hyperlink" Id="rId281" Target="https://doi.org/10.1287/msom.1060.0149" TargetMode="External" /><Relationship Type="http://schemas.openxmlformats.org/officeDocument/2006/relationships/hyperlink" Id="rId267" Target="https://doi.org/10.22379/24224022237" TargetMode="External" /><Relationship Type="http://schemas.openxmlformats.org/officeDocument/2006/relationships/hyperlink" Id="rId271"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69" Target="https://doi.org/10.1007/978-3-319-56015-1_302-1" TargetMode="External" /><Relationship Type="http://schemas.openxmlformats.org/officeDocument/2006/relationships/hyperlink" Id="rId294" Target="https://doi.org/10.1016/j.ejor.2010.05.048" TargetMode="External" /><Relationship Type="http://schemas.openxmlformats.org/officeDocument/2006/relationships/hyperlink" Id="rId278" Target="https://doi.org/10.1111/jbl.12009" TargetMode="External" /><Relationship Type="http://schemas.openxmlformats.org/officeDocument/2006/relationships/hyperlink" Id="rId281" Target="https://doi.org/10.1287/msom.1060.0149" TargetMode="External" /><Relationship Type="http://schemas.openxmlformats.org/officeDocument/2006/relationships/hyperlink" Id="rId267" Target="https://doi.org/10.22379/24224022237" TargetMode="External" /><Relationship Type="http://schemas.openxmlformats.org/officeDocument/2006/relationships/hyperlink" Id="rId271"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2021-12-13T20:51:24Z</dcterms:created>
  <dcterms:modified xsi:type="dcterms:W3CDTF">2021-12-13T20:51:24Z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