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png" ContentType="image/png"/>
  <Override PartName="/word/media/rId64.png" ContentType="image/png"/>
  <Override PartName="/word/media/rId132.png" ContentType="image/png"/>
  <Override PartName="/word/media/rId134.png" ContentType="image/png"/>
  <Override PartName="/word/media/rId101.png" ContentType="image/png"/>
  <Override PartName="/word/media/rId71.png" ContentType="image/png"/>
  <Override PartName="/word/media/rId152.png" ContentType="image/png"/>
  <Override PartName="/word/media/rId163.png" ContentType="image/png"/>
  <Override PartName="/word/media/rId56.png" ContentType="image/png"/>
  <Override PartName="/word/media/rId154.png" ContentType="image/png"/>
  <Override PartName="/word/media/rId93.png" ContentType="image/png"/>
  <Override PartName="/word/media/rId95.png" ContentType="image/png"/>
  <Override PartName="/word/media/rId82.png" ContentType="image/png"/>
  <Override PartName="/word/media/rId103.png" ContentType="image/png"/>
  <Override PartName="/word/media/rId105.png" ContentType="image/png"/>
  <Override PartName="/word/media/rId129.png" ContentType="image/png"/>
  <Override PartName="/word/media/rId122.png" ContentType="image/png"/>
  <Override PartName="/word/media/rId107.png" ContentType="image/png"/>
  <Override PartName="/word/media/rId175.png" ContentType="image/png"/>
  <Override PartName="/word/media/rId161.png" ContentType="image/png"/>
  <Override PartName="/word/media/rId88.png" ContentType="image/png"/>
  <Override PartName="/word/media/rId89.png" ContentType="image/png"/>
  <Override PartName="/word/media/rId174.png" ContentType="image/png"/>
  <Override PartName="/word/media/rId176.png" ContentType="image/png"/>
  <Override PartName="/word/media/rId177.png" ContentType="image/png"/>
  <Override PartName="/word/media/rId39.png" ContentType="image/png"/>
  <Override PartName="/word/media/rId40.png" ContentType="image/png"/>
  <Override PartName="/word/media/rId178.png" ContentType="image/png"/>
  <Override PartName="/word/media/rId79.png" ContentType="image/png"/>
  <Override PartName="/word/media/rId119.png" ContentType="image/png"/>
  <Override PartName="/word/media/rId69.png" ContentType="image/png"/>
  <Override PartName="/word/media/rId150.png" ContentType="image/png"/>
  <Override PartName="/word/media/rId124.png" ContentType="image/png"/>
  <Override PartName="/word/media/rId158.png" ContentType="image/png"/>
  <Override PartName="/word/media/rId58.png" ContentType="image/png"/>
  <Override PartName="/word/media/rId126.png" ContentType="image/png"/>
  <Override PartName="/word/media/rId91.png" ContentType="image/png"/>
  <Override PartName="/word/media/rId127.png" ContentType="image/png"/>
  <Override PartName="/word/media/rId171.png" ContentType="image/png"/>
  <Override PartName="/word/media/rId73.png" ContentType="image/png"/>
  <Override PartName="/word/media/rId156.png" ContentType="image/png"/>
  <Override PartName="/word/media/rId173.png" ContentType="image/png"/>
  <Override PartName="/word/media/rId66.png" ContentType="image/png"/>
  <Override PartName="/word/media/rId77.png" ContentType="image/png"/>
  <Override PartName="/word/media/rId75.png" ContentType="image/png"/>
  <Override PartName="/word/media/rId84.png" ContentType="image/png"/>
  <Override PartName="/word/media/rId167.png" ContentType="image/png"/>
  <Override PartName="/word/media/rId165.png" ContentType="image/png"/>
  <Override PartName="/word/media/rId169.png" ContentType="image/png"/>
  <Override PartName="/word/media/rId110.png" ContentType="image/png"/>
  <Override PartName="/word/media/rId114.png" ContentType="image/png"/>
  <Override PartName="/word/media/rId112.png" ContentType="image/png"/>
  <Override PartName="/word/media/rId97.png" ContentType="image/png"/>
  <Override PartName="/word/media/rId99.png" ContentType="image/png"/>
  <Override PartName="/word/media/rId137.png" ContentType="image/png"/>
  <Override PartName="/word/media/rId116.png" ContentType="image/png"/>
  <Override PartName="/word/media/rId143.png" ContentType="image/png"/>
  <Override PartName="/word/media/rId54.png" ContentType="image/png"/>
  <Override PartName="/word/media/rId52.png" ContentType="image/png"/>
  <Override PartName="/word/media/rId47.png" ContentType="image/png"/>
  <Override PartName="/word/media/rId49.png" ContentType="image/png"/>
  <Override PartName="/word/media/rId43.png" ContentType="image/png"/>
  <Override PartName="/word/media/rId45.png" ContentType="image/png"/>
  <Override PartName="/word/media/rId35.png" ContentType="image/png"/>
  <Override PartName="/word/media/rId36.png" ContentType="image/png"/>
  <Override PartName="/word/media/rId61.png" ContentType="image/png"/>
  <Override PartName="/word/media/rId28.png" ContentType="image/png"/>
  <Override PartName="/word/media/rId30.png" ContentType="image/png"/>
  <Override PartName="/word/media/rId27.png" ContentType="image/png"/>
  <Override PartName="/word/media/rId32.png" ContentType="image/png"/>
  <Override PartName="/word/media/rId141.png" ContentType="image/png"/>
  <Override PartName="/word/media/rId145.png" ContentType="image/png"/>
  <Override PartName="/word/media/rId24.png" ContentType="image/png"/>
  <Override PartName="/word/media/rId63.png" ContentType="image/png"/>
  <Override PartName="/word/media/rId182.jpg" ContentType="image/jpeg"/>
  <Override PartName="/word/media/rId206.jpg" ContentType="image/jpeg"/>
  <Override PartName="/word/media/rId208.png" ContentType="image/png"/>
  <Override PartName="/word/media/rId210.png" ContentType="image/png"/>
  <Override PartName="/word/media/rId212.png" ContentType="image/png"/>
  <Override PartName="/word/media/rId214.png" ContentType="image/png"/>
  <Override PartName="/word/media/rId184.png" ContentType="image/png"/>
  <Override PartName="/word/media/rId219.png" ContentType="image/png"/>
  <Override PartName="/word/media/rId222.png" ContentType="image/png"/>
  <Override PartName="/word/media/rId225.png" ContentType="image/png"/>
  <Override PartName="/word/media/rId228.png" ContentType="image/png"/>
  <Override PartName="/word/media/rId233.png" ContentType="image/png"/>
  <Override PartName="/word/media/rId235.png" ContentType="image/png"/>
  <Override PartName="/word/media/rId186.png" ContentType="image/png"/>
  <Override PartName="/word/media/rId238.png" ContentType="image/png"/>
  <Override PartName="/word/media/rId240.png" ContentType="image/png"/>
  <Override PartName="/word/media/rId188.png" ContentType="image/png"/>
  <Override PartName="/word/media/rId243.png" ContentType="image/png"/>
  <Override PartName="/word/media/rId245.png" ContentType="image/png"/>
  <Override PartName="/word/media/rId193.png" ContentType="image/png"/>
  <Override PartName="/word/media/rId195.png" ContentType="image/png"/>
  <Override PartName="/word/media/rId2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2"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1</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Figura</w:t>
      </w:r>
      <w:r>
        <w:t xml:space="preserve"> </w:t>
      </w:r>
      <w:r>
        <w:t xml:space="preserve">4.1</w:t>
      </w:r>
      <w:r>
        <w:t xml:space="preserve"> </w:t>
      </w:r>
      <w:r>
        <w:t xml:space="preserve">muestra la creación de cada FRE en una línea del tiempo, demostrando que los primeros FRE fueron creados luego de la ratificación en Colombia de la Convención Única de Estupefacientes mediante la Ley 13 de 1974</w:t>
      </w:r>
      <w:hyperlink w:anchor="ref-CongresodelaRepublica1974">
        <w:r>
          <w:rPr>
            <w:rStyle w:val="Hyperlink"/>
            <w:vertAlign w:val="superscript"/>
          </w:rPr>
          <w:t xml:space="preserve">2</w:t>
        </w:r>
      </w:hyperlink>
      <w:r>
        <w:t xml:space="preserve">. La creación de estos FRE departamentales logró evidenciar que ya algunos territorios a nivel nacional, tenían un panorama claro del impacto de la implementación de esta convención en el país (ARREGLAR REDACCIÓN). Posteriormente con la entrada en rigor de la Ley 30 de 1986 que adopta el Estatuto Nacional de Estupefacientes y dicta otras disposiciones, ordenó a los departamentos controlar y fiscalizar las sustancias incluidas en las listas de estupefacientes de la convención única. Cabe resaltar que los entes territoriales creados hasta finales de los años 90, posiblemente contaron con suficientes capacidades internas para la pronta creación de sus respectivos Fondos Rotatorios Departamentales, diferente a los demás FRE creados posteriormente, cuyas capacidades son inferiores.</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La creación de la Federación Nacional de Departamentos permitió que los departamentos con niveles de gobernanza muchas más simples, la creación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Federación Nacional de Departamentos. Nuestra tarea es realizada a través de asesorías en las áreas jurídica, económica, financiera y administrativa; en la representación ante órganos consultivos y decisorios del Gobierno Nacional, y en cooperación institucional.</w:t>
      </w:r>
    </w:p>
    <w:p>
      <w:pPr>
        <w:pStyle w:val="BodyText"/>
      </w:pPr>
      <w:r>
        <w:t xml:space="preserve">Particularmente en algunos territorios no cuentan con un FRE propiamente constituido, por lo que el control que tienen sobre los medicamentos denominados</w:t>
      </w:r>
      <w:r>
        <w:t xml:space="preserve"> </w:t>
      </w:r>
      <w:r>
        <w:rPr>
          <w:bCs/>
          <w:b/>
        </w:rPr>
        <w:t xml:space="preserve">Monopolio del Estado</w:t>
      </w:r>
      <w:r>
        <w:t xml:space="preserve">, lo ejercen a partir de su propia interpretación de la Resolución 1478 del 2006 y Resolución 1479 del 2006.</w:t>
      </w:r>
    </w:p>
    <w:bookmarkEnd w:id="26"/>
    <w:bookmarkStart w:id="34" w:name="estructura-organizacional"/>
    <w:p>
      <w:pPr>
        <w:pStyle w:val="Heading2"/>
      </w:pPr>
      <w:r>
        <w:rPr>
          <w:rStyle w:val="SectionNumber"/>
        </w:rPr>
        <w:t xml:space="preserve">4.2</w:t>
      </w:r>
      <w:r>
        <w:tab/>
      </w:r>
      <w:r>
        <w:t xml:space="preserve">Estructura organizacional</w:t>
      </w:r>
    </w:p>
    <w:p>
      <w:pPr>
        <w:pStyle w:val="FirstParagraph"/>
      </w:pPr>
      <w:r>
        <w:t xml:space="preserve">En el panel izquierdo de la</w:t>
      </w:r>
      <w:r>
        <w:t xml:space="preserve"> </w:t>
      </w:r>
      <w:r>
        <w:t xml:space="preserve">4.2</w:t>
      </w:r>
      <w:r>
        <w:t xml:space="preserve"> </w:t>
      </w:r>
      <w:r>
        <w:t xml:space="preserve">se observa la distribución de los perfiles profesionales de los encargados de cada FRE. Se puede evidenciar una mayoría de profesionales Químicos Farmacéuticos como responsables encargados de los entes territoriales a nivel nacional.De manera similar, se observan Técnicos en Regencia en Farmacia ocupando este cargo a nivel territorial, permaneciendo en la misma línea profesional de trabajo, referente al conocimiento y habilidades en la gestión de los medicamentos. Lo anterior, es beneficioso para los procesos internos del FRE, ya que permite un adecuado desarrollo de las funciones principales del ente territorial.</w:t>
      </w:r>
    </w:p>
    <w:p>
      <w:pPr>
        <w:pStyle w:val="BodyText"/>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r>
        <w:t xml:space="preserve"> </w:t>
      </w:r>
      <w:r>
        <w:t xml:space="preserve">Por otro lado, se mantiene un grupo de profesionales diferentes a los anteriores, pero denominados como profesionales de la salud, cuyas competencias pueden relacionarse de alguna manera con la adecuada administración y gestión de los medicamentos. Por el contrario, se deben resaltar algunos profesionales (4), encargados de algunos FRE, que no poseen este tipo de habilidades idóneas y apropiadas, desde su formación profesional, resultando algunos casos en dificultades técnicas para el desarrollo interno de las entidades territoriales.</w:t>
      </w:r>
    </w:p>
    <w:p>
      <w:pPr>
        <w:pStyle w:val="CaptionedFigure"/>
      </w:pPr>
      <w:r>
        <w:drawing>
          <wp:inline>
            <wp:extent cx="5334000" cy="40005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9" w:name="fig2"/>
      <w:r>
        <w:t xml:space="preserve">Figure </w:t>
      </w:r>
      <w:fldSimple w:instr="SEQ Figure \* ARABIC ">
        <w:r>
          <w:t>2</w:t>
        </w:r>
      </w:fldSimple>
      <w:r>
        <w:t xml:space="preserve">:</w:t>
      </w:r>
      <w:r>
        <w:t xml:space="preserve"> </w:t>
      </w:r>
      <w:bookmarkEnd w:id="29"/>
      <w:r>
        <w:t xml:space="preserve">Figura 4.3: Perfil de profesional de personal de apoyo a los FRE</w:t>
      </w:r>
    </w:p>
    <w:p>
      <w:pPr>
        <w:pStyle w:val="BodyText"/>
      </w:pPr>
      <w:r>
        <w:t xml:space="preserve">Cómo se puede ver en el panel izquierdo de la Figura</w:t>
      </w:r>
      <w:r>
        <w:t xml:space="preserve"> </w:t>
      </w:r>
      <w:r>
        <w:t xml:space="preserve">4.4</w:t>
      </w:r>
      <w:r>
        <w:t xml:space="preserve">, una 10 de los 31 FRE, trabajan con un equipo de 2 personas, que corresponderían al encargado del FRE y algún contratista que sirve de apoyo en las labores relacionadas con el funcionamiento del FRE. Dependiendo de la cantidad de instituciones inscritas, si bien no existe ninguna gráfica o pregunta en la encuesta que induzca a pensar que los tipos de contratación afectan o no directamente a los FRE.</w:t>
      </w:r>
    </w:p>
    <w:p>
      <w:pPr>
        <w:pStyle w:val="CaptionedFigure"/>
      </w:pPr>
      <w:r>
        <w:drawing>
          <wp:inline>
            <wp:extent cx="5334000" cy="2051538"/>
            <wp:effectExtent b="0" l="0" r="0" t="0"/>
            <wp:docPr descr="Figura 4.4: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w:t>
      </w:r>
    </w:p>
    <w:p>
      <w:pPr>
        <w:pStyle w:val="BodyText"/>
      </w:pPr>
      <w:r>
        <w:t xml:space="preserve">A partir de la Figura</w:t>
      </w:r>
      <w:r>
        <w:t xml:space="preserve"> </w:t>
      </w:r>
      <w:r>
        <w:t xml:space="preserve">4.5</w:t>
      </w:r>
      <w:r>
        <w:t xml:space="preserve"> </w:t>
      </w:r>
      <w:r>
        <w:t xml:space="preserve">se puede notar una gran tendencia que tienen los FRE a nivel nacional, referente al tipo de vinculación por medio de contrato por prestación de servicios. La gran mayoría, precisamente, el 98%, del personal de apoyo de los FRE está relacionada con este tipo de contrato mencionado.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por nombramiento, como servidor público. En muchos territorios nombran como servidor público a la persona encargada del FRE, mientras que los demás guardan una predisposición para ser relacionados como contratistas.</w:t>
      </w:r>
    </w:p>
    <w:p>
      <w:pPr>
        <w:pStyle w:val="BodyText"/>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Lo anterior puede generar inconvenientes en la continuidad del correcto desarrollo del FRE, afectando la funcionalidad y abandonando algunas actividades críticas para cumplir sus objetivos de creación. Particularmente, los primeros meses del año, este tipo de personas vinculadas por contrato de prestación de servicios, dejan de laborar porque finalizó su contrato el año pasado, y por barreras administrativas no son contratadas hasta el segundo bimestre. El personal nombrado en muchos casos es la persona encargada del FRE, cuyos temas operativos no son fáciles y por tal motivo se dejan de hacer en el territorio, como es el caso de la consolidación de los informes que deben ser enviados mensualmente al FNE, según la normativa vigente.</w:t>
      </w:r>
    </w:p>
    <w:p>
      <w:pPr>
        <w:pStyle w:val="BodyText"/>
      </w:pPr>
      <w:r>
        <w:t xml:space="preserve">En la Tabla</w:t>
      </w:r>
      <w:r>
        <w:t xml:space="preserve"> </w:t>
      </w:r>
      <w:r>
        <w:t xml:space="preserve">4.1</w:t>
      </w:r>
      <w:r>
        <w:t xml:space="preserve"> </w:t>
      </w:r>
      <w:r>
        <w:t xml:space="preserve">se observa la proporción del personal del FRE contratado de acuerdo a la región del país.</w:t>
      </w:r>
    </w:p>
    <w:p>
      <w:pPr>
        <w:pStyle w:val="TableCaption"/>
      </w:pPr>
      <w:bookmarkStart w:id="33" w:name="table1"/>
      <w:r>
        <w:t xml:space="preserve">Table </w:t>
      </w:r>
      <w:fldSimple w:instr="SEQ Table \* ARABIC ">
        <w:r>
          <w:t>1</w:t>
        </w:r>
      </w:fldSimple>
      <w:r>
        <w:t xml:space="preserve">:</w:t>
      </w:r>
      <w:bookmarkEnd w:id="33"/>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4"/>
    <w:bookmarkStart w:id="38" w:name="instituciones-inscritas-en-el-fre"/>
    <w:p>
      <w:pPr>
        <w:pStyle w:val="Heading2"/>
      </w:pPr>
      <w:r>
        <w:rPr>
          <w:rStyle w:val="SectionNumber"/>
        </w:rPr>
        <w:t xml:space="preserve">4.3</w:t>
      </w:r>
      <w:r>
        <w:tab/>
      </w:r>
      <w:r>
        <w:t xml:space="preserve">Instituciones inscritas en el FRE</w:t>
      </w:r>
    </w:p>
    <w:p>
      <w:pPr>
        <w:pStyle w:val="FirstParagraph"/>
      </w:pPr>
      <w:r>
        <w:t xml:space="preserve">Según la Figura</w:t>
      </w:r>
      <w:r>
        <w:t xml:space="preserve"> </w:t>
      </w:r>
      <w:r>
        <w:t xml:space="preserve">4.6</w:t>
      </w:r>
      <w:r>
        <w:t xml:space="preserve"> </w:t>
      </w:r>
      <w:r>
        <w:t xml:space="preserve">se puede determinar que los FRE con más inscritos a nivel territorial, corresponden a los FRE Santander y Atlántico, con 336 y 330 instituciones habilitadas para el manejo de este tipo de medicamentos, respectivamente. Seguido de los FRE departamentales Boyacá, Caldas, Nariño y Magdalena, con un rango que se encuentra entre 208 y 245 inscritos territorialmente. Por otro lado, los FRE con menor número de inscritos en el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3</w:t>
        </w:r>
      </w:hyperlink>
      <w:r>
        <w:t xml:space="preserve">. Por tanto, este grupo de entes territoriales, guardan relación entre los factores demográficos y el número de instituciones inscritas en cada FRE. Entre menos población habite el departamento, menos instituciones se encuentran en el territorio y así mismo son pocas las responsables de la gestión de este tipo de MME.</w:t>
      </w:r>
    </w:p>
    <w:p>
      <w:pPr>
        <w:pStyle w:val="BodyText"/>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Existe una relación demográfica en los departamentos sobre la cantidad de instituciones inscritas y los departamentos con más densidad de población entendiendo que los FRE que se encuentran en estos departamentos, deberían estar mucho más desarrollados para atender la necesidad de MME de su población local, pero por cómo se evidenció en el análisis del recurso humano de los FRE, esto no siempre ocurre, y hay una tendencia a observar que la cantidad de personas encargadas en estos departamentos no dan abasto con todas las tareas requeridas para un funcionamiento integral, esto se puede ver si comparamos esta misma gráfica con el desempeño en la entrega de informes al FNE, sin embargo, existen contraejemplos a esta tendencia cómo lo es el FRE Caldas que pese a tener una cantidad de colaboradores por encima de la media, tiene un rezago importante en la entrega de informes de consumo de medicamentos al FNE.</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4"/>
      <w:r>
        <w:t xml:space="preserve">Figure </w:t>
      </w:r>
      <w:fldSimple w:instr="SEQ Figure \* ARABIC ">
        <w:r>
          <w:t>4</w:t>
        </w:r>
      </w:fldSimple>
      <w:r>
        <w:t xml:space="preserve">:</w:t>
      </w:r>
      <w:r>
        <w:t xml:space="preserve"> </w:t>
      </w:r>
      <w:bookmarkEnd w:id="37"/>
      <w:r>
        <w:t xml:space="preserve">Figura 4.7: Relación entre N° de instituciones inscritas y personal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bookmarkEnd w:id="38"/>
    <w:bookmarkStart w:id="41"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8: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9: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bookmarkEnd w:id="41"/>
    <w:bookmarkEnd w:id="42"/>
    <w:bookmarkStart w:id="87" w:name="recetarios-oficiales"/>
    <w:p>
      <w:pPr>
        <w:pStyle w:val="Heading1"/>
      </w:pPr>
      <w:r>
        <w:rPr>
          <w:rStyle w:val="SectionNumber"/>
        </w:rPr>
        <w:t xml:space="preserve">5</w:t>
      </w:r>
      <w:r>
        <w:tab/>
      </w:r>
      <w:r>
        <w:t xml:space="preserve">Recetarios oficiales</w:t>
      </w:r>
    </w:p>
    <w:bookmarkStart w:id="51" w:name="existencia-de-recetarios"/>
    <w:p>
      <w:pPr>
        <w:pStyle w:val="Heading2"/>
      </w:pPr>
      <w:r>
        <w:rPr>
          <w:rStyle w:val="SectionNumber"/>
        </w:rPr>
        <w:t xml:space="preserve">5.1</w:t>
      </w:r>
      <w:r>
        <w:tab/>
      </w:r>
      <w:r>
        <w:t xml:space="preserve">Existencia de recetarios</w:t>
      </w:r>
    </w:p>
    <w:p>
      <w:pPr>
        <w:pStyle w:val="FirstParagraph"/>
      </w:pPr>
      <w:r>
        <w:t xml:space="preserve">En el marco de las Jornadas de inmersión territoriales con los FRE del país se pudo determinar la cantidad de recetarios oficiales con los que cuentan en la actualidad. Así pues, como se observa en la Figura</w:t>
      </w:r>
      <w:r>
        <w:t xml:space="preserve"> </w:t>
      </w:r>
      <w:r>
        <w:t xml:space="preserve">5.1</w:t>
      </w:r>
      <w:r>
        <w:t xml:space="preserve">, se observa la tendencia de los departamentos más distantes de la capital de la nación, son los que cuentan con menor cantidad de recetarios actualmente.</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5"/>
      <w:r>
        <w:t xml:space="preserve">Figure </w:t>
      </w:r>
      <w:fldSimple w:instr="SEQ Figure \* ARABIC ">
        <w:r>
          <w:t>5</w:t>
        </w:r>
      </w:fldSimple>
      <w:r>
        <w:t xml:space="preserve">:</w:t>
      </w:r>
      <w:r>
        <w:t xml:space="preserve"> </w:t>
      </w:r>
      <w:bookmarkEnd w:id="44"/>
      <w:r>
        <w:t xml:space="preserve">Figura 5.1: N.° de existencias de recetarios en el FRE</w:t>
      </w:r>
    </w:p>
    <w:p>
      <w:pPr>
        <w:pStyle w:val="BodyText"/>
      </w:pPr>
      <w:r>
        <w:t xml:space="preserve">En los extremos norte y sur, es decir, la región caribe y amazónica se tiene la mayor proporción de inexistencias de recetarios, en comparación con el resto de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es la más alta ya que su población actual supera a la de los demás departamentos que cuentan con recetarios oficiales.</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4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46" w:name="fig6"/>
      <w:r>
        <w:t xml:space="preserve">Figure </w:t>
      </w:r>
      <w:fldSimple w:instr="SEQ Figure \* ARABIC ">
        <w:r>
          <w:t>6</w:t>
        </w:r>
      </w:fldSimple>
      <w:r>
        <w:t xml:space="preserve">:</w:t>
      </w:r>
      <w:r>
        <w:t xml:space="preserve"> </w:t>
      </w:r>
      <w:bookmarkEnd w:id="46"/>
      <w:r>
        <w:t xml:space="preserve">Figura 5.2: N.° de recetarios circulantes en el departamento</w:t>
      </w:r>
    </w:p>
    <w:p>
      <w:pPr>
        <w:pStyle w:val="BodyText"/>
      </w:pPr>
      <w:r>
        <w:t xml:space="preserve">Ahora bien, dentro del censo realizado en los diferentes departamentos del país, se observa en la Figura</w:t>
      </w:r>
      <w:r>
        <w:t xml:space="preserve"> </w:t>
      </w:r>
      <w:r>
        <w:t xml:space="preserve">5.3</w:t>
      </w:r>
      <w:r>
        <w:t xml:space="preserve"> </w:t>
      </w:r>
      <w:r>
        <w:t xml:space="preserve">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funcionarios en el país (Figura</w:t>
      </w:r>
      <w:r>
        <w:t xml:space="preserve"> </w:t>
      </w:r>
      <w:r>
        <w:t xml:space="preserve">4.5</w:t>
      </w:r>
      <w:r>
        <w:t xml:space="preserve">).</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4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48" w:name="fig7"/>
      <w:r>
        <w:t xml:space="preserve">Figure </w:t>
      </w:r>
      <w:fldSimple w:instr="SEQ Figure \* ARABIC ">
        <w:r>
          <w:t>7</w:t>
        </w:r>
      </w:fldSimple>
      <w:r>
        <w:t xml:space="preserve">:</w:t>
      </w:r>
      <w:r>
        <w:t xml:space="preserve"> </w:t>
      </w:r>
      <w:bookmarkEnd w:id="48"/>
      <w:r>
        <w:t xml:space="preserve">Figura 5.3: Duración de existencia de recetarios en el FRE</w:t>
      </w:r>
    </w:p>
    <w:p>
      <w:pPr>
        <w:pStyle w:val="BodyText"/>
      </w:pPr>
      <w:r>
        <w:t xml:space="preserve">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p>
      <w:pPr>
        <w:pStyle w:val="BodyText"/>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5.4</w:t>
      </w:r>
      <w:r>
        <w:t xml:space="preserve">. Cabe aclarar que según las normas de regulación de MME y recetarios oficiales, como los son las Resoluciones 1478 y 1479 de 2006</w:t>
      </w:r>
      <w:hyperlink w:anchor="ref-MSPS1479-2006">
        <w:r>
          <w:rPr>
            <w:rStyle w:val="Hyperlink"/>
            <w:vertAlign w:val="superscript"/>
          </w:rPr>
          <w:t xml:space="preserve">1</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0" w:name="fig8"/>
      <w:r>
        <w:t xml:space="preserve">Figure </w:t>
      </w:r>
      <w:fldSimple w:instr="SEQ Figure \* ARABIC ">
        <w:r>
          <w:t>8</w:t>
        </w:r>
      </w:fldSimple>
      <w:r>
        <w:t xml:space="preserve">:</w:t>
      </w:r>
      <w:r>
        <w:t xml:space="preserve"> </w:t>
      </w:r>
      <w:bookmarkEnd w:id="50"/>
      <w:r>
        <w:t xml:space="preserve">Figura 5.4: N.° de prescripciones por recetario</w:t>
      </w:r>
    </w:p>
    <w:bookmarkEnd w:id="51"/>
    <w:bookmarkStart w:id="60" w:name="costos-de-recetarios"/>
    <w:p>
      <w:pPr>
        <w:pStyle w:val="Heading2"/>
      </w:pPr>
      <w:r>
        <w:rPr>
          <w:rStyle w:val="SectionNumber"/>
        </w:rPr>
        <w:t xml:space="preserve">5.2</w:t>
      </w:r>
      <w:r>
        <w:tab/>
      </w:r>
      <w:r>
        <w:t xml:space="preserve">Costos de recetarios</w:t>
      </w:r>
    </w:p>
    <w:p>
      <w:pPr>
        <w:pStyle w:val="FirstParagraph"/>
      </w:pPr>
      <w:r>
        <w:t xml:space="preserve">Dentro del estudio de costos realizado se realizó el comparativo entre el costo de compra del recetario contra su precio de venta. Así pues, se determinó que dentro del territorio el costo de los recetarios ronda entre los 10.000 COP y los 20.000 COP, con territorios como Valle del Cauca y Casanare, en donde dicho costo se aproxima a 30.000 COP. Algunos departamentos quedan fuera de la escala de medición (Figura</w:t>
      </w:r>
      <w:r>
        <w:t xml:space="preserve"> </w:t>
      </w:r>
      <w:r>
        <w:t xml:space="preserve">5.5</w:t>
      </w:r>
      <w:r>
        <w:t xml:space="preserve">), dada sus particularidades en la contratación, puesto que se encargan del proceso de licitación y contratación de recetarios, únicamente realizan estudios de necesidad que son enviados al ente encargado de concretar la contratación, en mucho casos, la gobernación departamental.</w:t>
      </w:r>
    </w:p>
    <w:p>
      <w:pPr>
        <w:pStyle w:val="CaptionedFigure"/>
      </w:pPr>
      <w:r>
        <w:drawing>
          <wp:inline>
            <wp:extent cx="5334000" cy="333375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3" w:name="fig9"/>
      <w:r>
        <w:t xml:space="preserve">Figure </w:t>
      </w:r>
      <w:fldSimple w:instr="SEQ Figure \* ARABIC ">
        <w:r>
          <w:t>9</w:t>
        </w:r>
      </w:fldSimple>
      <w:r>
        <w:t xml:space="preserve">:</w:t>
      </w:r>
      <w:r>
        <w:t xml:space="preserve"> </w:t>
      </w:r>
      <w:bookmarkEnd w:id="53"/>
      <w:r>
        <w:t xml:space="preserve">Figura 5.5: Comparativo de costo vs precio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5.6</w:t>
      </w:r>
      <w:r>
        <w:t xml:space="preserve">, en donde se puede establecer que con mayor frecuencia los entes territoriales obtienen entre 100 y 200% de ganancia. Por otro lado los FRE de La Guajira y Nariño, poseen ganancias entre 800 y 900% en la venta de sus recetarios oficiales.</w:t>
      </w:r>
    </w:p>
    <w:p>
      <w:pPr>
        <w:pStyle w:val="CaptionedFigure"/>
      </w:pPr>
      <w:r>
        <w:drawing>
          <wp:inline>
            <wp:extent cx="5334000" cy="2667000"/>
            <wp:effectExtent b="0" l="0" r="0" t="0"/>
            <wp:docPr descr="Figura 5.6: Márgen de ganancia por recetari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5" w:name="fig10"/>
      <w:r>
        <w:t xml:space="preserve">Figure </w:t>
      </w:r>
      <w:fldSimple w:instr="SEQ Figure \* ARABIC ">
        <w:r>
          <w:t>10</w:t>
        </w:r>
      </w:fldSimple>
      <w:r>
        <w:t xml:space="preserve">:</w:t>
      </w:r>
      <w:r>
        <w:t xml:space="preserve"> </w:t>
      </w:r>
      <w:bookmarkEnd w:id="55"/>
      <w:r>
        <w:t xml:space="preserve">Figura 5.6: Márgen de ganancia por recetario</w:t>
      </w:r>
    </w:p>
    <w:p>
      <w:pPr>
        <w:pStyle w:val="BodyText"/>
      </w:pPr>
      <w:r>
        <w:t xml:space="preserve">Los amplios márgenes de ganancia y las proporciones distintas entre unos FRE y otros, se podrían relacionar con la cantidad de medidas de seguridad del recetario, la facilidad de acceso del departamento, el número de prescripciones, el tipo de licitación o la cantidad de empresas oferentes en los concursos de licitación de recetarios. En la Figura</w:t>
      </w:r>
      <w:r>
        <w:t xml:space="preserve"> </w:t>
      </w:r>
      <w:r>
        <w:t xml:space="preserve">5.7</w:t>
      </w:r>
      <w:r>
        <w:t xml:space="preserve"> </w:t>
      </w:r>
      <w:r>
        <w:t xml:space="preserve">se ilustra algunas de las variantes mencionadas en donde se logran establecer tendencias como que el número de prescripciones en general, elevan el costo de los recetarios. Pese a ello y contrario a lo que se podría suponer, la disposición estadística indica que a mayor número de medidas de seguridad en el recetario, es menor su precio. Esto podría deberse a la forma en que se adjudican los contratos y a la facilidad de elaboración en departamentos con capacidad tecnológica adecuada y diferentes oferentes en el concurso de contratación.</w:t>
      </w:r>
    </w:p>
    <w:p>
      <w:pPr>
        <w:pStyle w:val="CaptionedFigure"/>
      </w:pPr>
      <w:r>
        <w:drawing>
          <wp:inline>
            <wp:extent cx="5334000" cy="2963333"/>
            <wp:effectExtent b="0" l="0" r="0" t="0"/>
            <wp:docPr descr="Figura 5.7: Gráficos de dependencia parcia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5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57" w:name="fig11"/>
      <w:r>
        <w:t xml:space="preserve">Figure </w:t>
      </w:r>
      <w:fldSimple w:instr="SEQ Figure \* ARABIC ">
        <w:r>
          <w:t>11</w:t>
        </w:r>
      </w:fldSimple>
      <w:r>
        <w:t xml:space="preserve">:</w:t>
      </w:r>
      <w:r>
        <w:t xml:space="preserve"> </w:t>
      </w:r>
      <w:bookmarkEnd w:id="57"/>
      <w:r>
        <w:t xml:space="preserve">Figura 5.7: Gráficos de dependencia parcia - Modelo de Costos</w:t>
      </w:r>
    </w:p>
    <w:p>
      <w:pPr>
        <w:pStyle w:val="BodyText"/>
      </w:pPr>
      <w:r>
        <w:t xml:space="preserve">De igual forma, el tipo de contratación que se concreta con las empresas fabricante de los recetarios es una variable que influye en el costo de los recetarios, así pues, las modalidades de contratacion por licitacion publica, minima cuantia y selección abreviada tienden a disminuir el costo del recetario, sin embargo, los FRE que concretaron órdenes de compra de recetarios por mínima cuantía, tienden a presentar precios mayores de adquisición, con costo alrededor de los 10.000 COP y 15.000 COP. Por otro lado, se evidencia que los entes territoriales que optaron por la modalidad de contratación directa, tienden a ser los recetarios más costosos en relación con las demás, con costos superiores a los 15.000 COP por recetario en promedio, factor esperado ya que al no haber competencia entre empresas oferentes, quien posee el monopolio de fabricación es libre de disponer los precios de venta a las entidades territoriales.</w:t>
      </w:r>
    </w:p>
    <w:p>
      <w:pPr>
        <w:pStyle w:val="BodyText"/>
      </w:pPr>
      <w:r>
        <w:t xml:space="preserve">Finalmente se pude concluir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5.8</w:t>
      </w:r>
      <w:r>
        <w:t xml:space="preserve">).</w:t>
      </w:r>
    </w:p>
    <w:p>
      <w:pPr>
        <w:pStyle w:val="CaptionedFigure"/>
      </w:pPr>
      <w:r>
        <w:drawing>
          <wp:inline>
            <wp:extent cx="5334000" cy="2963333"/>
            <wp:effectExtent b="0" l="0" r="0" t="0"/>
            <wp:docPr descr="Figura 5.8: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58"/>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59" w:name="fig12"/>
      <w:r>
        <w:t xml:space="preserve">Figure </w:t>
      </w:r>
      <w:fldSimple w:instr="SEQ Figure \* ARABIC ">
        <w:r>
          <w:t>12</w:t>
        </w:r>
      </w:fldSimple>
      <w:r>
        <w:t xml:space="preserve">:</w:t>
      </w:r>
      <w:r>
        <w:t xml:space="preserve"> </w:t>
      </w:r>
      <w:bookmarkEnd w:id="59"/>
      <w:r>
        <w:t xml:space="preserve">Figura 5.8: Precio de venta de recetario por prescripción</w:t>
      </w:r>
    </w:p>
    <w:p>
      <w:pPr>
        <w:pStyle w:val="BodyText"/>
      </w:pPr>
      <w:r>
        <w:t xml:space="preserve">El valor por prescripción más alto a nivel nacional se presenta en el departamento de Casanare; pese a que el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bookmarkEnd w:id="60"/>
    <w:bookmarkStart w:id="68" w:name="tiempos-de-adquisición-de-recetarios"/>
    <w:p>
      <w:pPr>
        <w:pStyle w:val="Heading2"/>
      </w:pPr>
      <w:r>
        <w:rPr>
          <w:rStyle w:val="SectionNumber"/>
        </w:rPr>
        <w:t xml:space="preserve">5.3</w:t>
      </w:r>
      <w:r>
        <w:tab/>
      </w:r>
      <w:r>
        <w:t xml:space="preserve">Tiempos de adquisición de recetarios</w:t>
      </w:r>
    </w:p>
    <w:p>
      <w:pPr>
        <w:pStyle w:val="FirstParagraph"/>
      </w:pPr>
      <w:r>
        <w:t xml:space="preserve">La adquisición de talonarios en el territorio nacional se recoge en la Figura</w:t>
      </w:r>
      <w:r>
        <w:t xml:space="preserve"> </w:t>
      </w:r>
      <w:r>
        <w:t xml:space="preserve">5.9</w:t>
      </w:r>
      <w:r>
        <w:t xml:space="preserve">, en la que se evidencia que la mínima cuantía es la modalidad que más se ejecuta, el acompañamiento a los Fondos Rotatorios permitió explicar que dicha modalidad, en la mayoría de los casos, es favorable financieramente respecto a la inversión y recaudo posterior obtenido de la venta de los recetarios oficiales, siendo además este ingreso una de las principales fuentes de financiación de varios FRE. Sin embargo, esta modalidad tiene el limitante que algunos requerimientos importantes del proponente pueden ser desconsiderados puesto que el criterio final de selección es la mínima cuantía, lo que puede poner en riesgo el cumplimiento de las especificaciones de usuario de los recetarios oficiales finalmente recibidos. De hecho, se observaron ejemplos donde debido a la falta de verificación de la experiencia del proponente, seguimiento y/o auditoria del avance de entrega, se allegaron recetarios no conformes, como prescripciones sin codificación o tintas desgastadas.</w:t>
      </w:r>
    </w:p>
    <w:p>
      <w:pPr>
        <w:pStyle w:val="CaptionedFigure"/>
      </w:pPr>
      <w:r>
        <w:drawing>
          <wp:inline>
            <wp:extent cx="5334000" cy="3048000"/>
            <wp:effectExtent b="0" l="0" r="0" t="0"/>
            <wp:docPr descr="Figura 5.9: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2" w:name="fig13"/>
      <w:r>
        <w:t xml:space="preserve">Figure </w:t>
      </w:r>
      <w:fldSimple w:instr="SEQ Figure \* ARABIC ">
        <w:r>
          <w:t>13</w:t>
        </w:r>
      </w:fldSimple>
      <w:r>
        <w:t xml:space="preserve">:</w:t>
      </w:r>
      <w:r>
        <w:t xml:space="preserve"> </w:t>
      </w:r>
      <w:bookmarkEnd w:id="62"/>
      <w:r>
        <w:t xml:space="preserve">Figura 5.9: Modalidad de selección para contratos de adquisición de recetarios</w:t>
      </w:r>
    </w:p>
    <w:p>
      <w:pPr>
        <w:pStyle w:val="BodyText"/>
      </w:pPr>
      <w:r>
        <w:t xml:space="preserve">En segunda posición para la adquisición de recetarios oficiales se encuentra la modalidad de licitación pública, la cual si exige demostrar tiempo de experiencia definida en la elaboración de talonarios y especificaciones de usuario como características mínimas de seguridad que se mostraran más adelante (ver Figura</w:t>
      </w:r>
      <w:r>
        <w:t xml:space="preserve"> </w:t>
      </w:r>
      <w:r>
        <w:t xml:space="preserve">5.13</w:t>
      </w:r>
      <w:r>
        <w:t xml:space="preserve">). Si bien no es la modalidad predominante, en comparación con el resto de las modalidades, se ha encontrado que los recetarios oficiales obtenidos mediante este tipo de contratación, tienen características más detalladas y elaboradas que reducen su posibilidad de falsificación. 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 (licitación no es exclusiva para RO,)</w:t>
      </w:r>
    </w:p>
    <w:p>
      <w:pPr>
        <w:pStyle w:val="BodyText"/>
      </w:pPr>
      <w:r>
        <w:t xml:space="preserve">Respecto al tiempo que tarda la completitud del proceso de adquisición de los recetarios oficiales, figura</w:t>
      </w:r>
      <w:r>
        <w:t xml:space="preserve"> </w:t>
      </w:r>
      <w:r>
        <w:t xml:space="preserve">5.10</w:t>
      </w:r>
      <w:r>
        <w:t xml:space="preserve">, el proyecto permitió evidenciar que el tiempo promedio se encuentra entre 60 y 120 días (2 a 4 meses), con casos atípicos como el departamento del FRE Putumayo, el cual lleva sin concretar la compra de recetarios oficiales desde el mes de noviembre del año 2020. La principal problemática de adquisición del FRE Putumayo es debida a dificultades entre la gobernación y el proceso de licitación. Por otro lado, se observó que los departamentos que compran los talonarios por la modalidad de contratación directa, son aquellos con menores tiempos de adquisición, tiempos de aproximadamente 1 mes. Mientras que, los departamentos que compran por medio de mínima cuantía y licitación pública, tienen tiempos más variados de adquisición que pueden tardar entre 1 a 8 meses, encontrando que las demoras son debidas a los procesos que realizan los entes territoriales, tales como: la estimación de la necesidad de recetarios oficiales que dura entre 1 semana y 1 mes; la etapa precontractual que abarca los estudios previos y estudios de mercado, que tarda entre 1 y 2 meses, se aclara, entonces, que las etapas iniciales anteriormente descritas son procesos propios de los FRE, es decir, son desarrolladas por el personal encargado del FRE y los tiempos están estandarizados en cada departamento. Caso contrario a la etapa contractual, la cual puede llevar en completarse de 1 a 2 meses, o en casos particulares más de 2 meses, siendo estos tiempos estimados por los FRE, puesto que dicha etapa es llevada a cabo por las Gobernaciones y/o Secretarías departamentales, y en la mayoría de los casos se encontró que los FRE desconocen el detalle del proceso que estas llevan; y finalmente se encuentra la etapa de despacho de los recetarios, la cual puede tomar entre 1 a 3 meses en ejecutarse por parte de los contratistas, y estos tiempos son particulares de cada departamento dependiendo entre otros, del volumen de recetarios adquiridos y el nivel de especificación acordado. En este punto también es importante mencionar que el manejo y la experiencia con las herramientas de adquisición, como el programa Colombia compra Eficiente, influye en los tiempos finales.</w:t>
      </w:r>
    </w:p>
    <w:p>
      <w:pPr>
        <w:pStyle w:val="BodyText"/>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3"/>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La Figura</w:t>
      </w:r>
      <w:r>
        <w:t xml:space="preserve"> </w:t>
      </w:r>
      <w:r>
        <w:t xml:space="preserve">5.11</w:t>
      </w:r>
      <w:r>
        <w:t xml:space="preserve"> </w:t>
      </w:r>
      <w:r>
        <w:t xml:space="preserve">muestra los campos de información recolectada en bases de datos por los FRE al momento de realizar la venta de un recetario oficial, la información recolectada permite conocer a quiénes (datos básicos de las entidades y prescriptores inscritos en el FRE), cuántos (unidades consumidas y su respectivo valor), cuáles (datos de identificación de los talonarios) y con qué frecuencia los talonarios se distribuyen en los respectivos departamentos. Por tanto durante la jornada de inmersión territorial, se puedo observar que los FRE utilizan dichas bases con dos propósitos principales, en primer lugar son el insumo básico para realizar estimaciones de necesidad de recetarios, control de inventarios y control en las cantidades que los compradores adquieren, al permitirles llevar un seguimiento del consumo promedio de las entidades, de hecho en varios casos, lo anterior permitió a los FRE realizar un seguimiento a posibles desvíos o anormalidades en los consumos. Por ejemplo, con el inicio de la pandemia el consumo se disparó en la mayoría de departamentos tanto de ROs como de MME, por lo que los FRE tuvieron que fortalecer el trabajo en equipo con las entidades para mitigar desabastecimientos. Y es con este segundo propósito que los FRE usan las bases de datos, al realizar un control en el manejo de talonarios, contrarrestando la información de las bases con la allegada o solicitada durante visitas, evitando así un probable fraude o una falsificación de los mismos. Por tanto, se observó que la mayoría de FRE llevan un control de información con el fin de identificar a los compradores y las cantidades adquiridas (proporciones mayores al 50%), y en segundo lugar datos de contacto, como dirección o teléfono con tan solo 25%. Por otro lado, se evidenció que la mayoría de departamentos optan por realizar seguimiento a los talonarios con el código de serial, 83%, puesto que, los seriales de cada talonario son únicos. Así mismo, se observó que dentro de la opción</w:t>
      </w:r>
      <w:r>
        <w:t xml:space="preserve"> </w:t>
      </w:r>
      <w:r>
        <w:t xml:space="preserve">“</w:t>
      </w:r>
      <w:r>
        <w:t xml:space="preserve">Otros</w:t>
      </w:r>
      <w:r>
        <w:t xml:space="preserve">”</w:t>
      </w:r>
      <w:r>
        <w:t xml:space="preserve"> </w:t>
      </w:r>
      <w:r>
        <w:t xml:space="preserve">correspondiente a otra información recolectada por los FRE al momento de completar la venta de ROs y con una proporción del 25%, se lleva seguimiento de: el/los consecutivos de las facturas emitidas en cada compra, registro REPS, saldo de recetarios oficiales tras la compra, o códigos de recetarios oficiales prescritos allegados para su revisión, frente a este último punto se observó que algunos FRE cierran el ciclo de control del RO, al en la misma base de datos, relacionar los RO prescritos que son devueltos para su revisión.</w:t>
      </w:r>
    </w:p>
    <w:p>
      <w:pPr>
        <w:pStyle w:val="CaptionedFigure"/>
      </w:pPr>
      <w:r>
        <w:drawing>
          <wp:inline>
            <wp:extent cx="5334000" cy="3048000"/>
            <wp:effectExtent b="0" l="0" r="0" t="0"/>
            <wp:docPr descr="Figura 5.11: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6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5" w:name="fig14"/>
      <w:r>
        <w:t xml:space="preserve">Figure </w:t>
      </w:r>
      <w:fldSimple w:instr="SEQ Figure \* ARABIC ">
        <w:r>
          <w:t>14</w:t>
        </w:r>
      </w:fldSimple>
      <w:r>
        <w:t xml:space="preserve">:</w:t>
      </w:r>
      <w:r>
        <w:t xml:space="preserve"> </w:t>
      </w:r>
      <w:bookmarkEnd w:id="65"/>
      <w:r>
        <w:t xml:space="preserve">Figura 5.11: Proporción de FRE que diligencian campos en BD de venta de recetarios</w:t>
      </w:r>
    </w:p>
    <w:p>
      <w:pPr>
        <w:pStyle w:val="BodyText"/>
      </w:pPr>
      <w:r>
        <w:t xml:space="preserve">Sumado a lo anterior, en la Figura</w:t>
      </w:r>
      <w:r>
        <w:t xml:space="preserve"> </w:t>
      </w:r>
      <w:r>
        <w:t xml:space="preserve">5.12</w:t>
      </w:r>
      <w:r>
        <w:t xml:space="preserve"> </w:t>
      </w:r>
      <w:r>
        <w:t xml:space="preserve">se muestra las distintas actividades realizadas por parte de los FRE para el seguimiento al manejo de los ROs, el acompañamiento a los FRE permitió determinar que la actividad de control más realizada, alrededor de un 70%, es las visitas a las instituciones y médicos independientes inscritos en el FRE; la dinámica principal de la visita consiste en actividades propias de I.VC., y a su vez la revisión del anexo 13 y otros informes particulares contra las copias de las prescripciones de los ROs que las entidades tengan disponibles. Estas visitas han permitido evidenciar en algunos departamentos, falencias en el uso adecuado de loa ROs, como que se encuentran prescripciones en las cuales se formulan antibióticos u otros medicamentos en conjunto con MME o solos, o se tiene casos donde se encuentran talonarios en blanco, pero con firma y sello del médico prescriptor, generando un alto riesgo de desvío en las instituciones. Otras actividades de seguimiento activo al manejo de ROs son el seguimiento a las denuncias, las cuales tienen una proporción menor al 5%.</w:t>
      </w:r>
    </w:p>
    <w:p>
      <w:pPr>
        <w:pStyle w:val="BodyText"/>
      </w:pPr>
      <w:r>
        <w:t xml:space="preserve">Por tanto, se puede determinar que la mayoría de los FRE realizan actividades de seguimiento pasivas (juntas alcanzan una proporción de 50%), como la revisión de anormalidades en las bases de ventas, como se mencionó previamente, la verificación física de los ROs, la verificación de los informes digitales, anexos allegados, puntos que serán ampliados más adelante, o la verificación de recambios con un 25% de proporción, la cual consiste en autorizar la venta a las entidades, solo cuando se alleguen talonarios prescritos, es decir, si la entidad o medico prescriptor allega 2 talonarios previamente vendidos y que ya hayan sido prescritos, se pueden vender 2 talonarios nuevos; esta tendencia se puede deber a la reducida capacidad de recurso humano con el que cuentan los FRE, respecto al número de entidades y médicos prescriptores en cada departamento. De hecho,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2: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6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7" w:name="fig15"/>
      <w:r>
        <w:t xml:space="preserve">Figure </w:t>
      </w:r>
      <w:fldSimple w:instr="SEQ Figure \* ARABIC ">
        <w:r>
          <w:t>15</w:t>
        </w:r>
      </w:fldSimple>
      <w:r>
        <w:t xml:space="preserve">:</w:t>
      </w:r>
      <w:r>
        <w:t xml:space="preserve"> </w:t>
      </w:r>
      <w:bookmarkEnd w:id="67"/>
      <w:r>
        <w:t xml:space="preserve">Figura 5.12: Actividades realizadas por el FRE para el seguimiento del uso de recetarios</w:t>
      </w:r>
    </w:p>
    <w:bookmarkEnd w:id="68"/>
    <w:bookmarkStart w:id="81" w:name="características-de-los-recetarios"/>
    <w:p>
      <w:pPr>
        <w:pStyle w:val="Heading2"/>
      </w:pPr>
      <w:r>
        <w:rPr>
          <w:rStyle w:val="SectionNumber"/>
        </w:rPr>
        <w:t xml:space="preserve">5.4</w:t>
      </w:r>
      <w:r>
        <w:tab/>
      </w:r>
      <w:r>
        <w:t xml:space="preserve">Características de los recetarios</w:t>
      </w:r>
    </w:p>
    <w:p>
      <w:pPr>
        <w:pStyle w:val="FirstParagraph"/>
      </w:pPr>
      <w:r>
        <w:t xml:space="preserve">Uno de los puntos de acompañamiento del proyecto Misión PRI era conocer tanto en las visitas presenciales como virtuales, los tipos de medidas de seguridad que se implementan en los ROs de los diferentes departamentos, lo anterior se consolidó en la Figura</w:t>
      </w:r>
      <w:r>
        <w:t xml:space="preserve"> </w:t>
      </w:r>
      <w:r>
        <w:t xml:space="preserve">5.13</w:t>
      </w:r>
      <w:r>
        <w:t xml:space="preserve">, en la cual en primera medida se pudo observar que existe una gran variedad de medidas consideradas de seguridad en los ROs, y que existen y existirán tantas como nuevos proponentes se tengan, sin embargo, se reconoce que todos los departamentos implementaron la codificación en los recetarios oficiales tal y como se menciona en la Resolución 1478 de 2008</w:t>
      </w:r>
      <w:hyperlink w:anchor="ref-MSPS1478-2006">
        <w:r>
          <w:rPr>
            <w:rStyle w:val="Hyperlink"/>
            <w:vertAlign w:val="superscript"/>
          </w:rPr>
          <w:t xml:space="preserve">4</w:t>
        </w:r>
      </w:hyperlink>
      <w:r>
        <w:t xml:space="preserve">, Artículo 89, como se mencionó previamente, dicha codificación serial, en la mayoría de casos alfanumérica, desarrollada para cada talonario está pensada para ser una identificación única. En el siguiente porcentaje de mayor frecuencia se tienen las medidas de baja complejidad, con cierto riesgo de falsificación, 60% corresponden a marcas de agua, como por ejemplo figuras particulares o el mismo escudo de la gobernación, 55% sellos y/o escudos institucionales, normalmente correspondientes a las gobernaciones respectivas, y en todos los casos formatos institucionales membretados; microtexto o microletras, estas últimas con proporciones menores al 10%.</w:t>
      </w:r>
    </w:p>
    <w:p>
      <w:pPr>
        <w:pStyle w:val="CaptionedFigure"/>
      </w:pPr>
      <w:r>
        <w:drawing>
          <wp:inline>
            <wp:extent cx="5334000" cy="3809999"/>
            <wp:effectExtent b="0" l="0" r="0" t="0"/>
            <wp:docPr descr="Figura 5.13: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0" w:name="fig16"/>
      <w:r>
        <w:t xml:space="preserve">Figure </w:t>
      </w:r>
      <w:fldSimple w:instr="SEQ Figure \* ARABIC ">
        <w:r>
          <w:t>16</w:t>
        </w:r>
      </w:fldSimple>
      <w:r>
        <w:t xml:space="preserve">:</w:t>
      </w:r>
      <w:r>
        <w:t xml:space="preserve"> </w:t>
      </w:r>
      <w:bookmarkEnd w:id="70"/>
      <w:r>
        <w:t xml:space="preserve">Figura 5.13: Medidas de seguridad en los recetarios</w:t>
      </w:r>
    </w:p>
    <w:p>
      <w:pPr>
        <w:pStyle w:val="BodyText"/>
      </w:pPr>
      <w:r>
        <w:t xml:space="preserve">Considerando el riesgo de falsificación, otros Fondos Rotarios han optado por implementar niveles de seguridad mayores y elevar la confianza en el manejo de los ROs, entre estas medidas se tienen las tintas invisibles, tri-reactivas o fluorescentes que brillan al estar frente a la luz UV, las pruebas reactivo metal, que consisten en raspar un espacio determinado del RO con un metal o moneda desde la página original del talonario, y automáticamente los folios continuos se marcarán, los códigos QR que codifican información del año en el cual fue distribuido el talonario, filamentos o bandas de seguridad tecnología similar a los billetes, y demás que se pueden observar en la Figura</w:t>
      </w:r>
      <w:r>
        <w:t xml:space="preserve"> </w:t>
      </w:r>
      <w:r>
        <w:t xml:space="preserve">5.13</w:t>
      </w:r>
      <w:r>
        <w:t xml:space="preserve">. Menos del 40% de los Fondos Rotarios han implementado medidas de alta seguridad en sus recetarios oficiales debido a la capacidad de manufactura de los proveedores y/o considerando los requerimientos alcanzados según la modalidad de contratación de cada departamento. Dicha limitante se identificó en especial en las regiones alejadas del centro del país, donde, en términos de los FRE, los proveedores departamentales no tienen la capacidad o la tecnología suficiente para elaborar un talonario con características de alta seguridad. Y adquirir contratos con proveedores externos al departamento dificulta el seguimiento o alarga los procesos de compra, por lo que supone superar las barreras geográficas y/o sociales de algunos departamentos.</w:t>
      </w:r>
    </w:p>
    <w:p>
      <w:pPr>
        <w:pStyle w:val="CaptionedFigure"/>
      </w:pPr>
      <w:r>
        <w:drawing>
          <wp:inline>
            <wp:extent cx="5334000" cy="2667000"/>
            <wp:effectExtent b="0" l="0" r="0" t="0"/>
            <wp:docPr descr="Figura 5.14: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2" w:name="fig17"/>
      <w:r>
        <w:t xml:space="preserve">Figure </w:t>
      </w:r>
      <w:fldSimple w:instr="SEQ Figure \* ARABIC ">
        <w:r>
          <w:t>17</w:t>
        </w:r>
      </w:fldSimple>
      <w:r>
        <w:t xml:space="preserve">:</w:t>
      </w:r>
      <w:r>
        <w:t xml:space="preserve"> </w:t>
      </w:r>
      <w:bookmarkEnd w:id="72"/>
      <w:r>
        <w:t xml:space="preserve">Figura 5.14: Comparativo de márgen de ganancia de recetarios</w:t>
      </w:r>
    </w:p>
    <w:p>
      <w:pPr>
        <w:pStyle w:val="BodyText"/>
      </w:pPr>
      <w:r>
        <w:t xml:space="preserve">Complementando con la gráfica en la Figura</w:t>
      </w:r>
      <w:r>
        <w:t xml:space="preserve"> </w:t>
      </w:r>
      <w:r>
        <w:t xml:space="preserve">5.14</w:t>
      </w:r>
      <w:r>
        <w:t xml:space="preserve">, se confirma que existe un gran margen de variabilidad entre los costos de adquisición y venta de ROs (margen de ganancia) de los FRE. Dicha variabilidad dificulta el análisis del comportamiento de ganancias de los FRE. Por ejemplo antes de completar el proyecto de inversión, se estimaba observar un comportamiento en el cual los recetarios oficiales con más características de seguridad (independiente de su nivel de complejidad) aumentarían de forma proporcional su costo de adquisición y del mismo modo su precio de venta, sin embargo, el acompañamiento permitió evidenciar una tendencia diferente que se puede observar en la Figura</w:t>
      </w:r>
      <w:r>
        <w:t xml:space="preserve"> </w:t>
      </w:r>
      <w:r>
        <w:t xml:space="preserve">5.14</w:t>
      </w:r>
      <w:r>
        <w:t xml:space="preserve">, de forma no significativa, entre más características de seguridad implementadas (independiente de su nivel de complejidad) en un RO, más económico su costo de adquisición.</w:t>
      </w:r>
    </w:p>
    <w:p>
      <w:pPr>
        <w:pStyle w:val="BodyText"/>
      </w:pPr>
      <w:r>
        <w:rPr>
          <w:iCs/>
          <w:i/>
        </w:rPr>
        <w:t xml:space="preserve">Las medidas de seguridad, entendidas como un tipo de requerimiento técnico alcanzados o pactado en el contrato, depende de la capacidad de manufactura de los proveedores, su experiencia en el mercado, y la modalidad de contratación establecida en cada departamento, y estos últimos determinan el costo de adquisición, y todo lo anterior determina el precio de venta, porque se hace acumulativo.</w:t>
      </w:r>
    </w:p>
    <w:p>
      <w:pPr>
        <w:pStyle w:val="CaptionedFigure"/>
      </w:pPr>
      <w:r>
        <w:drawing>
          <wp:inline>
            <wp:extent cx="5334000" cy="4445000"/>
            <wp:effectExtent b="0" l="0" r="0" t="0"/>
            <wp:docPr descr="Figura 5.15: Porcentaje de entes territoriales que reciben recetarios oficiales recibidos prescritos/diligenciado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74" w:name="fig18"/>
      <w:r>
        <w:t xml:space="preserve">Figure </w:t>
      </w:r>
      <w:fldSimple w:instr="SEQ Figure \* ARABIC ">
        <w:r>
          <w:t>18</w:t>
        </w:r>
      </w:fldSimple>
      <w:r>
        <w:t xml:space="preserve">:</w:t>
      </w:r>
      <w:r>
        <w:t xml:space="preserve"> </w:t>
      </w:r>
      <w:bookmarkEnd w:id="74"/>
      <w:r>
        <w:t xml:space="preserve">Figura 5.15: Porcentaje de entes territoriales que reciben recetarios oficiales recibidos prescritos/diligenciados</w:t>
      </w:r>
    </w:p>
    <w:p>
      <w:pPr>
        <w:pStyle w:val="BodyText"/>
      </w:pPr>
      <w:r>
        <w:t xml:space="preserve">En relación a la Figura</w:t>
      </w:r>
      <w:r>
        <w:t xml:space="preserve"> </w:t>
      </w:r>
      <w:r>
        <w:t xml:space="preserve">5.15</w:t>
      </w:r>
      <w:r>
        <w:t xml:space="preserve">, se puede observar que 17 de los FRE entrevistados confirmaron que si reciben los recetarios diligenciados de las instituciones inscritas en su despacho dentro de los tiempos estimados, ver Figura</w:t>
      </w:r>
      <w:r>
        <w:t xml:space="preserve"> </w:t>
      </w:r>
      <w:r>
        <w:t xml:space="preserve">5.16</w:t>
      </w:r>
      <w:r>
        <w:t xml:space="preserve">, esto se realiza con el fin de corroborar los informes allegados correspondientes al anexo número 13 que se entregan mensualmente. El resto de los departamentos (57%) no reciben los ROs prescritos en físico, entre las razones, la más frecuente está relacionada con la capacidad de almacenamiento del FRE de este tipo de documentación, que suele ser muy limitado o no se cuenta con el mismo. En dichos casos, los fondos rotarios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realizará un muestreo para evidenciar que las fórmulas prescritas en un determinado tiempo concuerden con las cantidades de medicamentos reportados en los informes mensuales. Durante el acompañamiento se complementó como recomendación a los FRE, se considerará alinearse a lo expresado en la Circular 009 de 2015 del FNE</w:t>
      </w:r>
      <w:hyperlink w:anchor="ref-FNE2015-9">
        <w:r>
          <w:rPr>
            <w:rStyle w:val="Hyperlink"/>
            <w:vertAlign w:val="superscript"/>
          </w:rPr>
          <w:t xml:space="preserve">5</w:t>
        </w:r>
      </w:hyperlink>
      <w:r>
        <w:t xml:space="preserve">, donde se difunde la buena práctica de implementar bases de retención documental y gestión de archivo.</w:t>
      </w:r>
    </w:p>
    <w:p>
      <w:pPr>
        <w:pStyle w:val="CaptionedFigure"/>
      </w:pPr>
      <w:r>
        <w:drawing>
          <wp:inline>
            <wp:extent cx="5334000" cy="3809999"/>
            <wp:effectExtent b="0" l="0" r="0" t="0"/>
            <wp:docPr descr="Figura 5.16: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7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6" w:name="fig19"/>
      <w:r>
        <w:t xml:space="preserve">Figure </w:t>
      </w:r>
      <w:fldSimple w:instr="SEQ Figure \* ARABIC ">
        <w:r>
          <w:t>19</w:t>
        </w:r>
      </w:fldSimple>
      <w:r>
        <w:t xml:space="preserve">:</w:t>
      </w:r>
      <w:r>
        <w:t xml:space="preserve"> </w:t>
      </w:r>
      <w:bookmarkEnd w:id="76"/>
      <w:r>
        <w:t xml:space="preserve">Figura 5.16: Tiempo de recepción de recetarios oficiales desde IPS</w:t>
      </w:r>
    </w:p>
    <w:p>
      <w:pPr>
        <w:pStyle w:val="BodyText"/>
      </w:pPr>
      <w:r>
        <w:t xml:space="preserve">La frecuencia con la cual se reciben los recetarios oficiales a los FRE desde las entidades y médicos prescriptores inscritos se observa en la Figura</w:t>
      </w:r>
      <w:r>
        <w:t xml:space="preserve"> </w:t>
      </w:r>
      <w:r>
        <w:t xml:space="preserve">5.16</w:t>
      </w:r>
      <w:r>
        <w:t xml:space="preserve">, la cual guarda correlación con la información analizada en el punto anterior, donde 13 de los 17 Fondos Rotarios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w:t>
      </w:r>
    </w:p>
    <w:p>
      <w:pPr>
        <w:pStyle w:val="CaptionedFigure"/>
      </w:pPr>
      <w:r>
        <w:drawing>
          <wp:inline>
            <wp:extent cx="5334000" cy="3809999"/>
            <wp:effectExtent b="0" l="0" r="0" t="0"/>
            <wp:docPr descr="Figura 5.17: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7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8" w:name="fig20"/>
      <w:r>
        <w:t xml:space="preserve">Figure </w:t>
      </w:r>
      <w:fldSimple w:instr="SEQ Figure \* ARABIC ">
        <w:r>
          <w:t>20</w:t>
        </w:r>
      </w:fldSimple>
      <w:r>
        <w:t xml:space="preserve">:</w:t>
      </w:r>
      <w:r>
        <w:t xml:space="preserve"> </w:t>
      </w:r>
      <w:bookmarkEnd w:id="78"/>
      <w:r>
        <w:t xml:space="preserve">Figura 5.17: Tiempo de archivo de los recetarios oficiales en los FRE</w:t>
      </w:r>
    </w:p>
    <w:p>
      <w:pPr>
        <w:pStyle w:val="BodyText"/>
      </w:pPr>
      <w:r>
        <w:t xml:space="preserve">Complementando la información reportada en la Figura</w:t>
      </w:r>
      <w:r>
        <w:t xml:space="preserve"> </w:t>
      </w:r>
      <w:r>
        <w:t xml:space="preserve">5.15</w:t>
      </w:r>
      <w:r>
        <w:t xml:space="preserve">, y</w:t>
      </w:r>
      <w:r>
        <w:t xml:space="preserve"> </w:t>
      </w:r>
      <w:r>
        <w:t xml:space="preserve">5.17</w:t>
      </w:r>
      <w:r>
        <w:t xml:space="preserve">, se relacionó el tiempo de archivo que los FRE que si reciben los recetarios oficiales los almacenan, obteniendo que 10 FRE los almacenan por un periodo mayor a 5 años. Durante las jornadas de inmersión territorial se puedo observar que este tiempo de almacenamiento, en la mayoría de los casos, es por desinformación en los FRE, puesto que no se tiene presente el tiempo que se deben guardar estas copias, y al considerarlas parte de la historia clínica de un paciente estiman guardarlas por hasta 10 años, superando en muchos casos la capacidad de archivo de los FRE. En otros casos, la intención de archivo se acoge a las medidas establecidas por las gobernaciones, en las cuales se pide un archivo de 20 años para documentación critica, según las tablas de retención documental gubernamental. Otros FRE en cambio establecieron protocolo de archivo y una vez cumplido el periodo de almacenamiento, por supuesto, posterior revisión, los recetarios oficiales son destruidos.</w:t>
      </w:r>
    </w:p>
    <w:p>
      <w:pPr>
        <w:pStyle w:val="CaptionedFigure"/>
      </w:pPr>
      <w:r>
        <w:drawing>
          <wp:inline>
            <wp:extent cx="5334000" cy="3809999"/>
            <wp:effectExtent b="0" l="0" r="0" t="0"/>
            <wp:docPr descr="Figura 5.18: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7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0" w:name="fig21"/>
      <w:r>
        <w:t xml:space="preserve">Figure </w:t>
      </w:r>
      <w:fldSimple w:instr="SEQ Figure \* ARABIC ">
        <w:r>
          <w:t>21</w:t>
        </w:r>
      </w:fldSimple>
      <w:r>
        <w:t xml:space="preserve">:</w:t>
      </w:r>
      <w:r>
        <w:t xml:space="preserve"> </w:t>
      </w:r>
      <w:bookmarkEnd w:id="80"/>
      <w:r>
        <w:t xml:space="preserve">Figura 5.18: Medidas de seguridad en almacenamiento de recetarios</w:t>
      </w:r>
    </w:p>
    <w:p>
      <w:pPr>
        <w:pStyle w:val="BodyText"/>
      </w:pPr>
      <w:r>
        <w:t xml:space="preserve">Como se mencionó previamente durante el acompañamiento se compartió la Circular 009 de 2015, la cual en su Artículo Primero expresa lo siguiente:</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w:t>
      </w:r>
      <w:r>
        <w:rPr>
          <w:iCs/>
          <w:i/>
        </w:rPr>
        <w:t xml:space="preserve">”</w:t>
      </w:r>
    </w:p>
    <w:p>
      <w:pPr>
        <w:pStyle w:val="FirstParagraph"/>
      </w:pPr>
      <w:r>
        <w:t xml:space="preserve">Cuando se utilicen talonarios (artículo 30, inciso 2 b) de recetas oficiales, dichos talonarios se conservarán también durante un periodo de dos años por lo menos”. 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5.18</w:t>
      </w:r>
      <w:r>
        <w:t xml:space="preserve"> </w:t>
      </w:r>
      <w:r>
        <w:t xml:space="preserve">se observa que todos los departamentos han implementado algún tipo de medida de seguridad para el control de los ROs. 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ROs.</w:t>
      </w:r>
    </w:p>
    <w:p>
      <w:pPr>
        <w:pStyle w:val="BodyText"/>
      </w:pPr>
      <w:r>
        <w:t xml:space="preserve">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 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Además de lo anterior, existen 3 departamentos que realizan un inventario físico diario aumentado la seguridad y trazabilidad de la rotación de los recetarios. Este inventario físico está relacionado con… __</w:t>
      </w:r>
    </w:p>
    <w:bookmarkEnd w:id="81"/>
    <w:bookmarkStart w:id="86" w:name="recetario-oficial-electrónico"/>
    <w:p>
      <w:pPr>
        <w:pStyle w:val="Heading2"/>
      </w:pPr>
      <w:r>
        <w:rPr>
          <w:rStyle w:val="SectionNumber"/>
        </w:rPr>
        <w:t xml:space="preserve">5.5</w:t>
      </w:r>
      <w:r>
        <w:tab/>
      </w:r>
      <w:r>
        <w:t xml:space="preserve">Recetario Oficial Electrónico</w:t>
      </w:r>
    </w:p>
    <w:p>
      <w:pPr>
        <w:pStyle w:val="FirstParagraph"/>
      </w:pPr>
      <w:r>
        <w:t xml:space="preserve">Como se observa en la Figura</w:t>
      </w:r>
      <w:r>
        <w:t xml:space="preserve"> </w:t>
      </w:r>
      <w:r>
        <w:t xml:space="preserve">5.19</w:t>
      </w:r>
      <w:r>
        <w:t xml:space="preserve">, más del 50% de los FRE del país tienen una opinión favorable acerca del ROE, ya que según la información recopilada, los encargados de los diferentes FRE piensan que podría ser una herramienta que brinde amyor seguimiento, trazabilidad y seguridad a las prescripciones de MME, además del ahorro de papel y de espacio de almacenamiento en las bodegas que sería liberado.</w:t>
      </w:r>
    </w:p>
    <w:p>
      <w:pPr>
        <w:pStyle w:val="CaptionedFigure"/>
      </w:pPr>
      <w:r>
        <w:drawing>
          <wp:inline>
            <wp:extent cx="5334000" cy="3556000"/>
            <wp:effectExtent b="0" l="0" r="0" t="0"/>
            <wp:docPr descr="Figura 5.19: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83" w:name="fig22"/>
      <w:r>
        <w:t xml:space="preserve">Figure </w:t>
      </w:r>
      <w:fldSimple w:instr="SEQ Figure \* ARABIC ">
        <w:r>
          <w:t>22</w:t>
        </w:r>
      </w:fldSimple>
      <w:r>
        <w:t xml:space="preserve">:</w:t>
      </w:r>
      <w:r>
        <w:t xml:space="preserve"> </w:t>
      </w:r>
      <w:bookmarkEnd w:id="83"/>
      <w:r>
        <w:t xml:space="preserve">Figura 5.19: Opinión sobre la implementación del Recetario Oficial Electrónico (ROE)</w:t>
      </w:r>
    </w:p>
    <w:p>
      <w:pPr>
        <w:pStyle w:val="BodyText"/>
      </w:pPr>
      <w:r>
        <w:t xml:space="preserve">Por otro lado, 30%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Finalmente, el proceso de venta de recetarios oficiales se desarrolla de forma rápida como lo demuestra la Figura</w:t>
      </w:r>
      <w:r>
        <w:t xml:space="preserve"> </w:t>
      </w:r>
      <w:r>
        <w:t xml:space="preserve">5.20</w:t>
      </w:r>
      <w:r>
        <w:t xml:space="preserve"> </w:t>
      </w:r>
      <w:r>
        <w:t xml:space="preserve">En la mayoría de departamentos tarda entre 1 y 2 días concretar la venta, tiempo que es determinado realmente por el establecimiento y cuanto demore en hacer el pago bancario a la cuenta del FRE. Los casos particulares en que el proceso toma hasta 5 o más días, como es el caso de los FRE de Huila y Tolima, se da principalmente por falta de personal que pueda abarcar el total de las actividades que debe desarrollar el ente territorial.</w:t>
      </w:r>
    </w:p>
    <w:p>
      <w:pPr>
        <w:pStyle w:val="CaptionedFigure"/>
      </w:pPr>
      <w:r>
        <w:drawing>
          <wp:inline>
            <wp:extent cx="5334000" cy="4000500"/>
            <wp:effectExtent b="0" l="0" r="0" t="0"/>
            <wp:docPr descr="Figura 5.20: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5" w:name="fig23"/>
      <w:r>
        <w:t xml:space="preserve">Figure </w:t>
      </w:r>
      <w:fldSimple w:instr="SEQ Figure \* ARABIC ">
        <w:r>
          <w:t>23</w:t>
        </w:r>
      </w:fldSimple>
      <w:r>
        <w:t xml:space="preserve">:</w:t>
      </w:r>
      <w:r>
        <w:t xml:space="preserve"> </w:t>
      </w:r>
      <w:bookmarkEnd w:id="85"/>
      <w:r>
        <w:t xml:space="preserve">Figura 5.20: Tiempo de demora en la venta de recetarios oficiales a clientes</w:t>
      </w:r>
    </w:p>
    <w:bookmarkEnd w:id="86"/>
    <w:bookmarkEnd w:id="87"/>
    <w:bookmarkStart w:id="149" w:name="manejo-de-medicamentos"/>
    <w:p>
      <w:pPr>
        <w:pStyle w:val="Heading1"/>
      </w:pPr>
      <w:r>
        <w:rPr>
          <w:rStyle w:val="SectionNumber"/>
        </w:rPr>
        <w:t xml:space="preserve">6</w:t>
      </w:r>
      <w:r>
        <w:tab/>
      </w:r>
      <w:r>
        <w:t xml:space="preserve">Manejo de Medicamentos</w:t>
      </w:r>
    </w:p>
    <w:bookmarkStart w:id="109" w:name="adquisición-de-mme-por-parte-del-fre"/>
    <w:p>
      <w:pPr>
        <w:pStyle w:val="Heading2"/>
      </w:pPr>
      <w:r>
        <w:rPr>
          <w:rStyle w:val="SectionNumber"/>
        </w:rPr>
        <w:t xml:space="preserve">6.1</w:t>
      </w:r>
      <w:r>
        <w:tab/>
      </w:r>
      <w:r>
        <w:t xml:space="preserve">Adquisición de MME por parte del FRE</w:t>
      </w:r>
    </w:p>
    <w:p>
      <w:pPr>
        <w:pStyle w:val="FirstParagraph"/>
      </w:pPr>
      <w:r>
        <w:drawing>
          <wp:inline>
            <wp:extent cx="5334000" cy="3809999"/>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88"/>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Eliminar o cambiar reformar !!</w:t>
      </w:r>
    </w:p>
    <w:p>
      <w:pPr>
        <w:pStyle w:val="CaptionedFigure"/>
      </w:pPr>
      <w:r>
        <w:drawing>
          <wp:inline>
            <wp:extent cx="5334000" cy="3809999"/>
            <wp:effectExtent b="0" l="0" r="0" t="0"/>
            <wp:docPr descr="Figura 6.2: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8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0" w:name="fig24"/>
      <w:r>
        <w:t xml:space="preserve">Figure </w:t>
      </w:r>
      <w:fldSimple w:instr="SEQ Figure \* ARABIC ">
        <w:r>
          <w:t>24</w:t>
        </w:r>
      </w:fldSimple>
      <w:r>
        <w:t xml:space="preserve">:</w:t>
      </w:r>
      <w:r>
        <w:t xml:space="preserve"> </w:t>
      </w:r>
      <w:bookmarkEnd w:id="90"/>
      <w:r>
        <w:t xml:space="preserve">Figura 6.2: Herramientas en el manejo de inventarios (detallado)</w:t>
      </w:r>
    </w:p>
    <w:p>
      <w:pPr>
        <w:pStyle w:val="CaptionedFigure"/>
      </w:pPr>
      <w:r>
        <w:drawing>
          <wp:inline>
            <wp:extent cx="5334000" cy="3556000"/>
            <wp:effectExtent b="0" l="0" r="0" t="0"/>
            <wp:docPr descr="Figura 6.3: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2" w:name="fig25"/>
      <w:r>
        <w:t xml:space="preserve">Figure </w:t>
      </w:r>
      <w:fldSimple w:instr="SEQ Figure \* ARABIC ">
        <w:r>
          <w:t>25</w:t>
        </w:r>
      </w:fldSimple>
      <w:r>
        <w:t xml:space="preserve">:</w:t>
      </w:r>
      <w:r>
        <w:t xml:space="preserve"> </w:t>
      </w:r>
      <w:bookmarkEnd w:id="92"/>
      <w:r>
        <w:t xml:space="preserve">Figura 6.3: Proporción de Herramientas en el manejo de inventarios</w:t>
      </w:r>
    </w:p>
    <w:p>
      <w:pPr>
        <w:pStyle w:val="CaptionedFigure"/>
      </w:pPr>
      <w:r>
        <w:drawing>
          <wp:inline>
            <wp:extent cx="5334000" cy="3111500"/>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9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94" w:name="fig26"/>
      <w:r>
        <w:t xml:space="preserve">Figure </w:t>
      </w:r>
      <w:fldSimple w:instr="SEQ Figure \* ARABIC ">
        <w:r>
          <w:t>26</w:t>
        </w:r>
      </w:fldSimple>
      <w:r>
        <w:t xml:space="preserve">:</w:t>
      </w:r>
      <w:r>
        <w:t xml:space="preserve"> </w:t>
      </w:r>
      <w:bookmarkEnd w:id="94"/>
      <w:r>
        <w:t xml:space="preserve">Figura 6.4: Demoras en el proceso de adquisición por departamento</w:t>
      </w:r>
    </w:p>
    <w:p>
      <w:pPr>
        <w:pStyle w:val="CaptionedFigure"/>
      </w:pPr>
      <w:r>
        <w:drawing>
          <wp:inline>
            <wp:extent cx="5334000" cy="4000500"/>
            <wp:effectExtent b="0" l="0" r="0" t="0"/>
            <wp:docPr descr="Figura 6.5: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9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6" w:name="fig27"/>
      <w:r>
        <w:t xml:space="preserve">Figure </w:t>
      </w:r>
      <w:fldSimple w:instr="SEQ Figure \* ARABIC ">
        <w:r>
          <w:t>27</w:t>
        </w:r>
      </w:fldSimple>
      <w:r>
        <w:t xml:space="preserve">:</w:t>
      </w:r>
      <w:r>
        <w:t xml:space="preserve"> </w:t>
      </w:r>
      <w:bookmarkEnd w:id="96"/>
      <w:r>
        <w:t xml:space="preserve">Figura 6.5: Demoras en el proceso de adquisición por departamento (detallado)</w:t>
      </w:r>
    </w:p>
    <w:p>
      <w:pPr>
        <w:pStyle w:val="CaptionedFigure"/>
      </w:pPr>
      <w:r>
        <w:drawing>
          <wp:inline>
            <wp:extent cx="5334000" cy="3556000"/>
            <wp:effectExtent b="0" l="0" r="0" t="0"/>
            <wp:docPr descr="Figura 6.6: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8" w:name="fig28"/>
      <w:r>
        <w:t xml:space="preserve">Figure </w:t>
      </w:r>
      <w:fldSimple w:instr="SEQ Figure \* ARABIC ">
        <w:r>
          <w:t>28</w:t>
        </w:r>
      </w:fldSimple>
      <w:r>
        <w:t xml:space="preserve">:</w:t>
      </w:r>
      <w:r>
        <w:t xml:space="preserve"> </w:t>
      </w:r>
      <w:bookmarkEnd w:id="98"/>
      <w:r>
        <w:t xml:space="preserve">Figura 6.6: Caracterización en demoras de traslados interdepartamentales</w:t>
      </w:r>
    </w:p>
    <w:p>
      <w:pPr>
        <w:pStyle w:val="CaptionedFigure"/>
      </w:pPr>
      <w:r>
        <w:drawing>
          <wp:inline>
            <wp:extent cx="5334000" cy="4000500"/>
            <wp:effectExtent b="0" l="0" r="0" t="0"/>
            <wp:docPr descr="Figura 6.7: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9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00" w:name="fig29"/>
      <w:r>
        <w:t xml:space="preserve">Figure </w:t>
      </w:r>
      <w:fldSimple w:instr="SEQ Figure \* ARABIC ">
        <w:r>
          <w:t>29</w:t>
        </w:r>
      </w:fldSimple>
      <w:r>
        <w:t xml:space="preserve">:</w:t>
      </w:r>
      <w:r>
        <w:t xml:space="preserve"> </w:t>
      </w:r>
      <w:bookmarkEnd w:id="100"/>
      <w:r>
        <w:t xml:space="preserve">Figura 6.7: Mapa con demoras de traslados interdepartamentales</w:t>
      </w:r>
    </w:p>
    <w:p>
      <w:pPr>
        <w:pStyle w:val="CaptionedFigure"/>
      </w:pPr>
      <w:r>
        <w:drawing>
          <wp:inline>
            <wp:extent cx="5334000" cy="4000500"/>
            <wp:effectExtent b="0" l="0" r="0" t="0"/>
            <wp:docPr descr="Figura 6.8: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0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02" w:name="fig30"/>
      <w:r>
        <w:t xml:space="preserve">Figure </w:t>
      </w:r>
      <w:fldSimple w:instr="SEQ Figure \* ARABIC ">
        <w:r>
          <w:t>30</w:t>
        </w:r>
      </w:fldSimple>
      <w:r>
        <w:t xml:space="preserve">:</w:t>
      </w:r>
      <w:r>
        <w:t xml:space="preserve"> </w:t>
      </w:r>
      <w:bookmarkEnd w:id="102"/>
      <w:r>
        <w:t xml:space="preserve">Figura 6.8: Opinión sobre la plataforma Colombia Compra Eficiente</w:t>
      </w:r>
    </w:p>
    <w:p>
      <w:pPr>
        <w:pStyle w:val="CaptionedFigure"/>
      </w:pPr>
      <w:r>
        <w:drawing>
          <wp:inline>
            <wp:extent cx="5334000" cy="3556000"/>
            <wp:effectExtent b="0" l="0" r="0" t="0"/>
            <wp:docPr descr="Figura 6.9: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4" w:name="fig31"/>
      <w:r>
        <w:t xml:space="preserve">Figure </w:t>
      </w:r>
      <w:fldSimple w:instr="SEQ Figure \* ARABIC ">
        <w:r>
          <w:t>31</w:t>
        </w:r>
      </w:fldSimple>
      <w:r>
        <w:t xml:space="preserve">:</w:t>
      </w:r>
      <w:r>
        <w:t xml:space="preserve"> </w:t>
      </w:r>
      <w:bookmarkEnd w:id="104"/>
      <w:r>
        <w:t xml:space="preserve">Figura 6.9: Frecuencia de compras de medicamentos por año al FNE</w:t>
      </w:r>
    </w:p>
    <w:p>
      <w:pPr>
        <w:pStyle w:val="CaptionedFigure"/>
      </w:pPr>
      <w:r>
        <w:drawing>
          <wp:inline>
            <wp:extent cx="5334000" cy="3048000"/>
            <wp:effectExtent b="0" l="0" r="0" t="0"/>
            <wp:docPr descr="Figura 6.10: N.° de pedidos de medicamentos por año al FNE" title="" id="1" name="Picture"/>
            <a:graphic>
              <a:graphicData uri="http://schemas.openxmlformats.org/drawingml/2006/picture">
                <pic:pic>
                  <pic:nvPicPr>
                    <pic:cNvPr descr="InformeFinal_files/figure-docx/FrecComprasFNRb-1.png" id="0" name="Picture"/>
                    <pic:cNvPicPr>
                      <a:picLocks noChangeArrowheads="1" noChangeAspect="1"/>
                    </pic:cNvPicPr>
                  </pic:nvPicPr>
                  <pic:blipFill>
                    <a:blip r:embed="rId10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106" w:name="fig32"/>
      <w:r>
        <w:t xml:space="preserve">Figure </w:t>
      </w:r>
      <w:fldSimple w:instr="SEQ Figure \* ARABIC ">
        <w:r>
          <w:t>32</w:t>
        </w:r>
      </w:fldSimple>
      <w:r>
        <w:t xml:space="preserve">:</w:t>
      </w:r>
      <w:r>
        <w:t xml:space="preserve"> </w:t>
      </w:r>
      <w:bookmarkEnd w:id="106"/>
      <w:r>
        <w:t xml:space="preserve">Figura 6.10: N.° de pedidos de medicamentos por año al FNE</w:t>
      </w:r>
    </w:p>
    <w:p>
      <w:pPr>
        <w:pStyle w:val="CaptionedFigure"/>
      </w:pPr>
      <w:r>
        <w:drawing>
          <wp:inline>
            <wp:extent cx="5334000" cy="3556000"/>
            <wp:effectExtent b="0" l="0" r="0" t="0"/>
            <wp:docPr descr="Figura 6.11: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8" w:name="fig33"/>
      <w:r>
        <w:t xml:space="preserve">Figure </w:t>
      </w:r>
      <w:fldSimple w:instr="SEQ Figure \* ARABIC ">
        <w:r>
          <w:t>33</w:t>
        </w:r>
      </w:fldSimple>
      <w:r>
        <w:t xml:space="preserve">:</w:t>
      </w:r>
      <w:r>
        <w:t xml:space="preserve"> </w:t>
      </w:r>
      <w:bookmarkEnd w:id="108"/>
      <w:r>
        <w:t xml:space="preserve">Figura 6.11: Frecuencia de venta de MME a instituciones en el departamento</w:t>
      </w:r>
    </w:p>
    <w:bookmarkEnd w:id="109"/>
    <w:bookmarkStart w:id="118"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2: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1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1" w:name="fig34"/>
      <w:r>
        <w:t xml:space="preserve">Figure </w:t>
      </w:r>
      <w:fldSimple w:instr="SEQ Figure \* ARABIC ">
        <w:r>
          <w:t>34</w:t>
        </w:r>
      </w:fldSimple>
      <w:r>
        <w:t xml:space="preserve">:</w:t>
      </w:r>
      <w:r>
        <w:t xml:space="preserve"> </w:t>
      </w:r>
      <w:bookmarkEnd w:id="111"/>
      <w:r>
        <w:t xml:space="preserve">Figura 6.12: Tiempos en la recepción técnica y almacenamiento de MME</w:t>
      </w:r>
    </w:p>
    <w:p>
      <w:pPr>
        <w:pStyle w:val="CaptionedFigure"/>
      </w:pPr>
      <w:r>
        <w:drawing>
          <wp:inline>
            <wp:extent cx="5334000" cy="4000500"/>
            <wp:effectExtent b="0" l="0" r="0" t="0"/>
            <wp:docPr descr="Figura 6.13: Tiempos en la recepción técnica y almacenamiento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1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3" w:name="fig35"/>
      <w:r>
        <w:t xml:space="preserve">Figure </w:t>
      </w:r>
      <w:fldSimple w:instr="SEQ Figure \* ARABIC ">
        <w:r>
          <w:t>35</w:t>
        </w:r>
      </w:fldSimple>
      <w:r>
        <w:t xml:space="preserve">:</w:t>
      </w:r>
      <w:r>
        <w:t xml:space="preserve"> </w:t>
      </w:r>
      <w:bookmarkEnd w:id="113"/>
      <w:r>
        <w:t xml:space="preserve">Figura 6.13: Tiempos en la recepción técnica y almacenamiento de MME</w:t>
      </w:r>
    </w:p>
    <w:p>
      <w:pPr>
        <w:pStyle w:val="CaptionedFigure"/>
      </w:pPr>
      <w:r>
        <w:drawing>
          <wp:inline>
            <wp:extent cx="5334000" cy="4000500"/>
            <wp:effectExtent b="0" l="0" r="0" t="0"/>
            <wp:docPr descr="Figura 6.14: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1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5" w:name="fig36"/>
      <w:r>
        <w:t xml:space="preserve">Figure </w:t>
      </w:r>
      <w:fldSimple w:instr="SEQ Figure \* ARABIC ">
        <w:r>
          <w:t>36</w:t>
        </w:r>
      </w:fldSimple>
      <w:r>
        <w:t xml:space="preserve">:</w:t>
      </w:r>
      <w:r>
        <w:t xml:space="preserve"> </w:t>
      </w:r>
      <w:bookmarkEnd w:id="115"/>
      <w:r>
        <w:t xml:space="preserve">Figura 6.14: Tiempos en la recepción técnica y almacenamiento de MME (mapa)</w:t>
      </w:r>
    </w:p>
    <w:p>
      <w:pPr>
        <w:pStyle w:val="CaptionedFigure"/>
      </w:pPr>
      <w:r>
        <w:drawing>
          <wp:inline>
            <wp:extent cx="5334000" cy="3556000"/>
            <wp:effectExtent b="0" l="0" r="0" t="0"/>
            <wp:docPr descr="Figura 6.15: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7" w:name="fig37"/>
      <w:r>
        <w:t xml:space="preserve">Figure </w:t>
      </w:r>
      <w:fldSimple w:instr="SEQ Figure \* ARABIC ">
        <w:r>
          <w:t>37</w:t>
        </w:r>
      </w:fldSimple>
      <w:r>
        <w:t xml:space="preserve">:</w:t>
      </w:r>
      <w:r>
        <w:t xml:space="preserve"> </w:t>
      </w:r>
      <w:bookmarkEnd w:id="117"/>
      <w:r>
        <w:t xml:space="preserve">Figura 6.15: Uso de niveles de seguridad del inventarios</w:t>
      </w:r>
    </w:p>
    <w:bookmarkEnd w:id="118"/>
    <w:bookmarkStart w:id="140" w:name="almacenamiento"/>
    <w:p>
      <w:pPr>
        <w:pStyle w:val="Heading2"/>
      </w:pPr>
      <w:r>
        <w:rPr>
          <w:rStyle w:val="SectionNumber"/>
        </w:rPr>
        <w:t xml:space="preserve">6.3</w:t>
      </w:r>
      <w:r>
        <w:tab/>
      </w:r>
      <w:r>
        <w:t xml:space="preserve">Almacenamiento</w:t>
      </w:r>
    </w:p>
    <w:bookmarkStart w:id="121"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6.16</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6: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38"/>
      <w:r>
        <w:t xml:space="preserve">Figure </w:t>
      </w:r>
      <w:fldSimple w:instr="SEQ Figure \* ARABIC ">
        <w:r>
          <w:t>38</w:t>
        </w:r>
      </w:fldSimple>
      <w:r>
        <w:t xml:space="preserve">:</w:t>
      </w:r>
      <w:r>
        <w:t xml:space="preserve"> </w:t>
      </w:r>
      <w:bookmarkEnd w:id="120"/>
      <w:r>
        <w:t xml:space="preserve">Figura 6.16: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21"/>
    <w:bookmarkStart w:id="125"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6.17</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7: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3" w:name="fig39"/>
      <w:r>
        <w:t xml:space="preserve">Figure </w:t>
      </w:r>
      <w:fldSimple w:instr="SEQ Figure \* ARABIC ">
        <w:r>
          <w:t>39</w:t>
        </w:r>
      </w:fldSimple>
      <w:r>
        <w:t xml:space="preserve">:</w:t>
      </w:r>
      <w:r>
        <w:t xml:space="preserve"> </w:t>
      </w:r>
      <w:bookmarkEnd w:id="123"/>
      <w:r>
        <w:t xml:space="preserve">Figura 6.17: Frecuencia de revisión de condiciones ambientales</w:t>
      </w:r>
    </w:p>
    <w:p>
      <w:pPr>
        <w:pStyle w:val="BodyText"/>
      </w:pPr>
      <w:r>
        <w:t xml:space="preserve">En el panel izquierdo de la Figura</w:t>
      </w:r>
      <w:r>
        <w:t xml:space="preserve"> </w:t>
      </w:r>
      <w:r>
        <w:t xml:space="preserve">6.18</w:t>
      </w:r>
      <w:r>
        <w:t xml:space="preserve"> </w:t>
      </w:r>
      <w:r>
        <w:t xml:space="preserve">se presentan los métodos o tecnologías utilizadas en la monitorización de los medicamentos. En la Figura</w:t>
      </w:r>
      <w:r>
        <w:t xml:space="preserve"> </w:t>
      </w:r>
      <w:r>
        <w:t xml:space="preserve">6.18</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8: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24"/>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6.18</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25"/>
    <w:bookmarkStart w:id="131"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6.19</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9: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6.20</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0: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8" w:name="fig40"/>
      <w:r>
        <w:t xml:space="preserve">Figure </w:t>
      </w:r>
      <w:fldSimple w:instr="SEQ Figure \* ARABIC ">
        <w:r>
          <w:t>40</w:t>
        </w:r>
      </w:fldSimple>
      <w:r>
        <w:t xml:space="preserve">:</w:t>
      </w:r>
      <w:r>
        <w:t xml:space="preserve"> </w:t>
      </w:r>
      <w:bookmarkEnd w:id="128"/>
      <w:r>
        <w:t xml:space="preserve">Figura 6.20: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6</w:t>
        </w:r>
      </w:hyperlink>
      <w:r>
        <w:t xml:space="preserve">.</w:t>
      </w:r>
      <w:r>
        <w:t xml:space="preserve"> </w:t>
      </w:r>
      <w:r>
        <w:t xml:space="preserve">En la Figura</w:t>
      </w:r>
      <w:r>
        <w:t xml:space="preserve"> </w:t>
      </w:r>
      <w:r>
        <w:t xml:space="preserve">6.21</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1: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2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30" w:name="fig41"/>
      <w:r>
        <w:t xml:space="preserve">Figure </w:t>
      </w:r>
      <w:fldSimple w:instr="SEQ Figure \* ARABIC ">
        <w:r>
          <w:t>41</w:t>
        </w:r>
      </w:fldSimple>
      <w:r>
        <w:t xml:space="preserve">:</w:t>
      </w:r>
      <w:r>
        <w:t xml:space="preserve"> </w:t>
      </w:r>
      <w:bookmarkEnd w:id="130"/>
      <w:r>
        <w:t xml:space="preserve">Figura 6.21: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31"/>
    <w:bookmarkStart w:id="136"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7</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7</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8</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08"/>
        </w:numPr>
        <w:pStyle w:val="Compact"/>
      </w:pPr>
      <w:r>
        <w:t xml:space="preserve">Rojo: medicamento que se encuentra próximo a vencer.</w:t>
      </w:r>
    </w:p>
    <w:p>
      <w:pPr>
        <w:numPr>
          <w:ilvl w:val="0"/>
          <w:numId w:val="1008"/>
        </w:numPr>
        <w:pStyle w:val="Compact"/>
      </w:pPr>
      <w:r>
        <w:t xml:space="preserve">Amarillo: medicamento que se encuentra en riesgo moderado de vencimiento.</w:t>
      </w:r>
    </w:p>
    <w:p>
      <w:pPr>
        <w:numPr>
          <w:ilvl w:val="0"/>
          <w:numId w:val="1008"/>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CaptionedFigure"/>
      </w:pPr>
      <w:r>
        <w:drawing>
          <wp:inline>
            <wp:extent cx="5334000" cy="3556000"/>
            <wp:effectExtent b="0" l="0" r="0" t="0"/>
            <wp:docPr descr="Figura 6.22: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3" w:name="fig42"/>
      <w:r>
        <w:t xml:space="preserve">Figure </w:t>
      </w:r>
      <w:fldSimple w:instr="SEQ Figure \* ARABIC ">
        <w:r>
          <w:t>42</w:t>
        </w:r>
      </w:fldSimple>
      <w:r>
        <w:t xml:space="preserve">:</w:t>
      </w:r>
      <w:r>
        <w:t xml:space="preserve"> </w:t>
      </w:r>
      <w:bookmarkEnd w:id="133"/>
      <w:r>
        <w:t xml:space="preserve">Figura 6.22: Presentación de casos de vencimiento de MME</w:t>
      </w:r>
    </w:p>
    <w:p>
      <w:pPr>
        <w:pStyle w:val="CaptionedFigure"/>
      </w:pPr>
      <w:r>
        <w:drawing>
          <wp:inline>
            <wp:extent cx="5334000" cy="3556000"/>
            <wp:effectExtent b="0" l="0" r="0" t="0"/>
            <wp:docPr descr="Figura 6.23: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43"/>
      <w:r>
        <w:t xml:space="preserve">Figure </w:t>
      </w:r>
      <w:fldSimple w:instr="SEQ Figure \* ARABIC ">
        <w:r>
          <w:t>43</w:t>
        </w:r>
      </w:fldSimple>
      <w:r>
        <w:t xml:space="preserve">:</w:t>
      </w:r>
      <w:r>
        <w:t xml:space="preserve"> </w:t>
      </w:r>
      <w:bookmarkEnd w:id="135"/>
      <w:r>
        <w:t xml:space="preserve">Figura 6.23: Medicamentos implicados en casos de vencimiento de MME</w:t>
      </w:r>
    </w:p>
    <w:bookmarkEnd w:id="136"/>
    <w:bookmarkStart w:id="139"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6.24</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4: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8" w:name="fig44"/>
      <w:r>
        <w:t xml:space="preserve">Figure </w:t>
      </w:r>
      <w:fldSimple w:instr="SEQ Figure \* ARABIC ">
        <w:r>
          <w:t>44</w:t>
        </w:r>
      </w:fldSimple>
      <w:r>
        <w:t xml:space="preserve">:</w:t>
      </w:r>
      <w:r>
        <w:t xml:space="preserve"> </w:t>
      </w:r>
      <w:bookmarkEnd w:id="138"/>
      <w:r>
        <w:t xml:space="preserve">Figura 6.24: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39"/>
    <w:bookmarkEnd w:id="140"/>
    <w:bookmarkStart w:id="148"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6.25</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5: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4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2" w:name="fig45"/>
      <w:r>
        <w:t xml:space="preserve">Figure </w:t>
      </w:r>
      <w:fldSimple w:instr="SEQ Figure \* ARABIC ">
        <w:r>
          <w:t>45</w:t>
        </w:r>
      </w:fldSimple>
      <w:r>
        <w:t xml:space="preserve">:</w:t>
      </w:r>
      <w:r>
        <w:t xml:space="preserve"> </w:t>
      </w:r>
      <w:bookmarkEnd w:id="142"/>
      <w:r>
        <w:t xml:space="preserve">Figura 6.25: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6.26</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6: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4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44" w:name="fig46"/>
      <w:r>
        <w:t xml:space="preserve">Figure </w:t>
      </w:r>
      <w:fldSimple w:instr="SEQ Figure \* ARABIC ">
        <w:r>
          <w:t>46</w:t>
        </w:r>
      </w:fldSimple>
      <w:r>
        <w:t xml:space="preserve">:</w:t>
      </w:r>
      <w:r>
        <w:t xml:space="preserve"> </w:t>
      </w:r>
      <w:bookmarkEnd w:id="144"/>
      <w:r>
        <w:t xml:space="preserve">Figura 6.26: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6.26</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6.27</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27: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45"/>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46" w:name="fig47"/>
      <w:r>
        <w:t xml:space="preserve">Figure </w:t>
      </w:r>
      <w:fldSimple w:instr="SEQ Figure \* ARABIC ">
        <w:r>
          <w:t>47</w:t>
        </w:r>
      </w:fldSimple>
      <w:r>
        <w:t xml:space="preserve">:</w:t>
      </w:r>
      <w:r>
        <w:t xml:space="preserve"> </w:t>
      </w:r>
      <w:bookmarkEnd w:id="146"/>
      <w:r>
        <w:t xml:space="preserve">Figura 6.27: Relación de márgen de ganancia y otras variables</w:t>
      </w:r>
    </w:p>
    <w:bookmarkStart w:id="147" w:name="recomendaciones-finales"/>
    <w:p>
      <w:pPr>
        <w:pStyle w:val="Heading3"/>
      </w:pPr>
      <w:r>
        <w:rPr>
          <w:rStyle w:val="SectionNumber"/>
        </w:rPr>
        <w:t xml:space="preserve">6.4.1</w:t>
      </w:r>
      <w:r>
        <w:tab/>
      </w:r>
      <w:r>
        <w:t xml:space="preserve">Recomendaciones finales</w:t>
      </w:r>
    </w:p>
    <w:p>
      <w:pPr>
        <w:numPr>
          <w:ilvl w:val="0"/>
          <w:numId w:val="1009"/>
        </w:numPr>
      </w:pPr>
      <w:r>
        <w:t xml:space="preserve">Se recomienda realizar ajustes en los esquemas de precios por parte del FNE para disminuir la utilización del canal de compra directa.</w:t>
      </w:r>
    </w:p>
    <w:p>
      <w:pPr>
        <w:numPr>
          <w:ilvl w:val="0"/>
          <w:numId w:val="1009"/>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47"/>
    <w:bookmarkEnd w:id="148"/>
    <w:bookmarkEnd w:id="149"/>
    <w:bookmarkStart w:id="160" w:name="ruta-tecnológica"/>
    <w:p>
      <w:pPr>
        <w:pStyle w:val="Heading1"/>
      </w:pPr>
      <w:r>
        <w:rPr>
          <w:rStyle w:val="SectionNumber"/>
        </w:rPr>
        <w:t xml:space="preserve">7</w:t>
      </w:r>
      <w:r>
        <w:tab/>
      </w:r>
      <w:r>
        <w:t xml:space="preserve">Ruta Tecnológica</w:t>
      </w:r>
    </w:p>
    <w:p>
      <w:pPr>
        <w:pStyle w:val="FirstParagraph"/>
      </w:pPr>
      <w:r>
        <w:t xml:space="preserve">De acuerdo a la Figura</w:t>
      </w:r>
      <w:r>
        <w:t xml:space="preserve"> </w:t>
      </w:r>
      <w:r>
        <w:t xml:space="preserve">7.1</w:t>
      </w:r>
      <w:r>
        <w:t xml:space="preserve"> </w:t>
      </w:r>
      <w:r>
        <w:t xml:space="preserve">se evidencia que los canales más frecuentes que manejan los FRE para comunicarse con los usuarios corresponden al teléfono y el correo electrónico. Incluso estos medios de comunicación toman mayor relevancia en estos tiempos actuales de distanciamiento por la pandemia reciente referente a la COVID-19. En ese orden de ideas, menos de la mitad de los FRE mantienen la atención presencial en el FRE y la correspondencia ya fue reemplazada por la digitalización y el correo electrónico. Esto podría demostrar cierta aceptabilidad, por parte del personal del FRE y los usuarios inscritos, por los medios digitales que han surgido en la actualidad.</w:t>
      </w:r>
    </w:p>
    <w:p>
      <w:pPr>
        <w:pStyle w:val="CaptionedFigure"/>
      </w:pPr>
      <w:r>
        <w:drawing>
          <wp:inline>
            <wp:extent cx="5334000" cy="3809999"/>
            <wp:effectExtent b="0" l="0" r="0" t="0"/>
            <wp:docPr descr="Figura 7.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5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51" w:name="fig48"/>
      <w:r>
        <w:t xml:space="preserve">Figure </w:t>
      </w:r>
      <w:fldSimple w:instr="SEQ Figure \* ARABIC ">
        <w:r>
          <w:t>48</w:t>
        </w:r>
      </w:fldSimple>
      <w:r>
        <w:t xml:space="preserve">:</w:t>
      </w:r>
      <w:r>
        <w:t xml:space="preserve"> </w:t>
      </w:r>
      <w:bookmarkEnd w:id="151"/>
      <w:r>
        <w:t xml:space="preserve">Figura 7.1: Canales de comunicación FRE con clientes</w:t>
      </w:r>
    </w:p>
    <w:p>
      <w:pPr>
        <w:pStyle w:val="BodyText"/>
      </w:pPr>
      <w:r>
        <w:t xml:space="preserve">Por otro lado, la</w:t>
      </w:r>
      <w:r>
        <w:t xml:space="preserve"> </w:t>
      </w:r>
      <w:r>
        <w:t xml:space="preserve">7.2</w:t>
      </w:r>
      <w:r>
        <w:t xml:space="preserve"> </w:t>
      </w:r>
      <w:r>
        <w:t xml:space="preserve">exhibe la velocidad de conexión a internet en cada zona donde se encuentra ubicado el FRE departamental de cada territorio.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ante todo, aquellos territorios que muestran falencias en la conectividad a internet, con el fin de evitar barreras al acceso de medicamentos en estas zonas.</w:t>
      </w:r>
    </w:p>
    <w:p>
      <w:pPr>
        <w:pStyle w:val="CaptionedFigure"/>
      </w:pPr>
      <w:r>
        <w:drawing>
          <wp:inline>
            <wp:extent cx="5334000" cy="3809999"/>
            <wp:effectExtent b="0" l="0" r="0" t="0"/>
            <wp:docPr descr="Figura 7.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53" w:name="fig49"/>
      <w:r>
        <w:t xml:space="preserve">Figure </w:t>
      </w:r>
      <w:fldSimple w:instr="SEQ Figure \* ARABIC ">
        <w:r>
          <w:t>49</w:t>
        </w:r>
      </w:fldSimple>
      <w:r>
        <w:t xml:space="preserve">:</w:t>
      </w:r>
      <w:r>
        <w:t xml:space="preserve"> </w:t>
      </w:r>
      <w:bookmarkEnd w:id="153"/>
      <w:r>
        <w:t xml:space="preserve">Figura 7.2: Velocidad de conexión de internet</w:t>
      </w:r>
    </w:p>
    <w:p>
      <w:pPr>
        <w:pStyle w:val="BodyText"/>
      </w:pPr>
      <w:r>
        <w:t xml:space="preserve">Según la Figura</w:t>
      </w:r>
      <w:r>
        <w:t xml:space="preserve"> </w:t>
      </w:r>
      <w:r>
        <w:t xml:space="preserve">7.3</w:t>
      </w:r>
      <w:r>
        <w:t xml:space="preserve">, más de la mitad de los FRE poseen hasta dos (2) computadores para el desarrollo de sus funciones como ente territorial. En dos casos particularmente, FRE Guaviare y FRE San Andres,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condicionado el desarrollo laboral y en casi todas las ocasiones, los equipos son insuficientes para el personal del FRE.</w:t>
      </w:r>
    </w:p>
    <w:p>
      <w:pPr>
        <w:pStyle w:val="CaptionedFigure"/>
      </w:pPr>
      <w:r>
        <w:drawing>
          <wp:inline>
            <wp:extent cx="5334000" cy="3556000"/>
            <wp:effectExtent b="0" l="0" r="0" t="0"/>
            <wp:docPr descr="Figura 7.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5" w:name="fig50"/>
      <w:r>
        <w:t xml:space="preserve">Figure </w:t>
      </w:r>
      <w:fldSimple w:instr="SEQ Figure \* ARABIC ">
        <w:r>
          <w:t>50</w:t>
        </w:r>
      </w:fldSimple>
      <w:r>
        <w:t xml:space="preserve">:</w:t>
      </w:r>
      <w:r>
        <w:t xml:space="preserve"> </w:t>
      </w:r>
      <w:bookmarkEnd w:id="155"/>
      <w:r>
        <w:t xml:space="preserve">Figura 7.3: N.° de equipos en el FRE</w:t>
      </w:r>
    </w:p>
    <w:p>
      <w:pPr>
        <w:pStyle w:val="BodyText"/>
      </w:pPr>
      <w:r>
        <w:t xml:space="preserve">Únicamente 6 FRE departamentales cuentan con cuatro (4) o más computadores en su área de trabajo, cuya índole permite mejores condiciones laborales al equipo de apoyo del FRE. Por consiguiente, estos 6 entes territoriales, se encuentran en excelentes condiciones de infraestructura tecnológica para atender y proyectar una gestión apropiada en los MME y los recetarios oficiales.</w:t>
      </w:r>
    </w:p>
    <w:p>
      <w:pPr>
        <w:pStyle w:val="CaptionedFigure"/>
      </w:pPr>
      <w:r>
        <w:drawing>
          <wp:inline>
            <wp:extent cx="5334000" cy="3556000"/>
            <wp:effectExtent b="0" l="0" r="0" t="0"/>
            <wp:docPr descr="Figura 7.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7" w:name="fig51"/>
      <w:r>
        <w:t xml:space="preserve">Figure </w:t>
      </w:r>
      <w:fldSimple w:instr="SEQ Figure \* ARABIC ">
        <w:r>
          <w:t>51</w:t>
        </w:r>
      </w:fldSimple>
      <w:r>
        <w:t xml:space="preserve">:</w:t>
      </w:r>
      <w:r>
        <w:t xml:space="preserve"> </w:t>
      </w:r>
      <w:bookmarkEnd w:id="157"/>
      <w:r>
        <w:t xml:space="preserve">Figura 7.4: Relación entre el requerimiento de equipos y el número de personas en el FRE</w:t>
      </w:r>
    </w:p>
    <w:p>
      <w:pPr>
        <w:pStyle w:val="BodyText"/>
      </w:pPr>
      <w:r>
        <w:t xml:space="preserve">De acuerdo a la Figura</w:t>
      </w:r>
      <w:r>
        <w:t xml:space="preserve"> </w:t>
      </w:r>
      <w:r>
        <w:t xml:space="preserve">7.5</w:t>
      </w:r>
      <w:r>
        <w:t xml:space="preserve"> </w:t>
      </w:r>
      <w:r>
        <w:t xml:space="preserve">se puede evidenciar que aproximadamente la mitad de los FRE manifiestan que los equipos de cómputo del FRE son adecuados para las actividades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actuales Como se mencionó anteriormente, la modernización en los procesos referentes al manejo de recetarios oficiales y MME, tendrá que considerar, ante todo, aquellos territorios que muestran obstáculos en su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9" w:name="fig52"/>
      <w:r>
        <w:t xml:space="preserve">Figure </w:t>
      </w:r>
      <w:fldSimple w:instr="SEQ Figure \* ARABIC ">
        <w:r>
          <w:t>52</w:t>
        </w:r>
      </w:fldSimple>
      <w:r>
        <w:t xml:space="preserve">:</w:t>
      </w:r>
      <w:r>
        <w:t xml:space="preserve"> </w:t>
      </w:r>
      <w:bookmarkEnd w:id="159"/>
      <w:r>
        <w:t xml:space="preserve">Figura 7.5: Opinión sobre los equipos de cómputo del FRE</w:t>
      </w:r>
    </w:p>
    <w:p>
      <w:pPr>
        <w:pStyle w:val="BodyText"/>
      </w:pPr>
      <w:r>
        <w:t xml:space="preserve">Si los inconvenientes relacionados a la infraestructura tecnológica, se presentan actualmente en las zonas más alejadas del país, el escenario de la implementación del ROE no podría aspirar a grandes cambios en cada territorio. Lo anterior, se originaria barrera al acceso de medicamentos desde cada Secretaria de Salud o Dirección en salud departamental.</w:t>
      </w:r>
      <w:r>
        <w:t xml:space="preserve"> </w:t>
      </w:r>
      <w:r>
        <w:rPr>
          <w:bCs/>
          <w:b/>
        </w:rPr>
        <w:t xml:space="preserve">JUSTIFICAR CON OBSERVACIONES</w:t>
      </w:r>
      <w:r>
        <w:t xml:space="preserve"> </w:t>
      </w:r>
      <w:r>
        <w:t xml:space="preserve">hasta mejorar esta condición tecnológica.</w:t>
      </w:r>
    </w:p>
    <w:bookmarkEnd w:id="160"/>
    <w:bookmarkStart w:id="181"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1</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1</w:t>
        </w:r>
      </w:hyperlink>
      <w:r>
        <w:t xml:space="preserve">:</w:t>
      </w:r>
    </w:p>
    <w:p>
      <w:pPr>
        <w:numPr>
          <w:ilvl w:val="0"/>
          <w:numId w:val="1010"/>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10"/>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10"/>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10"/>
        </w:numPr>
      </w:pPr>
      <w:r>
        <w:t xml:space="preserve">Novedades sobre la inscripción de los Establecimientos Farmacéuticos e IPS autorizados, de acuerdo al formato (Anexo número 3) de la presente resolución.</w:t>
      </w:r>
    </w:p>
    <w:p>
      <w:pPr>
        <w:numPr>
          <w:ilvl w:val="0"/>
          <w:numId w:val="1010"/>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10"/>
        </w:numPr>
      </w:pPr>
      <w:r>
        <w:t xml:space="preserve">Informe mensual consolidado sobre las transformaciones realizadas en el mes inmediatamente anterior, dentro de los diez (10) primeros días calendarios de cada mes. (Anexo número 4)</w:t>
      </w:r>
    </w:p>
    <w:p>
      <w:pPr>
        <w:numPr>
          <w:ilvl w:val="0"/>
          <w:numId w:val="1010"/>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10"/>
        </w:numPr>
      </w:pPr>
      <w:r>
        <w:t xml:space="preserve">Informe trimestral de sanciones impuestas por infracciones administrativas en la fabricación, distribución y dispensación de medicamentos de Control Especial.</w:t>
      </w:r>
    </w:p>
    <w:p>
      <w:pPr>
        <w:numPr>
          <w:ilvl w:val="0"/>
          <w:numId w:val="1010"/>
        </w:numPr>
      </w:pPr>
      <w:r>
        <w:t xml:space="preserve">Consolidado semestral del registro de Farmacodependientes de productos sometidos a fiscalización.</w:t>
      </w:r>
    </w:p>
    <w:p>
      <w:pPr>
        <w:pStyle w:val="FirstParagraph"/>
      </w:pPr>
      <w:r>
        <w:t xml:space="preserve">En la Figura</w:t>
      </w:r>
      <w:r>
        <w:t xml:space="preserve"> </w:t>
      </w:r>
      <w:r>
        <w:t xml:space="preserve">8.1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2" w:name="fig53"/>
      <w:r>
        <w:t xml:space="preserve">Figure </w:t>
      </w:r>
      <w:fldSimple w:instr="SEQ Figure \* ARABIC ">
        <w:r>
          <w:t>53</w:t>
        </w:r>
      </w:fldSimple>
      <w:r>
        <w:t xml:space="preserve">:</w:t>
      </w:r>
      <w:r>
        <w:t xml:space="preserve"> </w:t>
      </w:r>
      <w:bookmarkEnd w:id="162"/>
      <w:r>
        <w:t xml:space="preserve">Figura 8.1: Herramientas en el diligenciamiento del Anexo 1 de la Resolución 1479 de 2006</w:t>
      </w:r>
    </w:p>
    <w:p>
      <w:pPr>
        <w:pStyle w:val="BodyText"/>
      </w:pPr>
      <w:r>
        <w:t xml:space="preserve">En la Figura</w:t>
      </w:r>
      <w:r>
        <w:t xml:space="preserve"> </w:t>
      </w:r>
      <w:r>
        <w:t xml:space="preserve">8.2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8.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4" w:name="fig54"/>
      <w:r>
        <w:t xml:space="preserve">Figure </w:t>
      </w:r>
      <w:fldSimple w:instr="SEQ Figure \* ARABIC ">
        <w:r>
          <w:t>54</w:t>
        </w:r>
      </w:fldSimple>
      <w:r>
        <w:t xml:space="preserve">:</w:t>
      </w:r>
      <w:r>
        <w:t xml:space="preserve"> </w:t>
      </w:r>
      <w:bookmarkEnd w:id="164"/>
      <w:r>
        <w:t xml:space="preserve">Figura 8.2: Controles en las ventas directas a pacientes</w:t>
      </w:r>
    </w:p>
    <w:p>
      <w:pPr>
        <w:pStyle w:val="BodyText"/>
      </w:pPr>
      <w:r>
        <w:t xml:space="preserve">Sobre la consolidación de informes las tendencias ya son mucho más uniformes debido que el grupo Interno de regionalización se encarga de la consolidación y verificación de estos informes, por esta misma razón hay una uniformidad en cuanto a la forma de diligenciar los anexos, cómo al control sobre las cantidades de consumo y distribución que presentan los departamentos, esta es la razón por la cuál se observa en las gráficas X y Z que la consolidación de los informes se entrega de manera electrónica al FNE, pero también hay un leve contraste sobre la forma en la que algunos FRE reciben estos anexos por parte de los inscritos, dado que si estos son allegados de forma presencial, se necesita una transcripción, que podría traducirse en un proceso engorroso que toma mucho más tiempo y puede ser causa del retraso en el envío de informes hacia el FNE. Este comportamiento es posible observar en la figura W dónde se resalta que la confección de estos informes puede demorarse más de una semana. Esto puede ser mucho más problemático para regiones con una elevada cantidad de inscritos en relación a la cantidad de personal encargado específicamente en esta tarea.</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6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6" w:name="fig55"/>
      <w:r>
        <w:t xml:space="preserve">Figure </w:t>
      </w:r>
      <w:fldSimple w:instr="SEQ Figure \* ARABIC ">
        <w:r>
          <w:t>55</w:t>
        </w:r>
      </w:fldSimple>
      <w:r>
        <w:t xml:space="preserve">:</w:t>
      </w:r>
      <w:r>
        <w:t xml:space="preserve"> </w:t>
      </w:r>
      <w:bookmarkEnd w:id="166"/>
      <w:r>
        <w:t xml:space="preserve">Figura 8.3: Tiempo en la consolidación del Anexo 1 de la Resolución 1479 de 2006</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6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8" w:name="fig56"/>
      <w:r>
        <w:t xml:space="preserve">Figure </w:t>
      </w:r>
      <w:fldSimple w:instr="SEQ Figure \* ARABIC ">
        <w:r>
          <w:t>56</w:t>
        </w:r>
      </w:fldSimple>
      <w:r>
        <w:t xml:space="preserve">:</w:t>
      </w:r>
      <w:r>
        <w:t xml:space="preserve"> </w:t>
      </w:r>
      <w:bookmarkEnd w:id="168"/>
      <w:r>
        <w:t xml:space="preserve">Figura 8.4: Tiempo en la consolidación del Anexo 1 de la Resolución 1479 de 2006 vs N° de instituciones que realizan compra en un año</w:t>
      </w:r>
    </w:p>
    <w:p>
      <w:pPr>
        <w:pStyle w:val="CaptionedFigure"/>
      </w:pPr>
      <w:r>
        <w:drawing>
          <wp:inline>
            <wp:extent cx="5334000" cy="2667000"/>
            <wp:effectExtent b="0" l="0" r="0" t="0"/>
            <wp:docPr descr="Figura 8.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70" w:name="fig57"/>
      <w:r>
        <w:t xml:space="preserve">Figure </w:t>
      </w:r>
      <w:fldSimple w:instr="SEQ Figure \* ARABIC ">
        <w:r>
          <w:t>57</w:t>
        </w:r>
      </w:fldSimple>
      <w:r>
        <w:t xml:space="preserve">:</w:t>
      </w:r>
      <w:r>
        <w:t xml:space="preserve"> </w:t>
      </w:r>
      <w:bookmarkEnd w:id="170"/>
      <w:r>
        <w:t xml:space="preserve">Figura 8.5: Tiempo en la consolidación del Anexo 2 de la Resolución 1479 de 2006</w:t>
      </w:r>
    </w:p>
    <w:p>
      <w:pPr>
        <w:pStyle w:val="BodyText"/>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1"/>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8.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73"/>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Analizando algunas otras circunstancias por las cuáles los FRE no realizan los informes a tiempo, podría también estar relacionada con un retraso en la entrega de los informes por parte de las instituciones al FRE, en la gráfica AB, es claro que 23 de los 30 FRE solo se quedan en un llamado de atención en caso de incuplimiento en las fechas de entrega de informes de consumo, esto ya está mucho más relacionado con la forma en la que el área de IVC de cada departamento realiza procesos administrativos o medidas sancionatorias a las instituciones que no hacen entrega de estos documentos, pues si el seguimiento que se hace por parte del FRE es débil, esto puede repercutir en el comportamiento de las instituciones hacía el FRE, pero este es un asunto gobernanza e institucionalidad que es potestad de cada ente territorial tratar.</w:t>
      </w:r>
    </w:p>
    <w:bookmarkStart w:id="180" w:name="seguridad-de-la-información"/>
    <w:p>
      <w:pPr>
        <w:pStyle w:val="Heading2"/>
      </w:pPr>
      <w:r>
        <w:rPr>
          <w:rStyle w:val="SectionNumber"/>
        </w:rPr>
        <w:t xml:space="preserve">8.1</w:t>
      </w:r>
      <w:r>
        <w:tab/>
      </w:r>
      <w:r>
        <w:t xml:space="preserve">Seguridad de la información</w:t>
      </w:r>
    </w:p>
    <w:p>
      <w:pPr>
        <w:pStyle w:val="FirstParagraph"/>
      </w:pPr>
      <w:r>
        <w:t xml:space="preserve">Cabe resaltar que en la Figura</w:t>
      </w:r>
      <w:r>
        <w:t xml:space="preserve"> </w:t>
      </w:r>
      <w:r>
        <w:t xml:space="preserve">8.10</w:t>
      </w:r>
      <w:r>
        <w:t xml:space="preserve"> </w:t>
      </w:r>
      <w:r>
        <w:t xml:space="preserve">cuándo se habla de restricción de acceso, se refiere al restringido acceso que se tiene a estos informes, aunque particularmente algunos FRE cómo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permite una trazabilidad fragmentada en la información completa de un FRE y cómo se ha mencionado anteriormente, la transcripción es más presta a que se cometan errores humanos en la digitación.</w:t>
      </w:r>
    </w:p>
    <w:p>
      <w:pPr>
        <w:pStyle w:val="BodyText"/>
      </w:pPr>
      <w:r>
        <w:drawing>
          <wp:inline>
            <wp:extent cx="5334000" cy="3556000"/>
            <wp:effectExtent b="0" l="0" r="0" t="0"/>
            <wp:docPr descr="Figura 8.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a 8.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9" w:name="fig58"/>
      <w:r>
        <w:t xml:space="preserve">Figure </w:t>
      </w:r>
      <w:fldSimple w:instr="SEQ Figure \* ARABIC ">
        <w:r>
          <w:t>58</w:t>
        </w:r>
      </w:fldSimple>
      <w:r>
        <w:t xml:space="preserve">:</w:t>
      </w:r>
      <w:r>
        <w:t xml:space="preserve"> </w:t>
      </w:r>
      <w:bookmarkEnd w:id="179"/>
      <w:r>
        <w:t xml:space="preserve">Figura 8.13: Existencia de otras instituciones que realizan ventas a instituciones a MME</w:t>
      </w:r>
    </w:p>
    <w:bookmarkEnd w:id="180"/>
    <w:bookmarkEnd w:id="181"/>
    <w:bookmarkStart w:id="248" w:name="análisis-a-nivel-regional"/>
    <w:p>
      <w:pPr>
        <w:pStyle w:val="Heading1"/>
      </w:pPr>
      <w:r>
        <w:rPr>
          <w:rStyle w:val="SectionNumber"/>
        </w:rPr>
        <w:t xml:space="preserve">9</w:t>
      </w:r>
      <w:r>
        <w:tab/>
      </w:r>
      <w:r>
        <w:t xml:space="preserve">Análisis a Nivel Regional</w:t>
      </w:r>
    </w:p>
    <w:bookmarkStart w:id="205" w:name="región-andina-norte"/>
    <w:p>
      <w:pPr>
        <w:pStyle w:val="Heading2"/>
      </w:pPr>
      <w:r>
        <w:rPr>
          <w:rStyle w:val="SectionNumber"/>
        </w:rPr>
        <w:t xml:space="preserve">9.1</w:t>
      </w:r>
      <w:r>
        <w:tab/>
      </w:r>
      <w:r>
        <w:t xml:space="preserve">Región Andina Norte</w:t>
      </w:r>
    </w:p>
    <w:p>
      <w:pPr>
        <w:pStyle w:val="FirstParagraph"/>
      </w:pPr>
      <w:r>
        <w:t xml:space="preserve">Esta región se compone de los siguientes departamentos:</w:t>
      </w:r>
    </w:p>
    <w:p>
      <w:pPr>
        <w:numPr>
          <w:ilvl w:val="0"/>
          <w:numId w:val="1011"/>
        </w:numPr>
        <w:pStyle w:val="Compact"/>
      </w:pPr>
      <w:r>
        <w:t xml:space="preserve">Boyacá</w:t>
      </w:r>
    </w:p>
    <w:p>
      <w:pPr>
        <w:numPr>
          <w:ilvl w:val="0"/>
          <w:numId w:val="1011"/>
        </w:numPr>
        <w:pStyle w:val="Compact"/>
      </w:pPr>
      <w:r>
        <w:t xml:space="preserve">Norte de Santander</w:t>
      </w:r>
    </w:p>
    <w:p>
      <w:pPr>
        <w:numPr>
          <w:ilvl w:val="0"/>
          <w:numId w:val="1011"/>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90" w:name="adquisición-venta-y-distribución-de-ro"/>
    <w:p>
      <w:pPr>
        <w:pStyle w:val="Heading3"/>
      </w:pPr>
      <w:r>
        <w:rPr>
          <w:rStyle w:val="SectionNumber"/>
        </w:rPr>
        <w:t xml:space="preserve">9.1.1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9.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82"/>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83" w:name="fig59"/>
      <w:r>
        <w:t xml:space="preserve">Figure </w:t>
      </w:r>
      <w:fldSimple w:instr="SEQ Figure \* ARABIC ">
        <w:r>
          <w:t>59</w:t>
        </w:r>
      </w:fldSimple>
      <w:r>
        <w:t xml:space="preserve">:</w:t>
      </w:r>
      <w:r>
        <w:t xml:space="preserve"> </w:t>
      </w:r>
      <w:bookmarkEnd w:id="183"/>
      <w:r>
        <w:t xml:space="preserve">Figura 9.1: N.° de recetarios en la Región Andina Norte</w:t>
      </w:r>
    </w:p>
    <w:p>
      <w:pPr>
        <w:pStyle w:val="BodyText"/>
      </w:pPr>
      <w:r>
        <w:t xml:space="preserve">En cuanto a las existencias actuales, en la Figura</w:t>
      </w:r>
      <w:r>
        <w:t xml:space="preserve"> </w:t>
      </w:r>
      <w:r>
        <w:t xml:space="preserve">9.1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9.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84"/>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85" w:name="fig60"/>
      <w:r>
        <w:t xml:space="preserve">Figure </w:t>
      </w:r>
      <w:fldSimple w:instr="SEQ Figure \* ARABIC ">
        <w:r>
          <w:t>60</w:t>
        </w:r>
      </w:fldSimple>
      <w:r>
        <w:t xml:space="preserve">:</w:t>
      </w:r>
      <w:r>
        <w:t xml:space="preserve"> </w:t>
      </w:r>
      <w:bookmarkEnd w:id="185"/>
      <w:r>
        <w:t xml:space="preserve">Figura 9.2: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9.3</w:t>
      </w:r>
      <w:r>
        <w:t xml:space="preserve">, si se cruza esta información con el 40% que aporta la venta de los recetarios al total de los ingresos del FRE cómo se ve en la Figura</w:t>
      </w:r>
      <w:r>
        <w:t xml:space="preserve"> </w:t>
      </w:r>
      <w:r>
        <w:t xml:space="preserve">9.3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9.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86"/>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87" w:name="fig61"/>
      <w:r>
        <w:t xml:space="preserve">Figure </w:t>
      </w:r>
      <w:fldSimple w:instr="SEQ Figure \* ARABIC ">
        <w:r>
          <w:t>61</w:t>
        </w:r>
      </w:fldSimple>
      <w:r>
        <w:t xml:space="preserve">:</w:t>
      </w:r>
      <w:r>
        <w:t xml:space="preserve"> </w:t>
      </w:r>
      <w:bookmarkEnd w:id="187"/>
      <w:r>
        <w:t xml:space="preserve">Figura 9.3: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9.4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9.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88"/>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89" w:name="fig62"/>
      <w:r>
        <w:t xml:space="preserve">Figure </w:t>
      </w:r>
      <w:fldSimple w:instr="SEQ Figure \* ARABIC ">
        <w:r>
          <w:t>62</w:t>
        </w:r>
      </w:fldSimple>
      <w:r>
        <w:t xml:space="preserve">:</w:t>
      </w:r>
      <w:r>
        <w:t xml:space="preserve"> </w:t>
      </w:r>
      <w:bookmarkEnd w:id="189"/>
      <w:r>
        <w:t xml:space="preserve">Figura 9.4: Porcentaje de ganancias en los departamentos</w:t>
      </w:r>
    </w:p>
    <w:bookmarkEnd w:id="190"/>
    <w:bookmarkStart w:id="191" w:name="seguimiento-y-control-de-ro"/>
    <w:p>
      <w:pPr>
        <w:pStyle w:val="Heading3"/>
      </w:pPr>
      <w:r>
        <w:rPr>
          <w:rStyle w:val="SectionNumber"/>
        </w:rPr>
        <w:t xml:space="preserve">9.1.2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1"/>
    <w:bookmarkStart w:id="192" w:name="X009f82ebffead5dcb9f8956889afa0983c81115"/>
    <w:p>
      <w:pPr>
        <w:pStyle w:val="Heading3"/>
      </w:pPr>
      <w:r>
        <w:rPr>
          <w:rStyle w:val="SectionNumber"/>
        </w:rPr>
        <w:t xml:space="preserve">9.1.3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92"/>
    <w:bookmarkStart w:id="198" w:name="ruta-tecnológica."/>
    <w:p>
      <w:pPr>
        <w:pStyle w:val="Heading3"/>
      </w:pPr>
      <w:r>
        <w:rPr>
          <w:rStyle w:val="SectionNumber"/>
        </w:rPr>
        <w:t xml:space="preserve">9.1.4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9.6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9.5</w:t>
      </w:r>
      <w:r>
        <w:t xml:space="preserve">).</w:t>
      </w:r>
    </w:p>
    <w:p>
      <w:pPr>
        <w:pStyle w:val="CaptionedFigure"/>
      </w:pPr>
      <w:r>
        <w:drawing>
          <wp:inline>
            <wp:extent cx="3907856" cy="3012707"/>
            <wp:effectExtent b="0" l="0" r="0" t="0"/>
            <wp:docPr descr="Figura 9.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93"/>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94" w:name="fig63"/>
      <w:r>
        <w:t xml:space="preserve">Figure </w:t>
      </w:r>
      <w:fldSimple w:instr="SEQ Figure \* ARABIC ">
        <w:r>
          <w:t>63</w:t>
        </w:r>
      </w:fldSimple>
      <w:r>
        <w:t xml:space="preserve">:</w:t>
      </w:r>
      <w:r>
        <w:t xml:space="preserve"> </w:t>
      </w:r>
      <w:bookmarkEnd w:id="194"/>
      <w:r>
        <w:t xml:space="preserve">Figura 9.5: Cuenta con ordenanza</w:t>
      </w:r>
    </w:p>
    <w:p>
      <w:pPr>
        <w:pStyle w:val="CaptionedFigure"/>
      </w:pPr>
      <w:r>
        <w:drawing>
          <wp:inline>
            <wp:extent cx="3917482" cy="3022332"/>
            <wp:effectExtent b="0" l="0" r="0" t="0"/>
            <wp:docPr descr="Figura 9.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195"/>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6" w:name="fig64"/>
      <w:r>
        <w:t xml:space="preserve">Figure </w:t>
      </w:r>
      <w:fldSimple w:instr="SEQ Figure \* ARABIC ">
        <w:r>
          <w:t>64</w:t>
        </w:r>
      </w:fldSimple>
      <w:r>
        <w:t xml:space="preserve">:</w:t>
      </w:r>
      <w:r>
        <w:t xml:space="preserve"> </w:t>
      </w:r>
      <w:bookmarkEnd w:id="196"/>
      <w:r>
        <w:t xml:space="preserve">Figura 9.6: Evaluación de la conexión de internet</w:t>
      </w:r>
    </w:p>
    <w:p>
      <w:pPr>
        <w:pStyle w:val="TableCaption"/>
      </w:pPr>
      <w:bookmarkStart w:id="197" w:name="table2"/>
      <w:r>
        <w:t xml:space="preserve">Table </w:t>
      </w:r>
      <w:fldSimple w:instr="SEQ Table \* ARABIC ">
        <w:r>
          <w:t>2</w:t>
        </w:r>
      </w:fldSimple>
      <w:r>
        <w:t xml:space="preserve">:</w:t>
      </w:r>
      <w:bookmarkEnd w:id="197"/>
      <w:r>
        <w:t xml:space="preserve"> </w:t>
      </w:r>
      <w:r>
        <w:t xml:space="preserve">Tabla 9.1: Presencia de software para el manejo tecnológico</w:t>
      </w:r>
    </w:p>
    <w:tbl>
      <w:tblPr>
        <w:tblStyle w:val="Table"/>
        <w:tblW w:type="auto" w:w="0"/>
        <w:tblLook w:firstRow="1" w:lastRow="0" w:firstColumn="0" w:lastColumn="0" w:noHBand="0" w:noVBand="0" w:val="0020"/>
        <w:tblCaption w:val="Tabla 9.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198"/>
    <w:bookmarkStart w:id="199" w:name="proyección-de-compra-mme"/>
    <w:p>
      <w:pPr>
        <w:pStyle w:val="Heading3"/>
      </w:pPr>
      <w:r>
        <w:rPr>
          <w:rStyle w:val="SectionNumber"/>
        </w:rPr>
        <w:t xml:space="preserve">9.1.5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199"/>
    <w:bookmarkStart w:id="200" w:name="recepción-técnica."/>
    <w:p>
      <w:pPr>
        <w:pStyle w:val="Heading3"/>
      </w:pPr>
      <w:r>
        <w:rPr>
          <w:rStyle w:val="SectionNumber"/>
        </w:rPr>
        <w:t xml:space="preserve">9.1.6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00"/>
    <w:bookmarkStart w:id="201" w:name="almacenamiento-e-inventario-de-mme"/>
    <w:p>
      <w:pPr>
        <w:pStyle w:val="Heading3"/>
      </w:pPr>
      <w:r>
        <w:rPr>
          <w:rStyle w:val="SectionNumber"/>
        </w:rPr>
        <w:t xml:space="preserve">9.1.7</w:t>
      </w:r>
      <w:r>
        <w:tab/>
      </w:r>
      <w:r>
        <w:t xml:space="preserve">Almacenamiento e inventario de MME</w:t>
      </w:r>
    </w:p>
    <w:bookmarkEnd w:id="201"/>
    <w:bookmarkStart w:id="204" w:name="X655d72eb7072741882bb279aeb3b055e249ceb5"/>
    <w:p>
      <w:pPr>
        <w:pStyle w:val="Heading3"/>
      </w:pPr>
      <w:r>
        <w:rPr>
          <w:rStyle w:val="SectionNumber"/>
        </w:rPr>
        <w:t xml:space="preserve">9.1.8</w:t>
      </w:r>
      <w:r>
        <w:tab/>
      </w:r>
      <w:r>
        <w:t xml:space="preserve">Proceso de distribución a instituciones y pacientes</w:t>
      </w:r>
    </w:p>
    <w:p>
      <w:pPr>
        <w:pStyle w:val="CaptionedFigure"/>
      </w:pPr>
      <w:r>
        <w:drawing>
          <wp:inline>
            <wp:extent cx="3917482" cy="3022332"/>
            <wp:effectExtent b="0" l="0" r="0" t="0"/>
            <wp:docPr descr="Figura 9.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02"/>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3" w:name="fig65"/>
      <w:r>
        <w:t xml:space="preserve">Figure </w:t>
      </w:r>
      <w:fldSimple w:instr="SEQ Figure \* ARABIC ">
        <w:r>
          <w:t>65</w:t>
        </w:r>
      </w:fldSimple>
      <w:r>
        <w:t xml:space="preserve">:</w:t>
      </w:r>
      <w:r>
        <w:t xml:space="preserve"> </w:t>
      </w:r>
      <w:bookmarkEnd w:id="203"/>
      <w:r>
        <w:t xml:space="preserve">Figura 9.7: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04"/>
    <w:bookmarkEnd w:id="205"/>
    <w:bookmarkStart w:id="232" w:name="región-andina-sur"/>
    <w:p>
      <w:pPr>
        <w:pStyle w:val="Heading2"/>
      </w:pPr>
      <w:r>
        <w:rPr>
          <w:rStyle w:val="SectionNumber"/>
        </w:rPr>
        <w:t xml:space="preserve">9.2</w:t>
      </w:r>
      <w:r>
        <w:tab/>
      </w:r>
      <w:r>
        <w:t xml:space="preserve">Región Andina Sur</w:t>
      </w:r>
    </w:p>
    <w:bookmarkStart w:id="216" w:name="adquisición-venta-y-distribución-de-ro-1"/>
    <w:p>
      <w:pPr>
        <w:pStyle w:val="Heading3"/>
      </w:pPr>
      <w:r>
        <w:rPr>
          <w:rStyle w:val="SectionNumber"/>
        </w:rPr>
        <w:t xml:space="preserve">9.2.1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9.8</w:t>
      </w:r>
      <w:r>
        <w:t xml:space="preserve">, para ilustrar la disponibilidad de recetarios oficiales en la región Andina sur.</w:t>
      </w:r>
    </w:p>
    <w:p>
      <w:pPr>
        <w:pStyle w:val="CaptionedFigure"/>
      </w:pPr>
      <w:r>
        <w:drawing>
          <wp:inline>
            <wp:extent cx="2790825" cy="3448050"/>
            <wp:effectExtent b="0" l="0" r="0" t="0"/>
            <wp:docPr descr="Figura 9.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06"/>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07" w:name="fig66"/>
      <w:r>
        <w:t xml:space="preserve">Figure </w:t>
      </w:r>
      <w:fldSimple w:instr="SEQ Figure \* ARABIC ">
        <w:r>
          <w:t>66</w:t>
        </w:r>
      </w:fldSimple>
      <w:r>
        <w:t xml:space="preserve">:</w:t>
      </w:r>
      <w:r>
        <w:t xml:space="preserve"> </w:t>
      </w:r>
      <w:bookmarkEnd w:id="207"/>
      <w:r>
        <w:t xml:space="preserve">Figura 9.8: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9.9</w:t>
      </w:r>
      <w:r>
        <w:t xml:space="preserve">, muestra los tiempos de cada territorio en la adquisición de los recetarios oficiales.</w:t>
      </w:r>
    </w:p>
    <w:p>
      <w:pPr>
        <w:pStyle w:val="CaptionedFigure"/>
      </w:pPr>
      <w:r>
        <w:drawing>
          <wp:inline>
            <wp:extent cx="4350618" cy="3137835"/>
            <wp:effectExtent b="0" l="0" r="0" t="0"/>
            <wp:docPr descr="Figura 9.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08"/>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09" w:name="fig67"/>
      <w:r>
        <w:t xml:space="preserve">Figure </w:t>
      </w:r>
      <w:fldSimple w:instr="SEQ Figure \* ARABIC ">
        <w:r>
          <w:t>67</w:t>
        </w:r>
      </w:fldSimple>
      <w:r>
        <w:t xml:space="preserve">:</w:t>
      </w:r>
      <w:r>
        <w:t xml:space="preserve"> </w:t>
      </w:r>
      <w:bookmarkEnd w:id="209"/>
      <w:r>
        <w:t xml:space="preserve">Figura 9.9: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9.10</w:t>
      </w:r>
      <w:r>
        <w:t xml:space="preserve">, en relación a este margen de ganancias en cada FRE.</w:t>
      </w:r>
    </w:p>
    <w:p>
      <w:pPr>
        <w:pStyle w:val="CaptionedFigure"/>
      </w:pPr>
      <w:r>
        <w:drawing>
          <wp:inline>
            <wp:extent cx="4803006" cy="3311090"/>
            <wp:effectExtent b="0" l="0" r="0" t="0"/>
            <wp:docPr descr="Figura 9.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10"/>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1" w:name="fig68"/>
      <w:r>
        <w:t xml:space="preserve">Figure </w:t>
      </w:r>
      <w:fldSimple w:instr="SEQ Figure \* ARABIC ">
        <w:r>
          <w:t>68</w:t>
        </w:r>
      </w:fldSimple>
      <w:r>
        <w:t xml:space="preserve">:</w:t>
      </w:r>
      <w:r>
        <w:t xml:space="preserve"> </w:t>
      </w:r>
      <w:bookmarkEnd w:id="211"/>
      <w:r>
        <w:t xml:space="preserve">Figura 9.10: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9.11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9.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12"/>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13" w:name="fig69"/>
      <w:r>
        <w:t xml:space="preserve">Figure </w:t>
      </w:r>
      <w:fldSimple w:instr="SEQ Figure \* ARABIC ">
        <w:r>
          <w:t>69</w:t>
        </w:r>
      </w:fldSimple>
      <w:r>
        <w:t xml:space="preserve">:</w:t>
      </w:r>
      <w:r>
        <w:t xml:space="preserve"> </w:t>
      </w:r>
      <w:bookmarkEnd w:id="213"/>
      <w:r>
        <w:t xml:space="preserve">Figura 9.11: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9.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1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5" w:name="fig70"/>
      <w:r>
        <w:t xml:space="preserve">Figure </w:t>
      </w:r>
      <w:fldSimple w:instr="SEQ Figure \* ARABIC ">
        <w:r>
          <w:t>70</w:t>
        </w:r>
      </w:fldSimple>
      <w:r>
        <w:t xml:space="preserve">:</w:t>
      </w:r>
      <w:r>
        <w:t xml:space="preserve"> </w:t>
      </w:r>
      <w:bookmarkEnd w:id="215"/>
      <w:r>
        <w:t xml:space="preserve">Figura 9.12: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9.12</w:t>
      </w:r>
      <w:r>
        <w:t xml:space="preserve"> </w:t>
      </w:r>
      <w:r>
        <w:t xml:space="preserve">exhibe el porcentaje de los territorios que cuentan con ordenanza para definir el costo de los recetarios oficiales.</w:t>
      </w:r>
    </w:p>
    <w:bookmarkEnd w:id="216"/>
    <w:bookmarkStart w:id="217" w:name="seguimiento-y-control-de-ro-1"/>
    <w:p>
      <w:pPr>
        <w:pStyle w:val="Heading3"/>
      </w:pPr>
      <w:r>
        <w:rPr>
          <w:rStyle w:val="SectionNumber"/>
        </w:rPr>
        <w:t xml:space="preserve">9.2.2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17"/>
    <w:bookmarkStart w:id="218" w:name="X161bf645a8ddbfd62e6c3b5999281b4edb216af"/>
    <w:p>
      <w:pPr>
        <w:pStyle w:val="Heading3"/>
      </w:pPr>
      <w:r>
        <w:rPr>
          <w:rStyle w:val="SectionNumber"/>
        </w:rPr>
        <w:t xml:space="preserve">9.2.3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18"/>
    <w:bookmarkStart w:id="221" w:name="ruta-tecnológica.-1"/>
    <w:p>
      <w:pPr>
        <w:pStyle w:val="Heading3"/>
      </w:pPr>
      <w:r>
        <w:rPr>
          <w:rStyle w:val="SectionNumber"/>
        </w:rPr>
        <w:t xml:space="preserve">9.2.4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9.3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9.3: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9.13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9.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19"/>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0" w:name="fig71"/>
      <w:r>
        <w:t xml:space="preserve">Figure </w:t>
      </w:r>
      <w:fldSimple w:instr="SEQ Figure \* ARABIC ">
        <w:r>
          <w:t>71</w:t>
        </w:r>
      </w:fldSimple>
      <w:r>
        <w:t xml:space="preserve">:</w:t>
      </w:r>
      <w:r>
        <w:t xml:space="preserve"> </w:t>
      </w:r>
      <w:bookmarkEnd w:id="220"/>
      <w:r>
        <w:t xml:space="preserve">Figura 9.13: Estado actual de la conexión a internet de los FRE de la región Andina Sur.</w:t>
      </w:r>
    </w:p>
    <w:bookmarkEnd w:id="221"/>
    <w:bookmarkStart w:id="224" w:name="proyección-de-compra-mme-1"/>
    <w:p>
      <w:pPr>
        <w:pStyle w:val="Heading3"/>
      </w:pPr>
      <w:r>
        <w:rPr>
          <w:rStyle w:val="SectionNumber"/>
        </w:rPr>
        <w:t xml:space="preserve">9.2.5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9.14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9.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22"/>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3" w:name="fig72"/>
      <w:r>
        <w:t xml:space="preserve">Figure </w:t>
      </w:r>
      <w:fldSimple w:instr="SEQ Figure \* ARABIC ">
        <w:r>
          <w:t>72</w:t>
        </w:r>
      </w:fldSimple>
      <w:r>
        <w:t xml:space="preserve">:</w:t>
      </w:r>
      <w:r>
        <w:t xml:space="preserve"> </w:t>
      </w:r>
      <w:bookmarkEnd w:id="223"/>
      <w:r>
        <w:t xml:space="preserve">Figura 9.14: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24"/>
    <w:bookmarkStart w:id="227" w:name="recepción-técnica.-1"/>
    <w:p>
      <w:pPr>
        <w:pStyle w:val="Heading3"/>
      </w:pPr>
      <w:r>
        <w:rPr>
          <w:rStyle w:val="SectionNumber"/>
        </w:rPr>
        <w:t xml:space="preserve">9.2.6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9.15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9.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25"/>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26" w:name="fig73"/>
      <w:r>
        <w:t xml:space="preserve">Figure </w:t>
      </w:r>
      <w:fldSimple w:instr="SEQ Figure \* ARABIC ">
        <w:r>
          <w:t>73</w:t>
        </w:r>
      </w:fldSimple>
      <w:r>
        <w:t xml:space="preserve">:</w:t>
      </w:r>
      <w:r>
        <w:t xml:space="preserve"> </w:t>
      </w:r>
      <w:bookmarkEnd w:id="226"/>
      <w:r>
        <w:t xml:space="preserve">Figura 9.15: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27"/>
    <w:bookmarkStart w:id="230" w:name="almacenamiento-e-inventario-de-mme-1"/>
    <w:p>
      <w:pPr>
        <w:pStyle w:val="Heading3"/>
      </w:pPr>
      <w:r>
        <w:rPr>
          <w:rStyle w:val="SectionNumber"/>
        </w:rPr>
        <w:t xml:space="preserve">9.2.7</w:t>
      </w:r>
      <w:r>
        <w:tab/>
      </w:r>
      <w:r>
        <w:t xml:space="preserve">Almacenamiento e inventario de MME</w:t>
      </w:r>
    </w:p>
    <w:p>
      <w:pPr>
        <w:pStyle w:val="CaptionedFigure"/>
      </w:pPr>
      <w:r>
        <w:drawing>
          <wp:inline>
            <wp:extent cx="5334000" cy="1093304"/>
            <wp:effectExtent b="0" l="0" r="0" t="0"/>
            <wp:docPr descr="Figura 9.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28"/>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29" w:name="fig74"/>
      <w:r>
        <w:t xml:space="preserve">Figure </w:t>
      </w:r>
      <w:fldSimple w:instr="SEQ Figure \* ARABIC ">
        <w:r>
          <w:t>74</w:t>
        </w:r>
      </w:fldSimple>
      <w:r>
        <w:t xml:space="preserve">:</w:t>
      </w:r>
      <w:r>
        <w:t xml:space="preserve"> </w:t>
      </w:r>
      <w:bookmarkEnd w:id="229"/>
      <w:r>
        <w:t xml:space="preserve">Figura 9.16: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30"/>
    <w:bookmarkStart w:id="231" w:name="X6b0d3cbe59f2e4485d35bea6be212c33d36f100"/>
    <w:p>
      <w:pPr>
        <w:pStyle w:val="Heading3"/>
      </w:pPr>
      <w:r>
        <w:rPr>
          <w:rStyle w:val="SectionNumber"/>
        </w:rPr>
        <w:t xml:space="preserve">9.2.8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1"/>
    <w:bookmarkEnd w:id="232"/>
    <w:bookmarkStart w:id="237" w:name="región-caribe"/>
    <w:p>
      <w:pPr>
        <w:pStyle w:val="Heading2"/>
      </w:pPr>
      <w:r>
        <w:rPr>
          <w:rStyle w:val="SectionNumber"/>
        </w:rPr>
        <w:t xml:space="preserve">9.3</w:t>
      </w:r>
      <w:r>
        <w:tab/>
      </w:r>
      <w:r>
        <w:t xml:space="preserve">Región Caribe</w:t>
      </w:r>
    </w:p>
    <w:p>
      <w:pPr>
        <w:pStyle w:val="CaptionedFigure"/>
      </w:pPr>
      <w:r>
        <w:drawing>
          <wp:inline>
            <wp:extent cx="4764505" cy="3311090"/>
            <wp:effectExtent b="0" l="0" r="0" t="0"/>
            <wp:docPr descr="Figura 9.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33"/>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4" w:name="fig75"/>
      <w:r>
        <w:t xml:space="preserve">Figure </w:t>
      </w:r>
      <w:fldSimple w:instr="SEQ Figure \* ARABIC ">
        <w:r>
          <w:t>75</w:t>
        </w:r>
      </w:fldSimple>
      <w:r>
        <w:t xml:space="preserve">:</w:t>
      </w:r>
      <w:r>
        <w:t xml:space="preserve"> </w:t>
      </w:r>
      <w:bookmarkEnd w:id="234"/>
      <w:r>
        <w:t xml:space="preserve">Figura 9.17: Porcentaje de ganancias en el departamento para la region Caribe</w:t>
      </w:r>
    </w:p>
    <w:p>
      <w:pPr>
        <w:pStyle w:val="CaptionedFigure"/>
      </w:pPr>
      <w:r>
        <w:drawing>
          <wp:inline>
            <wp:extent cx="4899258" cy="3532471"/>
            <wp:effectExtent b="0" l="0" r="0" t="0"/>
            <wp:docPr descr="Figura 9.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35"/>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6" w:name="fig76"/>
      <w:r>
        <w:t xml:space="preserve">Figure </w:t>
      </w:r>
      <w:fldSimple w:instr="SEQ Figure \* ARABIC ">
        <w:r>
          <w:t>76</w:t>
        </w:r>
      </w:fldSimple>
      <w:r>
        <w:t xml:space="preserve">:</w:t>
      </w:r>
      <w:r>
        <w:t xml:space="preserve"> </w:t>
      </w:r>
      <w:bookmarkEnd w:id="236"/>
      <w:r>
        <w:t xml:space="preserve">Figura 9.18: Tiempos de adquisición de recetarios en el departamento para la region Caribe</w:t>
      </w:r>
    </w:p>
    <w:p>
      <w:pPr>
        <w:numPr>
          <w:ilvl w:val="0"/>
          <w:numId w:val="1012"/>
        </w:numPr>
        <w:pStyle w:val="Compact"/>
      </w:pPr>
      <w:r>
        <w:t xml:space="preserve">ATLÁNTICO</w:t>
      </w:r>
    </w:p>
    <w:p>
      <w:pPr>
        <w:numPr>
          <w:ilvl w:val="0"/>
          <w:numId w:val="1012"/>
        </w:numPr>
        <w:pStyle w:val="Compact"/>
      </w:pPr>
      <w:r>
        <w:t xml:space="preserve">BOLÍVAR</w:t>
      </w:r>
    </w:p>
    <w:p>
      <w:pPr>
        <w:numPr>
          <w:ilvl w:val="0"/>
          <w:numId w:val="1012"/>
        </w:numPr>
        <w:pStyle w:val="Compact"/>
      </w:pPr>
      <w:r>
        <w:t xml:space="preserve">CESAR</w:t>
      </w:r>
    </w:p>
    <w:p>
      <w:pPr>
        <w:numPr>
          <w:ilvl w:val="0"/>
          <w:numId w:val="1012"/>
        </w:numPr>
        <w:pStyle w:val="Compact"/>
      </w:pPr>
      <w:r>
        <w:t xml:space="preserve">CÓRDOBA</w:t>
      </w:r>
    </w:p>
    <w:p>
      <w:pPr>
        <w:numPr>
          <w:ilvl w:val="0"/>
          <w:numId w:val="1012"/>
        </w:numPr>
        <w:pStyle w:val="Compact"/>
      </w:pPr>
      <w:r>
        <w:t xml:space="preserve">GUAJIRA</w:t>
      </w:r>
    </w:p>
    <w:p>
      <w:pPr>
        <w:numPr>
          <w:ilvl w:val="0"/>
          <w:numId w:val="1012"/>
        </w:numPr>
        <w:pStyle w:val="Compact"/>
      </w:pPr>
      <w:r>
        <w:t xml:space="preserve">MAGDALENA</w:t>
      </w:r>
    </w:p>
    <w:p>
      <w:pPr>
        <w:numPr>
          <w:ilvl w:val="0"/>
          <w:numId w:val="1012"/>
        </w:numPr>
        <w:pStyle w:val="Compact"/>
      </w:pPr>
      <w:r>
        <w:t xml:space="preserve">SAN ANDRÉS Y PROVIDENCIA</w:t>
      </w:r>
    </w:p>
    <w:p>
      <w:pPr>
        <w:numPr>
          <w:ilvl w:val="0"/>
          <w:numId w:val="1012"/>
        </w:numPr>
        <w:pStyle w:val="Compact"/>
      </w:pPr>
      <w:r>
        <w:t xml:space="preserve">SUCRE</w:t>
      </w:r>
    </w:p>
    <w:bookmarkEnd w:id="237"/>
    <w:bookmarkStart w:id="242" w:name="región-orinoquía"/>
    <w:p>
      <w:pPr>
        <w:pStyle w:val="Heading2"/>
      </w:pPr>
      <w:r>
        <w:rPr>
          <w:rStyle w:val="SectionNumber"/>
        </w:rPr>
        <w:t xml:space="preserve">9.4</w:t>
      </w:r>
      <w:r>
        <w:tab/>
      </w:r>
      <w:r>
        <w:t xml:space="preserve">Región Orinoquía</w:t>
      </w:r>
    </w:p>
    <w:p>
      <w:pPr>
        <w:pStyle w:val="CaptionedFigure"/>
      </w:pPr>
      <w:r>
        <w:drawing>
          <wp:inline>
            <wp:extent cx="4764505" cy="3311090"/>
            <wp:effectExtent b="0" l="0" r="0" t="0"/>
            <wp:docPr descr="Figura 9.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38"/>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9" w:name="fig77"/>
      <w:r>
        <w:t xml:space="preserve">Figure </w:t>
      </w:r>
      <w:fldSimple w:instr="SEQ Figure \* ARABIC ">
        <w:r>
          <w:t>77</w:t>
        </w:r>
      </w:fldSimple>
      <w:r>
        <w:t xml:space="preserve">:</w:t>
      </w:r>
      <w:r>
        <w:t xml:space="preserve"> </w:t>
      </w:r>
      <w:bookmarkEnd w:id="239"/>
      <w:r>
        <w:t xml:space="preserve">Figura 9.19: Porcentaje de ganancias en el departamento para la region Orinoquía</w:t>
      </w:r>
    </w:p>
    <w:p>
      <w:pPr>
        <w:pStyle w:val="CaptionedFigure"/>
      </w:pPr>
      <w:r>
        <w:drawing>
          <wp:inline>
            <wp:extent cx="4899258" cy="3532471"/>
            <wp:effectExtent b="0" l="0" r="0" t="0"/>
            <wp:docPr descr="Figura 9.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40"/>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1" w:name="fig78"/>
      <w:r>
        <w:t xml:space="preserve">Figure </w:t>
      </w:r>
      <w:fldSimple w:instr="SEQ Figure \* ARABIC ">
        <w:r>
          <w:t>78</w:t>
        </w:r>
      </w:fldSimple>
      <w:r>
        <w:t xml:space="preserve">:</w:t>
      </w:r>
      <w:r>
        <w:t xml:space="preserve"> </w:t>
      </w:r>
      <w:bookmarkEnd w:id="241"/>
      <w:r>
        <w:t xml:space="preserve">Figura 9.20: Tiempos de adquisición de recetarios en el departamento para la region Orinoquía</w:t>
      </w:r>
    </w:p>
    <w:p>
      <w:pPr>
        <w:numPr>
          <w:ilvl w:val="0"/>
          <w:numId w:val="1013"/>
        </w:numPr>
        <w:pStyle w:val="Compact"/>
      </w:pPr>
      <w:r>
        <w:t xml:space="preserve">CASANARE</w:t>
      </w:r>
    </w:p>
    <w:p>
      <w:pPr>
        <w:numPr>
          <w:ilvl w:val="0"/>
          <w:numId w:val="1013"/>
        </w:numPr>
        <w:pStyle w:val="Compact"/>
      </w:pPr>
      <w:r>
        <w:t xml:space="preserve">META</w:t>
      </w:r>
    </w:p>
    <w:p>
      <w:pPr>
        <w:numPr>
          <w:ilvl w:val="0"/>
          <w:numId w:val="1013"/>
        </w:numPr>
        <w:pStyle w:val="Compact"/>
      </w:pPr>
      <w:r>
        <w:t xml:space="preserve">ARAUCA</w:t>
      </w:r>
    </w:p>
    <w:p>
      <w:pPr>
        <w:numPr>
          <w:ilvl w:val="0"/>
          <w:numId w:val="1013"/>
        </w:numPr>
        <w:pStyle w:val="Compact"/>
      </w:pPr>
      <w:r>
        <w:t xml:space="preserve">VICHADA</w:t>
      </w:r>
    </w:p>
    <w:bookmarkEnd w:id="242"/>
    <w:bookmarkStart w:id="247" w:name="región-pacífica"/>
    <w:p>
      <w:pPr>
        <w:pStyle w:val="Heading2"/>
      </w:pPr>
      <w:r>
        <w:rPr>
          <w:rStyle w:val="SectionNumber"/>
        </w:rPr>
        <w:t xml:space="preserve">9.5</w:t>
      </w:r>
      <w:r>
        <w:tab/>
      </w:r>
      <w:r>
        <w:t xml:space="preserve">Región Pacífica</w:t>
      </w:r>
    </w:p>
    <w:p>
      <w:pPr>
        <w:pStyle w:val="CaptionedFigure"/>
      </w:pPr>
      <w:r>
        <w:drawing>
          <wp:inline>
            <wp:extent cx="4793381" cy="3311090"/>
            <wp:effectExtent b="0" l="0" r="0" t="0"/>
            <wp:docPr descr="Figura 9.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43"/>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44" w:name="fig79"/>
      <w:r>
        <w:t xml:space="preserve">Figure </w:t>
      </w:r>
      <w:fldSimple w:instr="SEQ Figure \* ARABIC ">
        <w:r>
          <w:t>79</w:t>
        </w:r>
      </w:fldSimple>
      <w:r>
        <w:t xml:space="preserve">:</w:t>
      </w:r>
      <w:r>
        <w:t xml:space="preserve"> </w:t>
      </w:r>
      <w:bookmarkEnd w:id="244"/>
      <w:r>
        <w:t xml:space="preserve">Figura 9.21: Porcentaje de ganancias en el departamento para la region Pacífica</w:t>
      </w:r>
    </w:p>
    <w:p>
      <w:pPr>
        <w:pStyle w:val="CaptionedFigure"/>
      </w:pPr>
      <w:r>
        <w:drawing>
          <wp:inline>
            <wp:extent cx="4937760" cy="3532471"/>
            <wp:effectExtent b="0" l="0" r="0" t="0"/>
            <wp:docPr descr="Figura 9.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45"/>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46" w:name="fig80"/>
      <w:r>
        <w:t xml:space="preserve">Figure </w:t>
      </w:r>
      <w:fldSimple w:instr="SEQ Figure \* ARABIC ">
        <w:r>
          <w:t>80</w:t>
        </w:r>
      </w:fldSimple>
      <w:r>
        <w:t xml:space="preserve">:</w:t>
      </w:r>
      <w:r>
        <w:t xml:space="preserve"> </w:t>
      </w:r>
      <w:bookmarkEnd w:id="246"/>
      <w:r>
        <w:t xml:space="preserve">Figura 9.22: Tiempos de adquisición de recetarios en el departamento para la region Pacífica</w:t>
      </w:r>
    </w:p>
    <w:p>
      <w:pPr>
        <w:numPr>
          <w:ilvl w:val="0"/>
          <w:numId w:val="1014"/>
        </w:numPr>
        <w:pStyle w:val="Compact"/>
      </w:pPr>
      <w:r>
        <w:t xml:space="preserve">CAUCA</w:t>
      </w:r>
    </w:p>
    <w:p>
      <w:pPr>
        <w:numPr>
          <w:ilvl w:val="0"/>
          <w:numId w:val="1014"/>
        </w:numPr>
        <w:pStyle w:val="Compact"/>
      </w:pPr>
      <w:r>
        <w:t xml:space="preserve">CHOCÓ</w:t>
      </w:r>
    </w:p>
    <w:p>
      <w:pPr>
        <w:numPr>
          <w:ilvl w:val="0"/>
          <w:numId w:val="1014"/>
        </w:numPr>
        <w:pStyle w:val="Compact"/>
      </w:pPr>
      <w:r>
        <w:t xml:space="preserve">NARIÑO</w:t>
      </w:r>
    </w:p>
    <w:p>
      <w:pPr>
        <w:numPr>
          <w:ilvl w:val="0"/>
          <w:numId w:val="1014"/>
        </w:numPr>
        <w:pStyle w:val="Compact"/>
      </w:pPr>
      <w:r>
        <w:t xml:space="preserve">VALLE DEL CAUCA</w:t>
      </w:r>
    </w:p>
    <w:bookmarkEnd w:id="247"/>
    <w:bookmarkEnd w:id="248"/>
    <w:bookmarkStart w:id="249" w:name="lineamientos-y-recomendaciones-generales"/>
    <w:p>
      <w:pPr>
        <w:pStyle w:val="Heading1"/>
      </w:pPr>
      <w:r>
        <w:rPr>
          <w:rStyle w:val="SectionNumber"/>
        </w:rPr>
        <w:t xml:space="preserve">10</w:t>
      </w:r>
      <w:r>
        <w:tab/>
      </w:r>
      <w:r>
        <w:t xml:space="preserve">Lineamientos y Recomendaciones Generales</w:t>
      </w:r>
    </w:p>
    <w:bookmarkEnd w:id="249"/>
    <w:bookmarkStart w:id="250" w:name="glosario"/>
    <w:p>
      <w:pPr>
        <w:pStyle w:val="Heading1"/>
      </w:pPr>
      <w:r>
        <w:t xml:space="preserve">Glosario</w:t>
      </w:r>
    </w:p>
    <w:p>
      <w:pPr>
        <w:numPr>
          <w:ilvl w:val="0"/>
          <w:numId w:val="1015"/>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5"/>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5"/>
        </w:numPr>
      </w:pPr>
      <w:r>
        <w:rPr>
          <w:bCs/>
          <w:b/>
        </w:rPr>
        <w:t xml:space="preserve">Desabastecimiento</w:t>
      </w:r>
      <w:r>
        <w:t xml:space="preserve">: Se entiende como la nula disponibilidad de un medicamento en todo el territorio nacional.</w:t>
      </w:r>
    </w:p>
    <w:p>
      <w:pPr>
        <w:numPr>
          <w:ilvl w:val="0"/>
          <w:numId w:val="1015"/>
        </w:numPr>
      </w:pPr>
      <w:r>
        <w:rPr>
          <w:bCs/>
          <w:b/>
        </w:rPr>
        <w:t xml:space="preserve">Disponibilidad</w:t>
      </w:r>
      <w:r>
        <w:t xml:space="preserve">: Condición en la cual se cuentan con existencias del medicamento en el territorio nacional.</w:t>
      </w:r>
    </w:p>
    <w:p>
      <w:pPr>
        <w:numPr>
          <w:ilvl w:val="0"/>
          <w:numId w:val="1015"/>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5"/>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5"/>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5"/>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5"/>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5"/>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5"/>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5"/>
        </w:numPr>
      </w:pPr>
      <w:r>
        <w:rPr>
          <w:bCs/>
          <w:b/>
        </w:rPr>
        <w:t xml:space="preserve">Monopolio del Estado</w:t>
      </w:r>
      <w:r>
        <w:t xml:space="preserve">: Derecho poseído de exclusividad por el Estado.</w:t>
      </w:r>
    </w:p>
    <w:p>
      <w:pPr>
        <w:numPr>
          <w:ilvl w:val="0"/>
          <w:numId w:val="1015"/>
        </w:numPr>
      </w:pPr>
      <w:r>
        <w:rPr>
          <w:bCs/>
          <w:b/>
        </w:rPr>
        <w:t xml:space="preserve">Principio Activo</w:t>
      </w:r>
      <w:r>
        <w:t xml:space="preserve">: Compuesto o mezcla de compuestos que tienen acción farmacológica.</w:t>
      </w:r>
    </w:p>
    <w:p>
      <w:pPr>
        <w:numPr>
          <w:ilvl w:val="0"/>
          <w:numId w:val="1015"/>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5"/>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5"/>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5"/>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5"/>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5"/>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50"/>
    <w:bookmarkStart w:id="252" w:name="créditos"/>
    <w:p>
      <w:pPr>
        <w:pStyle w:val="Heading1"/>
      </w:pPr>
      <w:r>
        <w:t xml:space="preserve">Créditos</w:t>
      </w:r>
    </w:p>
    <w:bookmarkStart w:id="251"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1"/>
    <w:bookmarkEnd w:id="252"/>
    <w:bookmarkStart w:id="262" w:name="referencias"/>
    <w:p>
      <w:pPr>
        <w:pStyle w:val="Heading1"/>
      </w:pPr>
      <w:r>
        <w:t xml:space="preserve">Referencias</w:t>
      </w:r>
    </w:p>
    <w:bookmarkStart w:id="261" w:name="refs"/>
    <w:bookmarkStart w:id="253" w:name="ref-MSPS1479-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53"/>
    <w:bookmarkStart w:id="254" w:name="ref-CongresodelaRepublica1974"/>
    <w:p>
      <w:pPr>
        <w:pStyle w:val="Bibliography"/>
      </w:pPr>
      <w:r>
        <w:t xml:space="preserve">2.</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54"/>
    <w:bookmarkStart w:id="255" w:name="ref-DANE2021"/>
    <w:p>
      <w:pPr>
        <w:pStyle w:val="Bibliography"/>
      </w:pPr>
      <w:r>
        <w:t xml:space="preserve">3.</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55"/>
    <w:bookmarkStart w:id="256" w:name="ref-MSPS1478-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56"/>
    <w:bookmarkStart w:id="257" w:name="ref-FNE2015-9"/>
    <w:p>
      <w:pPr>
        <w:pStyle w:val="Bibliography"/>
      </w:pPr>
      <w:r>
        <w:t xml:space="preserve">5.</w:t>
      </w:r>
      <w:r>
        <w:t xml:space="preserve"> </w:t>
      </w:r>
      <w:r>
        <w:t xml:space="preserve">	</w:t>
      </w:r>
      <w:r>
        <w:t xml:space="preserve">Fondo Nacional de Estupefacientes.</w:t>
      </w:r>
      <w:r>
        <w:t xml:space="preserve"> </w:t>
      </w:r>
      <w:r>
        <w:t xml:space="preserve">Circular Externa 009 de 2015 del FNE</w:t>
      </w:r>
      <w:r>
        <w:t xml:space="preserve">. 2015.</w:t>
      </w:r>
    </w:p>
    <w:bookmarkEnd w:id="257"/>
    <w:bookmarkStart w:id="258" w:name="ref-Silver2017"/>
    <w:p>
      <w:pPr>
        <w:pStyle w:val="Bibliography"/>
      </w:pPr>
      <w:r>
        <w:t xml:space="preserve">6.</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58"/>
    <w:bookmarkStart w:id="259" w:name="X4e956815ca1199d73a39485c932e7d8485463a0"/>
    <w:p>
      <w:pPr>
        <w:pStyle w:val="Bibliography"/>
      </w:pPr>
      <w:r>
        <w:t xml:space="preserve">7.</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59"/>
    <w:bookmarkStart w:id="260" w:name="ref-HernandezVera2017"/>
    <w:p>
      <w:pPr>
        <w:pStyle w:val="Bibliography"/>
      </w:pPr>
      <w:r>
        <w:t xml:space="preserve">8.</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60"/>
    <w:bookmarkEnd w:id="261"/>
    <w:bookmarkEnd w:id="2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png" /><Relationship Type="http://schemas.openxmlformats.org/officeDocument/2006/relationships/image" Id="rId64" Target="media/rId64.png" /><Relationship Type="http://schemas.openxmlformats.org/officeDocument/2006/relationships/image" Id="rId132" Target="media/rId132.png" /><Relationship Type="http://schemas.openxmlformats.org/officeDocument/2006/relationships/image" Id="rId134" Target="media/rId134.png" /><Relationship Type="http://schemas.openxmlformats.org/officeDocument/2006/relationships/image" Id="rId101" Target="media/rId101.png" /><Relationship Type="http://schemas.openxmlformats.org/officeDocument/2006/relationships/image" Id="rId71" Target="media/rId71.png" /><Relationship Type="http://schemas.openxmlformats.org/officeDocument/2006/relationships/image" Id="rId152" Target="media/rId152.png" /><Relationship Type="http://schemas.openxmlformats.org/officeDocument/2006/relationships/image" Id="rId163" Target="media/rId163.png" /><Relationship Type="http://schemas.openxmlformats.org/officeDocument/2006/relationships/image" Id="rId56" Target="media/rId56.png" /><Relationship Type="http://schemas.openxmlformats.org/officeDocument/2006/relationships/image" Id="rId154" Target="media/rId154.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82" Target="media/rId82.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29" Target="media/rId129.png" /><Relationship Type="http://schemas.openxmlformats.org/officeDocument/2006/relationships/image" Id="rId122" Target="media/rId122.png" /><Relationship Type="http://schemas.openxmlformats.org/officeDocument/2006/relationships/image" Id="rId107" Target="media/rId107.png" /><Relationship Type="http://schemas.openxmlformats.org/officeDocument/2006/relationships/image" Id="rId175" Target="media/rId175.png" /><Relationship Type="http://schemas.openxmlformats.org/officeDocument/2006/relationships/image" Id="rId161" Target="media/rId161.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174" Target="media/rId174.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178" Target="media/rId178.png" /><Relationship Type="http://schemas.openxmlformats.org/officeDocument/2006/relationships/image" Id="rId79" Target="media/rId79.png" /><Relationship Type="http://schemas.openxmlformats.org/officeDocument/2006/relationships/image" Id="rId119" Target="media/rId119.png" /><Relationship Type="http://schemas.openxmlformats.org/officeDocument/2006/relationships/image" Id="rId69" Target="media/rId69.png" /><Relationship Type="http://schemas.openxmlformats.org/officeDocument/2006/relationships/image" Id="rId150" Target="media/rId150.png" /><Relationship Type="http://schemas.openxmlformats.org/officeDocument/2006/relationships/image" Id="rId124" Target="media/rId124.png" /><Relationship Type="http://schemas.openxmlformats.org/officeDocument/2006/relationships/image" Id="rId158" Target="media/rId158.png" /><Relationship Type="http://schemas.openxmlformats.org/officeDocument/2006/relationships/image" Id="rId58" Target="media/rId58.png" /><Relationship Type="http://schemas.openxmlformats.org/officeDocument/2006/relationships/image" Id="rId126" Target="media/rId126.png" /><Relationship Type="http://schemas.openxmlformats.org/officeDocument/2006/relationships/image" Id="rId91" Target="media/rId91.png" /><Relationship Type="http://schemas.openxmlformats.org/officeDocument/2006/relationships/image" Id="rId127" Target="media/rId127.png" /><Relationship Type="http://schemas.openxmlformats.org/officeDocument/2006/relationships/image" Id="rId171" Target="media/rId171.png" /><Relationship Type="http://schemas.openxmlformats.org/officeDocument/2006/relationships/image" Id="rId73" Target="media/rId73.png" /><Relationship Type="http://schemas.openxmlformats.org/officeDocument/2006/relationships/image" Id="rId156" Target="media/rId156.png" /><Relationship Type="http://schemas.openxmlformats.org/officeDocument/2006/relationships/image" Id="rId173" Target="media/rId173.png" /><Relationship Type="http://schemas.openxmlformats.org/officeDocument/2006/relationships/image" Id="rId66" Target="media/rId66.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167" Target="media/rId167.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2" Target="media/rId112.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37" Target="media/rId137.png" /><Relationship Type="http://schemas.openxmlformats.org/officeDocument/2006/relationships/image" Id="rId116" Target="media/rId116.png" /><Relationship Type="http://schemas.openxmlformats.org/officeDocument/2006/relationships/image" Id="rId143" Target="media/rId143.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61" Target="media/rId61.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24" Target="media/rId24.png" /><Relationship Type="http://schemas.openxmlformats.org/officeDocument/2006/relationships/image" Id="rId63" Target="media/rId63.png" /><Relationship Type="http://schemas.openxmlformats.org/officeDocument/2006/relationships/image" Id="rId182" Target="media/rId182.jpg" /><Relationship Type="http://schemas.openxmlformats.org/officeDocument/2006/relationships/image" Id="rId206" Target="media/rId206.jpg" /><Relationship Type="http://schemas.openxmlformats.org/officeDocument/2006/relationships/image" Id="rId208" Target="media/rId208.png" /><Relationship Type="http://schemas.openxmlformats.org/officeDocument/2006/relationships/image" Id="rId210" Target="media/rId210.png" /><Relationship Type="http://schemas.openxmlformats.org/officeDocument/2006/relationships/image" Id="rId212" Target="media/rId212.png" /><Relationship Type="http://schemas.openxmlformats.org/officeDocument/2006/relationships/image" Id="rId214" Target="media/rId214.png" /><Relationship Type="http://schemas.openxmlformats.org/officeDocument/2006/relationships/image" Id="rId184" Target="media/rId184.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33" Target="media/rId233.png" /><Relationship Type="http://schemas.openxmlformats.org/officeDocument/2006/relationships/image" Id="rId235" Target="media/rId235.png" /><Relationship Type="http://schemas.openxmlformats.org/officeDocument/2006/relationships/image" Id="rId186" Target="media/rId186.png" /><Relationship Type="http://schemas.openxmlformats.org/officeDocument/2006/relationships/image" Id="rId238" Target="media/rId238.png" /><Relationship Type="http://schemas.openxmlformats.org/officeDocument/2006/relationships/image" Id="rId240" Target="media/rId240.png" /><Relationship Type="http://schemas.openxmlformats.org/officeDocument/2006/relationships/image" Id="rId188" Target="media/rId188.png" /><Relationship Type="http://schemas.openxmlformats.org/officeDocument/2006/relationships/image" Id="rId243" Target="media/rId243.png" /><Relationship Type="http://schemas.openxmlformats.org/officeDocument/2006/relationships/image" Id="rId245" Target="media/rId245.png" /><Relationship Type="http://schemas.openxmlformats.org/officeDocument/2006/relationships/image" Id="rId193" Target="media/rId193.png" /><Relationship Type="http://schemas.openxmlformats.org/officeDocument/2006/relationships/image" Id="rId195" Target="media/rId195.png" /><Relationship Type="http://schemas.openxmlformats.org/officeDocument/2006/relationships/image" Id="rId202" Target="media/rId20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2021-10-02T20:36:32Z</dcterms:created>
  <dcterms:modified xsi:type="dcterms:W3CDTF">2021-10-02T20:36:32Z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