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0.png" ContentType="image/png"/>
  <Override PartName="/word/media/rId74.png" ContentType="image/png"/>
  <Override PartName="/word/media/rId151.png" ContentType="image/png"/>
  <Override PartName="/word/media/rId153.png" ContentType="image/png"/>
  <Override PartName="/word/media/rId124.png" ContentType="image/png"/>
  <Override PartName="/word/media/rId81.png" ContentType="image/png"/>
  <Override PartName="/word/media/rId82.png" ContentType="image/png"/>
  <Override PartName="/word/media/rId102.png" ContentType="image/png"/>
  <Override PartName="/word/media/rId171.png" ContentType="image/png"/>
  <Override PartName="/word/media/rId67.png" ContentType="image/png"/>
  <Override PartName="/word/media/rId104.png" ContentType="image/png"/>
  <Override PartName="/word/media/rId116.png" ContentType="image/png"/>
  <Override PartName="/word/media/rId118.png" ContentType="image/png"/>
  <Override PartName="/word/media/rId94.png" ContentType="image/png"/>
  <Override PartName="/word/media/rId126.png" ContentType="image/png"/>
  <Override PartName="/word/media/rId148.png" ContentType="image/png"/>
  <Override PartName="/word/media/rId141.png" ContentType="image/png"/>
  <Override PartName="/word/media/rId128.png" ContentType="image/png"/>
  <Override PartName="/word/media/rId183.png" ContentType="image/png"/>
  <Override PartName="/word/media/rId169.png" ContentType="image/png"/>
  <Override PartName="/word/media/rId110.png" ContentType="image/png"/>
  <Override PartName="/word/media/rId112.png" ContentType="image/png"/>
  <Override PartName="/word/media/rId182.png" ContentType="image/png"/>
  <Override PartName="/word/media/rId184.png" ContentType="image/png"/>
  <Override PartName="/word/media/rId185.png" ContentType="image/png"/>
  <Override PartName="/word/media/rId91.png" ContentType="image/png"/>
  <Override PartName="/word/media/rId45.png" ContentType="image/png"/>
  <Override PartName="/word/media/rId46.png" ContentType="image/png"/>
  <Override PartName="/word/media/rId186.png" ContentType="image/png"/>
  <Override PartName="/word/media/rId89.png" ContentType="image/png"/>
  <Override PartName="/word/media/rId138.png" ContentType="image/png"/>
  <Override PartName="/word/media/rId79.png" ContentType="image/png"/>
  <Override PartName="/word/media/rId100.png" ContentType="image/png"/>
  <Override PartName="/word/media/rId143.png" ContentType="image/png"/>
  <Override PartName="/word/media/rId108.png" ContentType="image/png"/>
  <Override PartName="/word/media/rId65.png" ContentType="image/png"/>
  <Override PartName="/word/media/rId145.png" ContentType="image/png"/>
  <Override PartName="/word/media/rId114.png" ContentType="image/png"/>
  <Override PartName="/word/media/rId146.png" ContentType="image/png"/>
  <Override PartName="/word/media/rId179.png" ContentType="image/png"/>
  <Override PartName="/word/media/rId83.png" ContentType="image/png"/>
  <Override PartName="/word/media/rId106.png" ContentType="image/png"/>
  <Override PartName="/word/media/rId181.png" ContentType="image/png"/>
  <Override PartName="/word/media/rId76.png" ContentType="image/png"/>
  <Override PartName="/word/media/rId87.png" ContentType="image/png"/>
  <Override PartName="/word/media/rId85.png" ContentType="image/png"/>
  <Override PartName="/word/media/rId96.png" ContentType="image/png"/>
  <Override PartName="/word/media/rId175.png" ContentType="image/png"/>
  <Override PartName="/word/media/rId173.png" ContentType="image/png"/>
  <Override PartName="/word/media/rId177.png" ContentType="image/png"/>
  <Override PartName="/word/media/rId131.png" ContentType="image/png"/>
  <Override PartName="/word/media/rId133.png" ContentType="image/png"/>
  <Override PartName="/word/media/rId120.png" ContentType="image/png"/>
  <Override PartName="/word/media/rId122.png" ContentType="image/png"/>
  <Override PartName="/word/media/rId156.png" ContentType="image/png"/>
  <Override PartName="/word/media/rId135.png" ContentType="image/png"/>
  <Override PartName="/word/media/rId162.png" ContentType="image/png"/>
  <Override PartName="/word/media/rId61.png" ContentType="image/png"/>
  <Override PartName="/word/media/rId62.png" ContentType="image/png"/>
  <Override PartName="/word/media/rId63.png" ContentType="image/png"/>
  <Override PartName="/word/media/rId59.png" ContentType="image/png"/>
  <Override PartName="/word/media/rId54.png" ContentType="image/png"/>
  <Override PartName="/word/media/rId56.png" ContentType="image/png"/>
  <Override PartName="/word/media/rId50.png" ContentType="image/png"/>
  <Override PartName="/word/media/rId52.png" ContentType="image/png"/>
  <Override PartName="/word/media/rId40.png" ContentType="image/png"/>
  <Override PartName="/word/media/rId42.png" ContentType="image/png"/>
  <Override PartName="/word/media/rId35.png" ContentType="image/png"/>
  <Override PartName="/word/media/rId70.png" ContentType="image/png"/>
  <Override PartName="/word/media/rId31.png" ContentType="image/png"/>
  <Override PartName="/word/media/rId33.png" ContentType="image/png"/>
  <Override PartName="/word/media/rId29.png" ContentType="image/png"/>
  <Override PartName="/word/media/rId27.png" ContentType="image/png"/>
  <Override PartName="/word/media/rId37.png" ContentType="image/png"/>
  <Override PartName="/word/media/rId160.png" ContentType="image/png"/>
  <Override PartName="/word/media/rId164.png" ContentType="image/png"/>
  <Override PartName="/word/media/rId24.png" ContentType="image/png"/>
  <Override PartName="/word/media/rId72.png" ContentType="image/png"/>
  <Override PartName="/word/media/rId190.jpg" ContentType="image/jpeg"/>
  <Override PartName="/word/media/rId214.jpg" ContentType="image/jpeg"/>
  <Override PartName="/word/media/rId216.png" ContentType="image/png"/>
  <Override PartName="/word/media/rId218.png" ContentType="image/png"/>
  <Override PartName="/word/media/rId220.png" ContentType="image/png"/>
  <Override PartName="/word/media/rId222.png" ContentType="image/png"/>
  <Override PartName="/word/media/rId192.png" ContentType="image/png"/>
  <Override PartName="/word/media/rId227.png" ContentType="image/png"/>
  <Override PartName="/word/media/rId230.png" ContentType="image/png"/>
  <Override PartName="/word/media/rId233.png" ContentType="image/png"/>
  <Override PartName="/word/media/rId236.png" ContentType="image/png"/>
  <Override PartName="/word/media/rId241.png" ContentType="image/png"/>
  <Override PartName="/word/media/rId243.png" ContentType="image/png"/>
  <Override PartName="/word/media/rId194.png" ContentType="image/png"/>
  <Override PartName="/word/media/rId246.png" ContentType="image/png"/>
  <Override PartName="/word/media/rId248.png" ContentType="image/png"/>
  <Override PartName="/word/media/rId196.png" ContentType="image/png"/>
  <Override PartName="/word/media/rId251.png" ContentType="image/png"/>
  <Override PartName="/word/media/rId253.png" ContentType="image/png"/>
  <Override PartName="/word/media/rId201.png" ContentType="image/png"/>
  <Override PartName="/word/media/rId203.png" ContentType="image/png"/>
  <Override PartName="/word/media/rId2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9" w:name="estructura-del-fre"/>
    <w:p>
      <w:pPr>
        <w:pStyle w:val="Heading1"/>
      </w:pPr>
      <w:r>
        <w:rPr>
          <w:rStyle w:val="SectionNumber"/>
        </w:rPr>
        <w:t xml:space="preserve">4</w:t>
      </w:r>
      <w:r>
        <w:tab/>
      </w:r>
      <w:r>
        <w:t xml:space="preserve">Estructura del FRE</w:t>
      </w:r>
    </w:p>
    <w:bookmarkStart w:id="26" w:name="fecha-de-constitución-de-fre"/>
    <w:p>
      <w:pPr>
        <w:pStyle w:val="Heading2"/>
      </w:pPr>
      <w:r>
        <w:rPr>
          <w:rStyle w:val="SectionNumber"/>
        </w:rPr>
        <w:t xml:space="preserve">4.1</w:t>
      </w:r>
      <w:r>
        <w:tab/>
      </w:r>
      <w:r>
        <w:t xml:space="preserve">Fecha de constitución de FRE</w:t>
      </w:r>
    </w:p>
    <w:p>
      <w:pPr>
        <w:pStyle w:val="CaptionedFigure"/>
      </w:pPr>
      <w:r>
        <w:drawing>
          <wp:inline>
            <wp:extent cx="5334000" cy="4267200"/>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bookmarkEnd w:id="26"/>
    <w:bookmarkStart w:id="39" w:name="estructura-organizacional"/>
    <w:p>
      <w:pPr>
        <w:pStyle w:val="Heading2"/>
      </w:pPr>
      <w:r>
        <w:rPr>
          <w:rStyle w:val="SectionNumber"/>
        </w:rPr>
        <w:t xml:space="preserve">4.2</w:t>
      </w:r>
      <w:r>
        <w:tab/>
      </w:r>
      <w:r>
        <w:t xml:space="preserve">Estructura organizacional</w:t>
      </w:r>
    </w:p>
    <w:p>
      <w:pPr>
        <w:pStyle w:val="CaptionedFigure"/>
      </w:pPr>
      <w:r>
        <w:drawing>
          <wp:inline>
            <wp:extent cx="5334000" cy="3556000"/>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CaptionedFigure"/>
      </w:pPr>
      <w:r>
        <w:drawing>
          <wp:inline>
            <wp:extent cx="5334000" cy="4000500"/>
            <wp:effectExtent b="0" l="0" r="0" t="0"/>
            <wp:docPr descr="Figura 4.3: Perfil de profesional de encargados de los FRE por departamento" title="" id="1" name="Picture"/>
            <a:graphic>
              <a:graphicData uri="http://schemas.openxmlformats.org/drawingml/2006/picture">
                <pic:pic>
                  <pic:nvPicPr>
                    <pic:cNvPr descr="InformeFinal_files/figure-docx/perfilProfesionalDepartamentos1-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0" w:name="fig3"/>
      <w:r>
        <w:t xml:space="preserve">Figure </w:t>
      </w:r>
      <w:fldSimple w:instr="SEQ Figure \* ARABIC ">
        <w:r>
          <w:t>3</w:t>
        </w:r>
      </w:fldSimple>
      <w:r>
        <w:t xml:space="preserve">:</w:t>
      </w:r>
      <w:r>
        <w:t xml:space="preserve"> </w:t>
      </w:r>
      <w:bookmarkEnd w:id="30"/>
      <w:r>
        <w:t xml:space="preserve">Figura 4.3: Perfil de profesional de encargados de los FRE por departamento</w:t>
      </w:r>
    </w:p>
    <w:p>
      <w:pPr>
        <w:pStyle w:val="CaptionedFigure"/>
      </w:pPr>
      <w:r>
        <w:drawing>
          <wp:inline>
            <wp:extent cx="5334000" cy="4000500"/>
            <wp:effectExtent b="0" l="0" r="0" t="0"/>
            <wp:docPr descr="Figura 4.4: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2" w:name="fig4"/>
      <w:r>
        <w:t xml:space="preserve">Figure </w:t>
      </w:r>
      <w:fldSimple w:instr="SEQ Figure \* ARABIC ">
        <w:r>
          <w:t>4</w:t>
        </w:r>
      </w:fldSimple>
      <w:r>
        <w:t xml:space="preserve">:</w:t>
      </w:r>
      <w:r>
        <w:t xml:space="preserve"> </w:t>
      </w:r>
      <w:bookmarkEnd w:id="32"/>
      <w:r>
        <w:t xml:space="preserve">Figura 4.4: Perfil de profesional de personal de apoyo a los FRE</w:t>
      </w:r>
    </w:p>
    <w:p>
      <w:pPr>
        <w:pStyle w:val="CaptionedFigure"/>
      </w:pPr>
      <w:r>
        <w:drawing>
          <wp:inline>
            <wp:extent cx="5334000" cy="3556000"/>
            <wp:effectExtent b="0" l="0" r="0" t="0"/>
            <wp:docPr descr="Figura 4.5: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4" w:name="fig5"/>
      <w:r>
        <w:t xml:space="preserve">Figure </w:t>
      </w:r>
      <w:fldSimple w:instr="SEQ Figure \* ARABIC ">
        <w:r>
          <w:t>5</w:t>
        </w:r>
      </w:fldSimple>
      <w:r>
        <w:t xml:space="preserve">:</w:t>
      </w:r>
      <w:r>
        <w:t xml:space="preserve"> </w:t>
      </w:r>
      <w:bookmarkEnd w:id="34"/>
      <w:r>
        <w:t xml:space="preserve">Figura 4.5: N.° de personas que trabajan en el FRE</w:t>
      </w:r>
    </w:p>
    <w:p>
      <w:pPr>
        <w:pStyle w:val="CaptionedFigure"/>
      </w:pPr>
      <w:r>
        <w:drawing>
          <wp:inline>
            <wp:extent cx="5334000" cy="4000500"/>
            <wp:effectExtent b="0" l="0" r="0" t="0"/>
            <wp:docPr descr="Figura 4.6: N.° de personas que trabajan en el FRE por departamento" title="" id="1" name="Picture"/>
            <a:graphic>
              <a:graphicData uri="http://schemas.openxmlformats.org/drawingml/2006/picture">
                <pic:pic>
                  <pic:nvPicPr>
                    <pic:cNvPr descr="InformeFinal_files/figure-docx/mapaProfesional2-1.pn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6" w:name="fig6"/>
      <w:r>
        <w:t xml:space="preserve">Figure </w:t>
      </w:r>
      <w:fldSimple w:instr="SEQ Figure \* ARABIC ">
        <w:r>
          <w:t>6</w:t>
        </w:r>
      </w:fldSimple>
      <w:r>
        <w:t xml:space="preserve">:</w:t>
      </w:r>
      <w:r>
        <w:t xml:space="preserve"> </w:t>
      </w:r>
      <w:bookmarkEnd w:id="36"/>
      <w:r>
        <w:t xml:space="preserve">Figura 4.6: N.° de personas que trabajan en el FRE por departamento</w:t>
      </w:r>
    </w:p>
    <w:p>
      <w:pPr>
        <w:pStyle w:val="CaptionedFigure"/>
      </w:pPr>
      <w:r>
        <w:drawing>
          <wp:inline>
            <wp:extent cx="4620126" cy="4620126"/>
            <wp:effectExtent b="0" l="0" r="0" t="0"/>
            <wp:docPr descr="Figura 4.7: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7"/>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bookmarkStart w:id="38" w:name="fig7"/>
      <w:r>
        <w:t xml:space="preserve">Figure </w:t>
      </w:r>
      <w:fldSimple w:instr="SEQ Figure \* ARABIC ">
        <w:r>
          <w:t>7</w:t>
        </w:r>
      </w:fldSimple>
      <w:r>
        <w:t xml:space="preserve">:</w:t>
      </w:r>
      <w:r>
        <w:t xml:space="preserve"> </w:t>
      </w:r>
      <w:bookmarkEnd w:id="38"/>
      <w:r>
        <w:t xml:space="preserve">Figura 4.7: Tipo de vinculación al FRE</w:t>
      </w:r>
    </w:p>
    <w:bookmarkEnd w:id="39"/>
    <w:bookmarkStart w:id="44" w:name="instituciones-inscritas-en-el-fre"/>
    <w:p>
      <w:pPr>
        <w:pStyle w:val="Heading2"/>
      </w:pPr>
      <w:r>
        <w:rPr>
          <w:rStyle w:val="SectionNumber"/>
        </w:rPr>
        <w:t xml:space="preserve">4.3</w:t>
      </w:r>
      <w:r>
        <w:tab/>
      </w:r>
      <w:r>
        <w:t xml:space="preserve">Instituciones inscritas en el FRE</w:t>
      </w:r>
    </w:p>
    <w:p>
      <w:pPr>
        <w:pStyle w:val="CaptionedFigure"/>
      </w:pPr>
      <w:r>
        <w:drawing>
          <wp:inline>
            <wp:extent cx="5334000" cy="3556000"/>
            <wp:effectExtent b="0" l="0" r="0" t="0"/>
            <wp:docPr descr="Figura 4.8: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8"/>
      <w:r>
        <w:t xml:space="preserve">Figure </w:t>
      </w:r>
      <w:fldSimple w:instr="SEQ Figure \* ARABIC ">
        <w:r>
          <w:t>8</w:t>
        </w:r>
      </w:fldSimple>
      <w:r>
        <w:t xml:space="preserve">:</w:t>
      </w:r>
      <w:r>
        <w:t xml:space="preserve"> </w:t>
      </w:r>
      <w:bookmarkEnd w:id="41"/>
      <w:r>
        <w:t xml:space="preserve">Figura 4.8: N° de instituciones inscritas en el departamento</w:t>
      </w:r>
    </w:p>
    <w:p>
      <w:pPr>
        <w:pStyle w:val="CaptionedFigure"/>
      </w:pPr>
      <w:r>
        <w:drawing>
          <wp:inline>
            <wp:extent cx="5334000" cy="3556000"/>
            <wp:effectExtent b="0" l="0" r="0" t="0"/>
            <wp:docPr descr="Figura 4.9: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3" w:name="fig9"/>
      <w:r>
        <w:t xml:space="preserve">Figure </w:t>
      </w:r>
      <w:fldSimple w:instr="SEQ Figure \* ARABIC ">
        <w:r>
          <w:t>9</w:t>
        </w:r>
      </w:fldSimple>
      <w:r>
        <w:t xml:space="preserve">:</w:t>
      </w:r>
      <w:r>
        <w:t xml:space="preserve"> </w:t>
      </w:r>
      <w:bookmarkEnd w:id="43"/>
      <w:r>
        <w:t xml:space="preserve">Figura 4.9: Relación entre N° de instituciones inscritas y personal del FRE</w:t>
      </w:r>
    </w:p>
    <w:bookmarkEnd w:id="44"/>
    <w:bookmarkStart w:id="48"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drawing>
          <wp:inline>
            <wp:extent cx="5334000" cy="4000500"/>
            <wp:effectExtent b="0" l="0" r="0" t="0"/>
            <wp:docPr descr="Figura 4.10: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4.11: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p>
    <w:p>
      <w:pPr>
        <w:pStyle w:val="TableCaption"/>
      </w:pPr>
      <w:bookmarkStart w:id="47" w:name="table1"/>
      <w:r>
        <w:t xml:space="preserve">Table </w:t>
      </w:r>
      <w:fldSimple w:instr="SEQ Table \* ARABIC ">
        <w:r>
          <w:t>1</w:t>
        </w:r>
      </w:fldSimple>
      <w:r>
        <w:t xml:space="preserve">:</w:t>
      </w:r>
      <w:bookmarkEnd w:id="47"/>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48"/>
    <w:bookmarkEnd w:id="49"/>
    <w:bookmarkStart w:id="99" w:name="recetarios-oficiales"/>
    <w:p>
      <w:pPr>
        <w:pStyle w:val="Heading1"/>
      </w:pPr>
      <w:r>
        <w:rPr>
          <w:rStyle w:val="SectionNumber"/>
        </w:rPr>
        <w:t xml:space="preserve">5</w:t>
      </w:r>
      <w:r>
        <w:tab/>
      </w:r>
      <w:r>
        <w:t xml:space="preserve">Recetarios oficiales</w:t>
      </w:r>
    </w:p>
    <w:bookmarkStart w:id="58" w:name="existencia-de-recetarios"/>
    <w:p>
      <w:pPr>
        <w:pStyle w:val="Heading2"/>
      </w:pPr>
      <w:r>
        <w:rPr>
          <w:rStyle w:val="SectionNumber"/>
        </w:rPr>
        <w:t xml:space="preserve">5.1</w:t>
      </w:r>
      <w:r>
        <w:tab/>
      </w:r>
      <w:r>
        <w:t xml:space="preserve">Existencia de recetarios</w:t>
      </w:r>
    </w:p>
    <w:p>
      <w:pPr>
        <w:pStyle w:val="CaptionedFigure"/>
      </w:pPr>
      <w:r>
        <w:drawing>
          <wp:inline>
            <wp:extent cx="5334000" cy="4000500"/>
            <wp:effectExtent b="0" l="0" r="0" t="0"/>
            <wp:docPr descr="Figura 5.1: N.°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51" w:name="fig10"/>
      <w:r>
        <w:t xml:space="preserve">Figure </w:t>
      </w:r>
      <w:fldSimple w:instr="SEQ Figure \* ARABIC ">
        <w:r>
          <w:t>10</w:t>
        </w:r>
      </w:fldSimple>
      <w:r>
        <w:t xml:space="preserve">:</w:t>
      </w:r>
      <w:r>
        <w:t xml:space="preserve"> </w:t>
      </w:r>
      <w:bookmarkEnd w:id="51"/>
      <w:r>
        <w:t xml:space="preserve">Figura 5.1: N.° de existencias de recetarios en el FRE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3" w:name="fig11"/>
      <w:r>
        <w:t xml:space="preserve">Figure </w:t>
      </w:r>
      <w:fldSimple w:instr="SEQ Figure \* ARABIC ">
        <w:r>
          <w:t>11</w:t>
        </w:r>
      </w:fldSimple>
      <w:r>
        <w:t xml:space="preserve">:</w:t>
      </w:r>
      <w:r>
        <w:t xml:space="preserve"> </w:t>
      </w:r>
      <w:bookmarkEnd w:id="53"/>
      <w:r>
        <w:t xml:space="preserve">Figura 5.2: N.° de recetarios circulantes en el departamento</w:t>
      </w:r>
    </w:p>
    <w:p>
      <w:pPr>
        <w:pStyle w:val="CaptionedFigure"/>
      </w:pPr>
      <w:r>
        <w:drawing>
          <wp:inline>
            <wp:extent cx="5334000" cy="3809999"/>
            <wp:effectExtent b="0" l="0" r="0" t="0"/>
            <wp:docPr descr="Figura 5.3: Duración de existencia de recetarios en el FRE" title="" id="1" name="Picture"/>
            <a:graphic>
              <a:graphicData uri="http://schemas.openxmlformats.org/drawingml/2006/picture">
                <pic:pic>
                  <pic:nvPicPr>
                    <pic:cNvPr descr="InformeFinal_files/figure-docx/existenciaRecetarios3-1.png" id="0" name="Picture"/>
                    <pic:cNvPicPr>
                      <a:picLocks noChangeArrowheads="1" noChangeAspect="1"/>
                    </pic:cNvPicPr>
                  </pic:nvPicPr>
                  <pic:blipFill>
                    <a:blip r:embed="rId5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5" w:name="fig12"/>
      <w:r>
        <w:t xml:space="preserve">Figure </w:t>
      </w:r>
      <w:fldSimple w:instr="SEQ Figure \* ARABIC ">
        <w:r>
          <w:t>12</w:t>
        </w:r>
      </w:fldSimple>
      <w:r>
        <w:t xml:space="preserve">:</w:t>
      </w:r>
      <w:r>
        <w:t xml:space="preserve"> </w:t>
      </w:r>
      <w:bookmarkEnd w:id="55"/>
      <w:r>
        <w:t xml:space="preserve">Figura 5.3: Duración de existencia de recetarios en el FRE</w:t>
      </w:r>
    </w:p>
    <w:p>
      <w:pPr>
        <w:pStyle w:val="CaptionedFigure"/>
      </w:pPr>
      <w:r>
        <w:drawing>
          <wp:inline>
            <wp:extent cx="5334000" cy="3556000"/>
            <wp:effectExtent b="0" l="0" r="0" t="0"/>
            <wp:docPr descr="Figura 5.4: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7" w:name="fig13"/>
      <w:r>
        <w:t xml:space="preserve">Figure </w:t>
      </w:r>
      <w:fldSimple w:instr="SEQ Figure \* ARABIC ">
        <w:r>
          <w:t>13</w:t>
        </w:r>
      </w:fldSimple>
      <w:r>
        <w:t xml:space="preserve">:</w:t>
      </w:r>
      <w:r>
        <w:t xml:space="preserve"> </w:t>
      </w:r>
      <w:bookmarkEnd w:id="57"/>
      <w:r>
        <w:t xml:space="preserve">Figura 5.4: N.° de prescripciones por recetario</w:t>
      </w:r>
    </w:p>
    <w:bookmarkEnd w:id="58"/>
    <w:bookmarkStart w:id="69" w:name="costos-de-recetarios"/>
    <w:p>
      <w:pPr>
        <w:pStyle w:val="Heading2"/>
      </w:pPr>
      <w:r>
        <w:rPr>
          <w:rStyle w:val="SectionNumber"/>
        </w:rPr>
        <w:t xml:space="preserve">5.2</w:t>
      </w:r>
      <w:r>
        <w:tab/>
      </w:r>
      <w:r>
        <w:t xml:space="preserve">Costos de recetarios</w:t>
      </w:r>
    </w:p>
    <w:p>
      <w:pPr>
        <w:pStyle w:val="CaptionedFigure"/>
      </w:pPr>
      <w:r>
        <w:drawing>
          <wp:inline>
            <wp:extent cx="5334000" cy="3556000"/>
            <wp:effectExtent b="0" l="0" r="0" t="0"/>
            <wp:docPr descr="Figura 5.5: Comparativo de costo vs precio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60" w:name="fig14"/>
      <w:r>
        <w:t xml:space="preserve">Figure </w:t>
      </w:r>
      <w:fldSimple w:instr="SEQ Figure \* ARABIC ">
        <w:r>
          <w:t>14</w:t>
        </w:r>
      </w:fldSimple>
      <w:r>
        <w:t xml:space="preserve">:</w:t>
      </w:r>
      <w:r>
        <w:t xml:space="preserve"> </w:t>
      </w:r>
      <w:bookmarkEnd w:id="60"/>
      <w:r>
        <w:t xml:space="preserve">Figura 5.5: Comparativo de costo vs precio de recetarios por departamento</w:t>
      </w:r>
    </w:p>
    <w:p>
      <w:pPr>
        <w:pStyle w:val="BodyText"/>
      </w:pPr>
      <w:r>
        <w:drawing>
          <wp:inline>
            <wp:extent cx="5334000" cy="4000500"/>
            <wp:effectExtent b="0" l="0" r="0" t="0"/>
            <wp:docPr descr="Figura 5.6: Márgen de ganancia por recetari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61"/>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5.7: Mapa de márgenes de ganancia por recetario" title="" id="1" name="Picture"/>
            <a:graphic>
              <a:graphicData uri="http://schemas.openxmlformats.org/drawingml/2006/picture">
                <pic:pic>
                  <pic:nvPicPr>
                    <pic:cNvPr descr="InformeFinal_files/figure-docx/comparativoDepartamentos1-1.png" id="0" name="Picture"/>
                    <pic:cNvPicPr>
                      <a:picLocks noChangeArrowheads="1" noChangeAspect="1"/>
                    </pic:cNvPicPr>
                  </pic:nvPicPr>
                  <pic:blipFill>
                    <a:blip r:embed="rId62"/>
                    <a:stretch>
                      <a:fillRect/>
                    </a:stretch>
                  </pic:blipFill>
                  <pic:spPr bwMode="auto">
                    <a:xfrm>
                      <a:off x="0" y="0"/>
                      <a:ext cx="5334000" cy="4000500"/>
                    </a:xfrm>
                    <a:prstGeom prst="rect">
                      <a:avLst/>
                    </a:prstGeom>
                    <a:noFill/>
                    <a:ln w="9525">
                      <a:noFill/>
                      <a:headEnd/>
                      <a:tailEnd/>
                    </a:ln>
                  </pic:spPr>
                </pic:pic>
              </a:graphicData>
            </a:graphic>
          </wp:inline>
        </w:drawing>
      </w:r>
    </w:p>
    <w:p>
      <w:pPr>
        <w:pStyle w:val="CaptionedFigure"/>
      </w:pPr>
      <w:r>
        <w:drawing>
          <wp:inline>
            <wp:extent cx="5334000" cy="2667000"/>
            <wp:effectExtent b="0" l="0" r="0" t="0"/>
            <wp:docPr descr="Figura 5.8: Comparativo de costo vs precio y márgen de beneficio (2)" title="" id="1" name="Picture"/>
            <a:graphic>
              <a:graphicData uri="http://schemas.openxmlformats.org/drawingml/2006/picture">
                <pic:pic>
                  <pic:nvPicPr>
                    <pic:cNvPr descr="InformeFinal_files/figure-docx/comparativoDepartamentos2-1.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4" w:name="fig15"/>
      <w:r>
        <w:t xml:space="preserve">Figure </w:t>
      </w:r>
      <w:fldSimple w:instr="SEQ Figure \* ARABIC ">
        <w:r>
          <w:t>15</w:t>
        </w:r>
      </w:fldSimple>
      <w:r>
        <w:t xml:space="preserve">:</w:t>
      </w:r>
      <w:r>
        <w:t xml:space="preserve"> </w:t>
      </w:r>
      <w:bookmarkEnd w:id="64"/>
      <w:r>
        <w:t xml:space="preserve">Figura 5.8: Comparativo de costo vs precio y márgen de beneficio (2)</w:t>
      </w:r>
    </w:p>
    <w:p>
      <w:pPr>
        <w:pStyle w:val="CaptionedFigure"/>
      </w:pPr>
      <w:r>
        <w:drawing>
          <wp:inline>
            <wp:extent cx="5334000" cy="2963333"/>
            <wp:effectExtent b="0" l="0" r="0" t="0"/>
            <wp:docPr descr="Figura 5.9: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5"/>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6" w:name="fig16"/>
      <w:r>
        <w:t xml:space="preserve">Figure </w:t>
      </w:r>
      <w:fldSimple w:instr="SEQ Figure \* ARABIC ">
        <w:r>
          <w:t>16</w:t>
        </w:r>
      </w:fldSimple>
      <w:r>
        <w:t xml:space="preserve">:</w:t>
      </w:r>
      <w:r>
        <w:t xml:space="preserve"> </w:t>
      </w:r>
      <w:bookmarkEnd w:id="66"/>
      <w:r>
        <w:t xml:space="preserve">Figura 5.9: Precio de venta de recetario por prescripción</w:t>
      </w:r>
    </w:p>
    <w:p>
      <w:pPr>
        <w:pStyle w:val="CaptionedFigure"/>
      </w:pPr>
      <w:r>
        <w:drawing>
          <wp:inline>
            <wp:extent cx="5334000" cy="2963333"/>
            <wp:effectExtent b="0" l="0" r="0" t="0"/>
            <wp:docPr descr="Figura 5.10: Gráficos de dependencia parcia - Modelo de Cost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67"/>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8" w:name="fig17"/>
      <w:r>
        <w:t xml:space="preserve">Figure </w:t>
      </w:r>
      <w:fldSimple w:instr="SEQ Figure \* ARABIC ">
        <w:r>
          <w:t>17</w:t>
        </w:r>
      </w:fldSimple>
      <w:r>
        <w:t xml:space="preserve">:</w:t>
      </w:r>
      <w:r>
        <w:t xml:space="preserve"> </w:t>
      </w:r>
      <w:bookmarkEnd w:id="68"/>
      <w:r>
        <w:t xml:space="preserve">Figura 5.10: Gráficos de dependencia parcia - Modelo de Costos</w:t>
      </w:r>
    </w:p>
    <w:bookmarkEnd w:id="69"/>
    <w:bookmarkStart w:id="78" w:name="tiempos-de-adquisición-de-recetarios"/>
    <w:p>
      <w:pPr>
        <w:pStyle w:val="Heading2"/>
      </w:pPr>
      <w:r>
        <w:rPr>
          <w:rStyle w:val="SectionNumber"/>
        </w:rPr>
        <w:t xml:space="preserve">5.3</w:t>
      </w:r>
      <w:r>
        <w:tab/>
      </w:r>
      <w:r>
        <w:t xml:space="preserve">Tiempos de adquisición de recetarios</w:t>
      </w:r>
    </w:p>
    <w:p>
      <w:pPr>
        <w:pStyle w:val="CaptionedFigure"/>
      </w:pPr>
      <w:r>
        <w:drawing>
          <wp:inline>
            <wp:extent cx="5334000" cy="3048000"/>
            <wp:effectExtent b="0" l="0" r="0" t="0"/>
            <wp:docPr descr="Figura 5.11: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7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1" w:name="fig18"/>
      <w:r>
        <w:t xml:space="preserve">Figure </w:t>
      </w:r>
      <w:fldSimple w:instr="SEQ Figure \* ARABIC ">
        <w:r>
          <w:t>18</w:t>
        </w:r>
      </w:fldSimple>
      <w:r>
        <w:t xml:space="preserve">:</w:t>
      </w:r>
      <w:r>
        <w:t xml:space="preserve"> </w:t>
      </w:r>
      <w:bookmarkEnd w:id="71"/>
      <w:r>
        <w:t xml:space="preserve">Figura 5.11: Modalidad de selección para contratos de adquisición de recetarios</w:t>
      </w:r>
    </w:p>
    <w:p>
      <w:pPr>
        <w:pStyle w:val="CaptionedFigure"/>
      </w:pPr>
      <w:r>
        <w:drawing>
          <wp:inline>
            <wp:extent cx="5334000" cy="3809999"/>
            <wp:effectExtent b="0" l="0" r="0" t="0"/>
            <wp:docPr descr="Figura 5.12: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7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3" w:name="fig19"/>
      <w:r>
        <w:t xml:space="preserve">Figure </w:t>
      </w:r>
      <w:fldSimple w:instr="SEQ Figure \* ARABIC ">
        <w:r>
          <w:t>19</w:t>
        </w:r>
      </w:fldSimple>
      <w:r>
        <w:t xml:space="preserve">:</w:t>
      </w:r>
      <w:r>
        <w:t xml:space="preserve"> </w:t>
      </w:r>
      <w:bookmarkEnd w:id="73"/>
      <w:r>
        <w:t xml:space="preserve">Figura 5.12: Tiempo de demora para adquisición de recetarios</w:t>
      </w:r>
    </w:p>
    <w:p>
      <w:pPr>
        <w:pStyle w:val="CaptionedFigure"/>
      </w:pPr>
      <w:r>
        <w:drawing>
          <wp:inline>
            <wp:extent cx="5334000" cy="3048000"/>
            <wp:effectExtent b="0" l="0" r="0" t="0"/>
            <wp:docPr descr="Figura 5.13: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74"/>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5" w:name="fig20"/>
      <w:r>
        <w:t xml:space="preserve">Figure </w:t>
      </w:r>
      <w:fldSimple w:instr="SEQ Figure \* ARABIC ">
        <w:r>
          <w:t>20</w:t>
        </w:r>
      </w:fldSimple>
      <w:r>
        <w:t xml:space="preserve">:</w:t>
      </w:r>
      <w:r>
        <w:t xml:space="preserve"> </w:t>
      </w:r>
      <w:bookmarkEnd w:id="75"/>
      <w:r>
        <w:t xml:space="preserve">Figura 5.13: Proporción de FRE que diligencian campos en BD de venta de recetarios</w:t>
      </w:r>
    </w:p>
    <w:p>
      <w:pPr>
        <w:pStyle w:val="CaptionedFigure"/>
      </w:pPr>
      <w:r>
        <w:drawing>
          <wp:inline>
            <wp:extent cx="5334000" cy="3333750"/>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7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7" w:name="fig21"/>
      <w:r>
        <w:t xml:space="preserve">Figure </w:t>
      </w:r>
      <w:fldSimple w:instr="SEQ Figure \* ARABIC ">
        <w:r>
          <w:t>21</w:t>
        </w:r>
      </w:fldSimple>
      <w:r>
        <w:t xml:space="preserve">:</w:t>
      </w:r>
      <w:r>
        <w:t xml:space="preserve"> </w:t>
      </w:r>
      <w:bookmarkEnd w:id="77"/>
      <w:r>
        <w:t xml:space="preserve">Figura 5.14: Actividades realizadas por el FRE para el seguimiento del uso de recetarios</w:t>
      </w:r>
    </w:p>
    <w:bookmarkEnd w:id="78"/>
    <w:bookmarkStart w:id="93" w:name="tiempos-de-despacho-de-recetarios"/>
    <w:p>
      <w:pPr>
        <w:pStyle w:val="Heading2"/>
      </w:pPr>
      <w:r>
        <w:rPr>
          <w:rStyle w:val="SectionNumber"/>
        </w:rPr>
        <w:t xml:space="preserve">5.4</w:t>
      </w:r>
      <w:r>
        <w:tab/>
      </w:r>
      <w:r>
        <w:t xml:space="preserve">Tiempos de despacho de recetarios</w:t>
      </w:r>
    </w:p>
    <w:p>
      <w:pPr>
        <w:pStyle w:val="CaptionedFigure"/>
      </w:pPr>
      <w:r>
        <w:drawing>
          <wp:inline>
            <wp:extent cx="5334000" cy="3809999"/>
            <wp:effectExtent b="0" l="0" r="0" t="0"/>
            <wp:docPr descr="Figura 5.15: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7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0" w:name="fig22"/>
      <w:r>
        <w:t xml:space="preserve">Figure </w:t>
      </w:r>
      <w:fldSimple w:instr="SEQ Figure \* ARABIC ">
        <w:r>
          <w:t>22</w:t>
        </w:r>
      </w:fldSimple>
      <w:r>
        <w:t xml:space="preserve">:</w:t>
      </w:r>
      <w:r>
        <w:t xml:space="preserve"> </w:t>
      </w:r>
      <w:bookmarkEnd w:id="80"/>
      <w:r>
        <w:t xml:space="preserve">Figura 5.15: Medidas de seguridad en los recetarios</w:t>
      </w:r>
    </w:p>
    <w:p>
      <w:pPr>
        <w:pStyle w:val="BodyText"/>
      </w:pPr>
      <w:r>
        <w:drawing>
          <wp:inline>
            <wp:extent cx="5334000" cy="2667000"/>
            <wp:effectExtent b="0" l="0" r="0" t="0"/>
            <wp:docPr descr="Figura 5.16: Comparativo de márgen de ganancia de recetarios" title="" id="1" name="Picture"/>
            <a:graphic>
              <a:graphicData uri="http://schemas.openxmlformats.org/drawingml/2006/picture">
                <pic:pic>
                  <pic:nvPicPr>
                    <pic:cNvPr descr="InformeFinal_files/figure-docx/ComparativoCostosRec-1.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Figura 5.17: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p>
    <w:p>
      <w:pPr>
        <w:pStyle w:val="CaptionedFigure"/>
      </w:pPr>
      <w:r>
        <w:drawing>
          <wp:inline>
            <wp:extent cx="5334000" cy="4445000"/>
            <wp:effectExtent b="0" l="0" r="0" t="0"/>
            <wp:docPr descr="Figura 5.18: Recibo de recetarios de instituciones inscrita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8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84" w:name="fig23"/>
      <w:r>
        <w:t xml:space="preserve">Figure </w:t>
      </w:r>
      <w:fldSimple w:instr="SEQ Figure \* ARABIC ">
        <w:r>
          <w:t>23</w:t>
        </w:r>
      </w:fldSimple>
      <w:r>
        <w:t xml:space="preserve">:</w:t>
      </w:r>
      <w:r>
        <w:t xml:space="preserve"> </w:t>
      </w:r>
      <w:bookmarkEnd w:id="84"/>
      <w:r>
        <w:t xml:space="preserve">Figura 5.18: Recibo de recetarios de instituciones inscritas</w:t>
      </w:r>
    </w:p>
    <w:p>
      <w:pPr>
        <w:pStyle w:val="CaptionedFigure"/>
      </w:pPr>
      <w:r>
        <w:drawing>
          <wp:inline>
            <wp:extent cx="5334000" cy="3809999"/>
            <wp:effectExtent b="0" l="0" r="0" t="0"/>
            <wp:docPr descr="Figura 5.19: Tiempo de recepción de recetarios oficiales desde IPS" title="" id="1" name="Picture"/>
            <a:graphic>
              <a:graphicData uri="http://schemas.openxmlformats.org/drawingml/2006/picture">
                <pic:pic>
                  <pic:nvPicPr>
                    <pic:cNvPr descr="InformeFinal_files/figure-docx/TiempoRecepcionRecOficiales-1.png" id="0" name="Picture"/>
                    <pic:cNvPicPr>
                      <a:picLocks noChangeArrowheads="1" noChangeAspect="1"/>
                    </pic:cNvPicPr>
                  </pic:nvPicPr>
                  <pic:blipFill>
                    <a:blip r:embed="rId8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6" w:name="fig24"/>
      <w:r>
        <w:t xml:space="preserve">Figure </w:t>
      </w:r>
      <w:fldSimple w:instr="SEQ Figure \* ARABIC ">
        <w:r>
          <w:t>24</w:t>
        </w:r>
      </w:fldSimple>
      <w:r>
        <w:t xml:space="preserve">:</w:t>
      </w:r>
      <w:r>
        <w:t xml:space="preserve"> </w:t>
      </w:r>
      <w:bookmarkEnd w:id="86"/>
      <w:r>
        <w:t xml:space="preserve">Figura 5.19: Tiempo de recepción de recetarios oficiales desde IPS</w:t>
      </w:r>
    </w:p>
    <w:p>
      <w:pPr>
        <w:pStyle w:val="CaptionedFigure"/>
      </w:pPr>
      <w:r>
        <w:drawing>
          <wp:inline>
            <wp:extent cx="5334000" cy="3809999"/>
            <wp:effectExtent b="0" l="0" r="0" t="0"/>
            <wp:docPr descr="Figura 5.20: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8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8" w:name="fig25"/>
      <w:r>
        <w:t xml:space="preserve">Figure </w:t>
      </w:r>
      <w:fldSimple w:instr="SEQ Figure \* ARABIC ">
        <w:r>
          <w:t>25</w:t>
        </w:r>
      </w:fldSimple>
      <w:r>
        <w:t xml:space="preserve">:</w:t>
      </w:r>
      <w:r>
        <w:t xml:space="preserve"> </w:t>
      </w:r>
      <w:bookmarkEnd w:id="88"/>
      <w:r>
        <w:t xml:space="preserve">Figura 5.20: Tiempo de archivo de los recetarios oficiales en los FRE</w:t>
      </w:r>
    </w:p>
    <w:p>
      <w:pPr>
        <w:pStyle w:val="CaptionedFigure"/>
      </w:pPr>
      <w:r>
        <w:drawing>
          <wp:inline>
            <wp:extent cx="5334000" cy="3809999"/>
            <wp:effectExtent b="0" l="0" r="0" t="0"/>
            <wp:docPr descr="Figura 5.21: Medidas de seguridad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8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0" w:name="fig26"/>
      <w:r>
        <w:t xml:space="preserve">Figure </w:t>
      </w:r>
      <w:fldSimple w:instr="SEQ Figure \* ARABIC ">
        <w:r>
          <w:t>26</w:t>
        </w:r>
      </w:fldSimple>
      <w:r>
        <w:t xml:space="preserve">:</w:t>
      </w:r>
      <w:r>
        <w:t xml:space="preserve"> </w:t>
      </w:r>
      <w:bookmarkEnd w:id="90"/>
      <w:r>
        <w:t xml:space="preserve">Figura 5.21: Medidas de seguridad en almacenamiento de recetarios</w:t>
      </w:r>
    </w:p>
    <w:p>
      <w:pPr>
        <w:pStyle w:val="CaptionedFigure"/>
      </w:pPr>
      <w:r>
        <w:drawing>
          <wp:inline>
            <wp:extent cx="5334000" cy="3809999"/>
            <wp:effectExtent b="0" l="0" r="0" t="0"/>
            <wp:docPr descr="Figura 5.22: Proporción de FRE que diligencian en campo de ventas de recetarios" title="" id="1" name="Picture"/>
            <a:graphic>
              <a:graphicData uri="http://schemas.openxmlformats.org/drawingml/2006/picture">
                <pic:pic>
                  <pic:nvPicPr>
                    <pic:cNvPr descr="InformeFinal_files/figure-docx/InformacionHerramiento-VentasRecetarios-1.png" id="0" name="Picture"/>
                    <pic:cNvPicPr>
                      <a:picLocks noChangeArrowheads="1" noChangeAspect="1"/>
                    </pic:cNvPicPr>
                  </pic:nvPicPr>
                  <pic:blipFill>
                    <a:blip r:embed="rId9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2" w:name="fig27"/>
      <w:r>
        <w:t xml:space="preserve">Figure </w:t>
      </w:r>
      <w:fldSimple w:instr="SEQ Figure \* ARABIC ">
        <w:r>
          <w:t>27</w:t>
        </w:r>
      </w:fldSimple>
      <w:r>
        <w:t xml:space="preserve">:</w:t>
      </w:r>
      <w:r>
        <w:t xml:space="preserve"> </w:t>
      </w:r>
      <w:bookmarkEnd w:id="92"/>
      <w:r>
        <w:t xml:space="preserve">Figura 5.22: Proporción de FRE que diligencian en campo de ventas de recetarios</w:t>
      </w:r>
    </w:p>
    <w:bookmarkEnd w:id="93"/>
    <w:bookmarkStart w:id="98" w:name="recetario-oficial-electrónico"/>
    <w:p>
      <w:pPr>
        <w:pStyle w:val="Heading2"/>
      </w:pPr>
      <w:r>
        <w:rPr>
          <w:rStyle w:val="SectionNumber"/>
        </w:rPr>
        <w:t xml:space="preserve">5.5</w:t>
      </w:r>
      <w:r>
        <w:tab/>
      </w:r>
      <w:r>
        <w:t xml:space="preserve">Recetario Oficial Electrónico</w:t>
      </w:r>
    </w:p>
    <w:p>
      <w:pPr>
        <w:pStyle w:val="CaptionedFigure"/>
      </w:pPr>
      <w:r>
        <w:drawing>
          <wp:inline>
            <wp:extent cx="5334000" cy="3556000"/>
            <wp:effectExtent b="0" l="0" r="0" t="0"/>
            <wp:docPr descr="Figura 5.23: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9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5" w:name="fig28"/>
      <w:r>
        <w:t xml:space="preserve">Figure </w:t>
      </w:r>
      <w:fldSimple w:instr="SEQ Figure \* ARABIC ">
        <w:r>
          <w:t>28</w:t>
        </w:r>
      </w:fldSimple>
      <w:r>
        <w:t xml:space="preserve">:</w:t>
      </w:r>
      <w:r>
        <w:t xml:space="preserve"> </w:t>
      </w:r>
      <w:bookmarkEnd w:id="95"/>
      <w:r>
        <w:t xml:space="preserve">Figura 5.23: Opinión sobre la implementación del Recetario Oficial Electrónico (ROE)</w:t>
      </w:r>
    </w:p>
    <w:p>
      <w:pPr>
        <w:pStyle w:val="CaptionedFigure"/>
      </w:pPr>
      <w:r>
        <w:drawing>
          <wp:inline>
            <wp:extent cx="5334000" cy="4000500"/>
            <wp:effectExtent b="0" l="0" r="0" t="0"/>
            <wp:docPr descr="Figura 5.24: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7" w:name="fig29"/>
      <w:r>
        <w:t xml:space="preserve">Figure </w:t>
      </w:r>
      <w:fldSimple w:instr="SEQ Figure \* ARABIC ">
        <w:r>
          <w:t>29</w:t>
        </w:r>
      </w:fldSimple>
      <w:r>
        <w:t xml:space="preserve">:</w:t>
      </w:r>
      <w:r>
        <w:t xml:space="preserve"> </w:t>
      </w:r>
      <w:bookmarkEnd w:id="97"/>
      <w:r>
        <w:t xml:space="preserve">Figura 5.24: Tiempo de demora en la venta de recetarios oficiales a clientes</w:t>
      </w:r>
    </w:p>
    <w:bookmarkEnd w:id="98"/>
    <w:bookmarkEnd w:id="99"/>
    <w:bookmarkStart w:id="168" w:name="manejo-de-medicamentos"/>
    <w:p>
      <w:pPr>
        <w:pStyle w:val="Heading1"/>
      </w:pPr>
      <w:r>
        <w:rPr>
          <w:rStyle w:val="SectionNumber"/>
        </w:rPr>
        <w:t xml:space="preserve">6</w:t>
      </w:r>
      <w:r>
        <w:tab/>
      </w:r>
      <w:r>
        <w:t xml:space="preserve">Manejo de Medicamentos</w:t>
      </w:r>
    </w:p>
    <w:p>
      <w:pPr>
        <w:pStyle w:val="CaptionedFigure"/>
      </w:pPr>
      <w:r>
        <w:drawing>
          <wp:inline>
            <wp:extent cx="5334000" cy="3809999"/>
            <wp:effectExtent b="0" l="0" r="0" t="0"/>
            <wp:docPr descr="Figura 6.1: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0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1" w:name="fig30"/>
      <w:r>
        <w:t xml:space="preserve">Figure </w:t>
      </w:r>
      <w:fldSimple w:instr="SEQ Figure \* ARABIC ">
        <w:r>
          <w:t>30</w:t>
        </w:r>
      </w:fldSimple>
      <w:r>
        <w:t xml:space="preserve">:</w:t>
      </w:r>
      <w:r>
        <w:t xml:space="preserve"> </w:t>
      </w:r>
      <w:bookmarkEnd w:id="101"/>
      <w:r>
        <w:t xml:space="preserve">Figura 6.1: Canales de comunicación FRE con clientes</w:t>
      </w:r>
    </w:p>
    <w:p>
      <w:pPr>
        <w:pStyle w:val="CaptionedFigure"/>
      </w:pPr>
      <w:r>
        <w:drawing>
          <wp:inline>
            <wp:extent cx="5334000" cy="3809999"/>
            <wp:effectExtent b="0" l="0" r="0" t="0"/>
            <wp:docPr descr="Figura 6.2: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0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3" w:name="fig31"/>
      <w:r>
        <w:t xml:space="preserve">Figure </w:t>
      </w:r>
      <w:fldSimple w:instr="SEQ Figure \* ARABIC ">
        <w:r>
          <w:t>31</w:t>
        </w:r>
      </w:fldSimple>
      <w:r>
        <w:t xml:space="preserve">:</w:t>
      </w:r>
      <w:r>
        <w:t xml:space="preserve"> </w:t>
      </w:r>
      <w:bookmarkEnd w:id="103"/>
      <w:r>
        <w:t xml:space="preserve">Figura 6.2: Velocidad de conexión de internet</w:t>
      </w:r>
    </w:p>
    <w:p>
      <w:pPr>
        <w:pStyle w:val="CaptionedFigure"/>
      </w:pPr>
      <w:r>
        <w:drawing>
          <wp:inline>
            <wp:extent cx="5334000" cy="3556000"/>
            <wp:effectExtent b="0" l="0" r="0" t="0"/>
            <wp:docPr descr="Figura 6.3: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0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5" w:name="fig32"/>
      <w:r>
        <w:t xml:space="preserve">Figure </w:t>
      </w:r>
      <w:fldSimple w:instr="SEQ Figure \* ARABIC ">
        <w:r>
          <w:t>32</w:t>
        </w:r>
      </w:fldSimple>
      <w:r>
        <w:t xml:space="preserve">:</w:t>
      </w:r>
      <w:r>
        <w:t xml:space="preserve"> </w:t>
      </w:r>
      <w:bookmarkEnd w:id="105"/>
      <w:r>
        <w:t xml:space="preserve">Figura 6.3: N.° de equipos en el FRE</w:t>
      </w:r>
    </w:p>
    <w:p>
      <w:pPr>
        <w:pStyle w:val="CaptionedFigure"/>
      </w:pPr>
      <w:r>
        <w:drawing>
          <wp:inline>
            <wp:extent cx="5334000" cy="3556000"/>
            <wp:effectExtent b="0" l="0" r="0" t="0"/>
            <wp:docPr descr="Figura 6.4: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0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7" w:name="fig33"/>
      <w:r>
        <w:t xml:space="preserve">Figure </w:t>
      </w:r>
      <w:fldSimple w:instr="SEQ Figure \* ARABIC ">
        <w:r>
          <w:t>33</w:t>
        </w:r>
      </w:fldSimple>
      <w:r>
        <w:t xml:space="preserve">:</w:t>
      </w:r>
      <w:r>
        <w:t xml:space="preserve"> </w:t>
      </w:r>
      <w:bookmarkEnd w:id="107"/>
      <w:r>
        <w:t xml:space="preserve">Figura 6.4: Relación entre el requerimiento de equipos y el número de personas en el FRE</w:t>
      </w:r>
    </w:p>
    <w:p>
      <w:pPr>
        <w:pStyle w:val="CaptionedFigure"/>
      </w:pPr>
      <w:r>
        <w:drawing>
          <wp:inline>
            <wp:extent cx="5334000" cy="3556000"/>
            <wp:effectExtent b="0" l="0" r="0" t="0"/>
            <wp:docPr descr="Figura 6.5: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0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9" w:name="fig34"/>
      <w:r>
        <w:t xml:space="preserve">Figure </w:t>
      </w:r>
      <w:fldSimple w:instr="SEQ Figure \* ARABIC ">
        <w:r>
          <w:t>34</w:t>
        </w:r>
      </w:fldSimple>
      <w:r>
        <w:t xml:space="preserve">:</w:t>
      </w:r>
      <w:r>
        <w:t xml:space="preserve"> </w:t>
      </w:r>
      <w:bookmarkEnd w:id="109"/>
      <w:r>
        <w:t xml:space="preserve">Figura 6.5: Opinión sobre los equipos de cómputo del FRE</w:t>
      </w:r>
    </w:p>
    <w:bookmarkStart w:id="130" w:name="adquisición-de-mme-por-parte-del-fre"/>
    <w:p>
      <w:pPr>
        <w:pStyle w:val="Heading2"/>
      </w:pPr>
      <w:r>
        <w:rPr>
          <w:rStyle w:val="SectionNumber"/>
        </w:rPr>
        <w:t xml:space="preserve">6.1</w:t>
      </w:r>
      <w:r>
        <w:tab/>
      </w:r>
      <w:r>
        <w:t xml:space="preserve">Adquisición de MME por parte del FRE</w:t>
      </w:r>
    </w:p>
    <w:p>
      <w:pPr>
        <w:pStyle w:val="CaptionedFigure"/>
      </w:pPr>
      <w:r>
        <w:drawing>
          <wp:inline>
            <wp:extent cx="5334000" cy="3809999"/>
            <wp:effectExtent b="0" l="0" r="0" t="0"/>
            <wp:docPr descr="Figura 6.6: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1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11" w:name="fig35"/>
      <w:r>
        <w:t xml:space="preserve">Figure </w:t>
      </w:r>
      <w:fldSimple w:instr="SEQ Figure \* ARABIC ">
        <w:r>
          <w:t>35</w:t>
        </w:r>
      </w:fldSimple>
      <w:r>
        <w:t xml:space="preserve">:</w:t>
      </w:r>
      <w:r>
        <w:t xml:space="preserve"> </w:t>
      </w:r>
      <w:bookmarkEnd w:id="111"/>
      <w:r>
        <w:t xml:space="preserve">Figura 6.6: Herramientas en el manejo de inventarios</w:t>
      </w:r>
    </w:p>
    <w:p>
      <w:pPr>
        <w:pStyle w:val="CaptionedFigure"/>
      </w:pPr>
      <w:r>
        <w:drawing>
          <wp:inline>
            <wp:extent cx="5334000" cy="3809999"/>
            <wp:effectExtent b="0" l="0" r="0" t="0"/>
            <wp:docPr descr="Figura 6.7: Herramientas en el manejo de inventarios (detallado)" title="" id="1" name="Picture"/>
            <a:graphic>
              <a:graphicData uri="http://schemas.openxmlformats.org/drawingml/2006/picture">
                <pic:pic>
                  <pic:nvPicPr>
                    <pic:cNvPr descr="InformeFinal_files/figure-docx/HerramientasManejoInventarios1-1.png" id="0" name="Picture"/>
                    <pic:cNvPicPr>
                      <a:picLocks noChangeArrowheads="1" noChangeAspect="1"/>
                    </pic:cNvPicPr>
                  </pic:nvPicPr>
                  <pic:blipFill>
                    <a:blip r:embed="rId11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13" w:name="fig36"/>
      <w:r>
        <w:t xml:space="preserve">Figure </w:t>
      </w:r>
      <w:fldSimple w:instr="SEQ Figure \* ARABIC ">
        <w:r>
          <w:t>36</w:t>
        </w:r>
      </w:fldSimple>
      <w:r>
        <w:t xml:space="preserve">:</w:t>
      </w:r>
      <w:r>
        <w:t xml:space="preserve"> </w:t>
      </w:r>
      <w:bookmarkEnd w:id="113"/>
      <w:r>
        <w:t xml:space="preserve">Figura 6.7: Herramientas en el manejo de inventarios (detallado)</w:t>
      </w:r>
    </w:p>
    <w:p>
      <w:pPr>
        <w:pStyle w:val="CaptionedFigure"/>
      </w:pPr>
      <w:r>
        <w:drawing>
          <wp:inline>
            <wp:extent cx="5334000" cy="3556000"/>
            <wp:effectExtent b="0" l="0" r="0" t="0"/>
            <wp:docPr descr="Figura 6.8: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1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5" w:name="fig37"/>
      <w:r>
        <w:t xml:space="preserve">Figure </w:t>
      </w:r>
      <w:fldSimple w:instr="SEQ Figure \* ARABIC ">
        <w:r>
          <w:t>37</w:t>
        </w:r>
      </w:fldSimple>
      <w:r>
        <w:t xml:space="preserve">:</w:t>
      </w:r>
      <w:r>
        <w:t xml:space="preserve"> </w:t>
      </w:r>
      <w:bookmarkEnd w:id="115"/>
      <w:r>
        <w:t xml:space="preserve">Figura 6.8: Proporción de Herramientas en el manejo de inventarios</w:t>
      </w:r>
    </w:p>
    <w:p>
      <w:pPr>
        <w:pStyle w:val="CaptionedFigure"/>
      </w:pPr>
      <w:r>
        <w:drawing>
          <wp:inline>
            <wp:extent cx="5334000" cy="3111500"/>
            <wp:effectExtent b="0" l="0" r="0" t="0"/>
            <wp:docPr descr="Figura 6.9: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16"/>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bookmarkStart w:id="117" w:name="fig38"/>
      <w:r>
        <w:t xml:space="preserve">Figure </w:t>
      </w:r>
      <w:fldSimple w:instr="SEQ Figure \* ARABIC ">
        <w:r>
          <w:t>38</w:t>
        </w:r>
      </w:fldSimple>
      <w:r>
        <w:t xml:space="preserve">:</w:t>
      </w:r>
      <w:r>
        <w:t xml:space="preserve"> </w:t>
      </w:r>
      <w:bookmarkEnd w:id="117"/>
      <w:r>
        <w:t xml:space="preserve">Figura 6.9: Demoras en el proceso de adquisición por departamento</w:t>
      </w:r>
    </w:p>
    <w:p>
      <w:pPr>
        <w:pStyle w:val="CaptionedFigure"/>
      </w:pPr>
      <w:r>
        <w:drawing>
          <wp:inline>
            <wp:extent cx="5334000" cy="4000500"/>
            <wp:effectExtent b="0" l="0" r="0" t="0"/>
            <wp:docPr descr="Figura 6.10: Demoras en el proceso de adquisición por departamento (detallad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1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9" w:name="fig39"/>
      <w:r>
        <w:t xml:space="preserve">Figure </w:t>
      </w:r>
      <w:fldSimple w:instr="SEQ Figure \* ARABIC ">
        <w:r>
          <w:t>39</w:t>
        </w:r>
      </w:fldSimple>
      <w:r>
        <w:t xml:space="preserve">:</w:t>
      </w:r>
      <w:r>
        <w:t xml:space="preserve"> </w:t>
      </w:r>
      <w:bookmarkEnd w:id="119"/>
      <w:r>
        <w:t xml:space="preserve">Figura 6.10: Demoras en el proceso de adquisición por departamento (detallado)</w:t>
      </w:r>
    </w:p>
    <w:p>
      <w:pPr>
        <w:pStyle w:val="CaptionedFigure"/>
      </w:pPr>
      <w:r>
        <w:drawing>
          <wp:inline>
            <wp:extent cx="5334000" cy="3556000"/>
            <wp:effectExtent b="0" l="0" r="0" t="0"/>
            <wp:docPr descr="Figura 6.11: Caracterización en demora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2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1" w:name="fig40"/>
      <w:r>
        <w:t xml:space="preserve">Figure </w:t>
      </w:r>
      <w:fldSimple w:instr="SEQ Figure \* ARABIC ">
        <w:r>
          <w:t>40</w:t>
        </w:r>
      </w:fldSimple>
      <w:r>
        <w:t xml:space="preserve">:</w:t>
      </w:r>
      <w:r>
        <w:t xml:space="preserve"> </w:t>
      </w:r>
      <w:bookmarkEnd w:id="121"/>
      <w:r>
        <w:t xml:space="preserve">Figura 6.11: Caracterización en demoras de traslados interdepartamentales</w:t>
      </w:r>
    </w:p>
    <w:p>
      <w:pPr>
        <w:pStyle w:val="CaptionedFigure"/>
      </w:pPr>
      <w:r>
        <w:drawing>
          <wp:inline>
            <wp:extent cx="5334000" cy="4000500"/>
            <wp:effectExtent b="0" l="0" r="0" t="0"/>
            <wp:docPr descr="Figura 6.12: Mapa con demoras de traslados interdepartamentales" title="" id="1" name="Picture"/>
            <a:graphic>
              <a:graphicData uri="http://schemas.openxmlformats.org/drawingml/2006/picture">
                <pic:pic>
                  <pic:nvPicPr>
                    <pic:cNvPr descr="InformeFinal_files/figure-docx/TiemposTransladosMapa-1.png" id="0" name="Picture"/>
                    <pic:cNvPicPr>
                      <a:picLocks noChangeArrowheads="1" noChangeAspect="1"/>
                    </pic:cNvPicPr>
                  </pic:nvPicPr>
                  <pic:blipFill>
                    <a:blip r:embed="rId12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3" w:name="fig41"/>
      <w:r>
        <w:t xml:space="preserve">Figure </w:t>
      </w:r>
      <w:fldSimple w:instr="SEQ Figure \* ARABIC ">
        <w:r>
          <w:t>41</w:t>
        </w:r>
      </w:fldSimple>
      <w:r>
        <w:t xml:space="preserve">:</w:t>
      </w:r>
      <w:r>
        <w:t xml:space="preserve"> </w:t>
      </w:r>
      <w:bookmarkEnd w:id="123"/>
      <w:r>
        <w:t xml:space="preserve">Figura 6.12: Mapa con demoras de traslados interdepartamentales</w:t>
      </w:r>
    </w:p>
    <w:p>
      <w:pPr>
        <w:pStyle w:val="CaptionedFigure"/>
      </w:pPr>
      <w:r>
        <w:drawing>
          <wp:inline>
            <wp:extent cx="5334000" cy="4000500"/>
            <wp:effectExtent b="0" l="0" r="0" t="0"/>
            <wp:docPr descr="Figura 6.13: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2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5" w:name="fig42"/>
      <w:r>
        <w:t xml:space="preserve">Figure </w:t>
      </w:r>
      <w:fldSimple w:instr="SEQ Figure \* ARABIC ">
        <w:r>
          <w:t>42</w:t>
        </w:r>
      </w:fldSimple>
      <w:r>
        <w:t xml:space="preserve">:</w:t>
      </w:r>
      <w:r>
        <w:t xml:space="preserve"> </w:t>
      </w:r>
      <w:bookmarkEnd w:id="125"/>
      <w:r>
        <w:t xml:space="preserve">Figura 6.13: Opinión sobre la plataforma Colombia Compra Eficiente</w:t>
      </w:r>
    </w:p>
    <w:p>
      <w:pPr>
        <w:pStyle w:val="CaptionedFigure"/>
      </w:pPr>
      <w:r>
        <w:drawing>
          <wp:inline>
            <wp:extent cx="5334000" cy="3556000"/>
            <wp:effectExtent b="0" l="0" r="0" t="0"/>
            <wp:docPr descr="Figura 6.14: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7" w:name="fig43"/>
      <w:r>
        <w:t xml:space="preserve">Figure </w:t>
      </w:r>
      <w:fldSimple w:instr="SEQ Figure \* ARABIC ">
        <w:r>
          <w:t>43</w:t>
        </w:r>
      </w:fldSimple>
      <w:r>
        <w:t xml:space="preserve">:</w:t>
      </w:r>
      <w:r>
        <w:t xml:space="preserve"> </w:t>
      </w:r>
      <w:bookmarkEnd w:id="127"/>
      <w:r>
        <w:t xml:space="preserve">Figura 6.14: Frecuencia de compras de medicamentos por año al FNE</w:t>
      </w:r>
    </w:p>
    <w:p>
      <w:pPr>
        <w:pStyle w:val="CaptionedFigure"/>
      </w:pPr>
      <w:r>
        <w:drawing>
          <wp:inline>
            <wp:extent cx="5334000" cy="3556000"/>
            <wp:effectExtent b="0" l="0" r="0" t="0"/>
            <wp:docPr descr="Figura 6.15: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2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9" w:name="fig44"/>
      <w:r>
        <w:t xml:space="preserve">Figure </w:t>
      </w:r>
      <w:fldSimple w:instr="SEQ Figure \* ARABIC ">
        <w:r>
          <w:t>44</w:t>
        </w:r>
      </w:fldSimple>
      <w:r>
        <w:t xml:space="preserve">:</w:t>
      </w:r>
      <w:r>
        <w:t xml:space="preserve"> </w:t>
      </w:r>
      <w:bookmarkEnd w:id="129"/>
      <w:r>
        <w:t xml:space="preserve">Figura 6.15: Frecuencia de venta de MME a instituciones en el departamento</w:t>
      </w:r>
    </w:p>
    <w:bookmarkEnd w:id="130"/>
    <w:bookmarkStart w:id="137" w:name="recepción-de-medicamentos"/>
    <w:p>
      <w:pPr>
        <w:pStyle w:val="Heading2"/>
      </w:pPr>
      <w:r>
        <w:rPr>
          <w:rStyle w:val="SectionNumber"/>
        </w:rPr>
        <w:t xml:space="preserve">6.2</w:t>
      </w:r>
      <w:r>
        <w:tab/>
      </w:r>
      <w:r>
        <w:t xml:space="preserve">Recepción de medicamentos</w:t>
      </w:r>
    </w:p>
    <w:p>
      <w:pPr>
        <w:pStyle w:val="CaptionedFigure"/>
      </w:pPr>
      <w:r>
        <w:drawing>
          <wp:inline>
            <wp:extent cx="5334000" cy="4000500"/>
            <wp:effectExtent b="0" l="0" r="0" t="0"/>
            <wp:docPr descr="Figura 6.16: Tiempos en la recepción técnica y almacenamiento de MME" title="" id="1" name="Picture"/>
            <a:graphic>
              <a:graphicData uri="http://schemas.openxmlformats.org/drawingml/2006/picture">
                <pic:pic>
                  <pic:nvPicPr>
                    <pic:cNvPr descr="InformeFinal_files/figure-docx/TiemposRecepcionAlmacenamiento-1.png" id="0" name="Picture"/>
                    <pic:cNvPicPr>
                      <a:picLocks noChangeArrowheads="1" noChangeAspect="1"/>
                    </pic:cNvPicPr>
                  </pic:nvPicPr>
                  <pic:blipFill>
                    <a:blip r:embed="rId1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2" w:name="fig45"/>
      <w:r>
        <w:t xml:space="preserve">Figure </w:t>
      </w:r>
      <w:fldSimple w:instr="SEQ Figure \* ARABIC ">
        <w:r>
          <w:t>45</w:t>
        </w:r>
      </w:fldSimple>
      <w:r>
        <w:t xml:space="preserve">:</w:t>
      </w:r>
      <w:r>
        <w:t xml:space="preserve"> </w:t>
      </w:r>
      <w:bookmarkEnd w:id="132"/>
      <w:r>
        <w:t xml:space="preserve">Figura 6.16: Tiempos en la recepción técnica y almacenamiento de MME</w:t>
      </w:r>
    </w:p>
    <w:p>
      <w:pPr>
        <w:pStyle w:val="CaptionedFigure"/>
      </w:pPr>
      <w:r>
        <w:drawing>
          <wp:inline>
            <wp:extent cx="5334000" cy="4000500"/>
            <wp:effectExtent b="0" l="0" r="0" t="0"/>
            <wp:docPr descr="Figura 6.17: Tiempos en la recepción técnica y almacenamiento de MME (mapa)" title="" id="1" name="Picture"/>
            <a:graphic>
              <a:graphicData uri="http://schemas.openxmlformats.org/drawingml/2006/picture">
                <pic:pic>
                  <pic:nvPicPr>
                    <pic:cNvPr descr="InformeFinal_files/figure-docx/TiemposRecepcionAlmacenamientoMapa-1.png" id="0"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4" w:name="fig46"/>
      <w:r>
        <w:t xml:space="preserve">Figure </w:t>
      </w:r>
      <w:fldSimple w:instr="SEQ Figure \* ARABIC ">
        <w:r>
          <w:t>46</w:t>
        </w:r>
      </w:fldSimple>
      <w:r>
        <w:t xml:space="preserve">:</w:t>
      </w:r>
      <w:r>
        <w:t xml:space="preserve"> </w:t>
      </w:r>
      <w:bookmarkEnd w:id="134"/>
      <w:r>
        <w:t xml:space="preserve">Figura 6.17: Tiempos en la recepción técnica y almacenamiento de MME (mapa)</w:t>
      </w:r>
    </w:p>
    <w:p>
      <w:pPr>
        <w:pStyle w:val="CaptionedFigure"/>
      </w:pPr>
      <w:r>
        <w:drawing>
          <wp:inline>
            <wp:extent cx="5334000" cy="3556000"/>
            <wp:effectExtent b="0" l="0" r="0" t="0"/>
            <wp:docPr descr="Figura 6.18: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3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6" w:name="fig47"/>
      <w:r>
        <w:t xml:space="preserve">Figure </w:t>
      </w:r>
      <w:fldSimple w:instr="SEQ Figure \* ARABIC ">
        <w:r>
          <w:t>47</w:t>
        </w:r>
      </w:fldSimple>
      <w:r>
        <w:t xml:space="preserve">:</w:t>
      </w:r>
      <w:r>
        <w:t xml:space="preserve"> </w:t>
      </w:r>
      <w:bookmarkEnd w:id="136"/>
      <w:r>
        <w:t xml:space="preserve">Figura 6.18: Uso de niveles de seguridad del inventarios</w:t>
      </w:r>
    </w:p>
    <w:bookmarkEnd w:id="137"/>
    <w:bookmarkStart w:id="159" w:name="almacenamiento"/>
    <w:p>
      <w:pPr>
        <w:pStyle w:val="Heading2"/>
      </w:pPr>
      <w:r>
        <w:rPr>
          <w:rStyle w:val="SectionNumber"/>
        </w:rPr>
        <w:t xml:space="preserve">6.3</w:t>
      </w:r>
      <w:r>
        <w:tab/>
      </w:r>
      <w:r>
        <w:t xml:space="preserve">Almacenamiento</w:t>
      </w:r>
    </w:p>
    <w:bookmarkStart w:id="140" w:name="Xa9baf659ea1be69c2d279b5cca6283251b5fdeb"/>
    <w:p>
      <w:pPr>
        <w:pStyle w:val="Heading3"/>
      </w:pPr>
      <w:r>
        <w:rPr>
          <w:rStyle w:val="SectionNumber"/>
        </w:rPr>
        <w:t xml:space="preserve">6.3.1</w:t>
      </w:r>
      <w:r>
        <w:tab/>
      </w:r>
      <w:r>
        <w:t xml:space="preserve">Medidas de seguridad para el almacenamiento</w:t>
      </w:r>
    </w:p>
    <w:p>
      <w:pPr>
        <w:pStyle w:val="FirstParagraph"/>
      </w:pPr>
      <w:r>
        <w:t xml:space="preserve">En la Figura</w:t>
      </w:r>
      <w:r>
        <w:t xml:space="preserve"> </w:t>
      </w:r>
      <w:r>
        <w:t xml:space="preserve">6.19</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4000500"/>
            <wp:effectExtent b="0" l="0" r="0" t="0"/>
            <wp:docPr descr="Figura 6.19: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9" w:name="fig48"/>
      <w:r>
        <w:t xml:space="preserve">Figure </w:t>
      </w:r>
      <w:fldSimple w:instr="SEQ Figure \* ARABIC ">
        <w:r>
          <w:t>48</w:t>
        </w:r>
      </w:fldSimple>
      <w:r>
        <w:t xml:space="preserve">:</w:t>
      </w:r>
      <w:r>
        <w:t xml:space="preserve"> </w:t>
      </w:r>
      <w:bookmarkEnd w:id="139"/>
      <w:r>
        <w:t xml:space="preserve">Figura 6.19: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40"/>
    <w:bookmarkStart w:id="144" w:name="revisión-de-condiciones-ambientales"/>
    <w:p>
      <w:pPr>
        <w:pStyle w:val="Heading3"/>
      </w:pPr>
      <w:r>
        <w:rPr>
          <w:rStyle w:val="SectionNumber"/>
        </w:rPr>
        <w:t xml:space="preserve">6.3.2</w:t>
      </w:r>
      <w:r>
        <w:tab/>
      </w:r>
      <w:r>
        <w:t xml:space="preserve">Revisión de condiciones ambientales</w:t>
      </w:r>
    </w:p>
    <w:p>
      <w:pPr>
        <w:pStyle w:val="FirstParagraph"/>
      </w:pPr>
      <w:r>
        <w:t xml:space="preserve">En la Figura</w:t>
      </w:r>
      <w:r>
        <w:t xml:space="preserve"> </w:t>
      </w:r>
      <w:r>
        <w:t xml:space="preserve">6.20</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20: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4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2" w:name="fig49"/>
      <w:r>
        <w:t xml:space="preserve">Figure </w:t>
      </w:r>
      <w:fldSimple w:instr="SEQ Figure \* ARABIC ">
        <w:r>
          <w:t>49</w:t>
        </w:r>
      </w:fldSimple>
      <w:r>
        <w:t xml:space="preserve">:</w:t>
      </w:r>
      <w:r>
        <w:t xml:space="preserve"> </w:t>
      </w:r>
      <w:bookmarkEnd w:id="142"/>
      <w:r>
        <w:t xml:space="preserve">Figura 6.20: Frecuencia de revisión de condiciones ambientales</w:t>
      </w:r>
    </w:p>
    <w:p>
      <w:pPr>
        <w:pStyle w:val="BodyText"/>
      </w:pPr>
      <w:r>
        <w:t xml:space="preserve">En el panel izquierdo de la Figura</w:t>
      </w:r>
      <w:r>
        <w:t xml:space="preserve"> </w:t>
      </w:r>
      <w:r>
        <w:t xml:space="preserve">6.21</w:t>
      </w:r>
      <w:r>
        <w:t xml:space="preserve"> </w:t>
      </w:r>
      <w:r>
        <w:t xml:space="preserve">se presentan los métodos o tecnologías utilizadas en la monitorización de los medicamentos. En la Figura</w:t>
      </w:r>
      <w:r>
        <w:t xml:space="preserve"> </w:t>
      </w:r>
      <w:r>
        <w:t xml:space="preserve">6.21</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21: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43"/>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6.21</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44"/>
    <w:bookmarkStart w:id="150" w:name="espacio-de-almacenamiento"/>
    <w:p>
      <w:pPr>
        <w:pStyle w:val="Heading3"/>
      </w:pPr>
      <w:r>
        <w:rPr>
          <w:rStyle w:val="SectionNumber"/>
        </w:rPr>
        <w:t xml:space="preserve">6.3.3</w:t>
      </w:r>
      <w:r>
        <w:tab/>
      </w:r>
      <w:r>
        <w:t xml:space="preserve">Espacio de almacenamiento</w:t>
      </w:r>
    </w:p>
    <w:p>
      <w:pPr>
        <w:pStyle w:val="FirstParagraph"/>
      </w:pPr>
      <w:r>
        <w:t xml:space="preserve">En la Figura</w:t>
      </w:r>
      <w:r>
        <w:t xml:space="preserve"> </w:t>
      </w:r>
      <w:r>
        <w:t xml:space="preserve">6.22</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22: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4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6.23</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3556000"/>
            <wp:effectExtent b="0" l="0" r="0" t="0"/>
            <wp:docPr descr="Figura 6.23: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4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7" w:name="fig50"/>
      <w:r>
        <w:t xml:space="preserve">Figure </w:t>
      </w:r>
      <w:fldSimple w:instr="SEQ Figure \* ARABIC ">
        <w:r>
          <w:t>50</w:t>
        </w:r>
      </w:fldSimple>
      <w:r>
        <w:t xml:space="preserve">:</w:t>
      </w:r>
      <w:r>
        <w:t xml:space="preserve"> </w:t>
      </w:r>
      <w:bookmarkEnd w:id="147"/>
      <w:r>
        <w:t xml:space="preserve">Figura 6.23: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1</w:t>
        </w:r>
      </w:hyperlink>
      <w:r>
        <w:t xml:space="preserve">.</w:t>
      </w:r>
      <w:r>
        <w:t xml:space="preserve"> </w:t>
      </w:r>
      <w:r>
        <w:t xml:space="preserve">En la Figura</w:t>
      </w:r>
      <w:r>
        <w:t xml:space="preserve"> </w:t>
      </w:r>
      <w:r>
        <w:t xml:space="preserve">6.24</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24: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4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49" w:name="fig51"/>
      <w:r>
        <w:t xml:space="preserve">Figure </w:t>
      </w:r>
      <w:fldSimple w:instr="SEQ Figure \* ARABIC ">
        <w:r>
          <w:t>51</w:t>
        </w:r>
      </w:fldSimple>
      <w:r>
        <w:t xml:space="preserve">:</w:t>
      </w:r>
      <w:r>
        <w:t xml:space="preserve"> </w:t>
      </w:r>
      <w:bookmarkEnd w:id="149"/>
      <w:r>
        <w:t xml:space="preserve">Figura 6.24: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50"/>
    <w:bookmarkStart w:id="155" w:name="control-de-fechas-de-vencimiento"/>
    <w:p>
      <w:pPr>
        <w:pStyle w:val="Heading3"/>
      </w:pPr>
      <w:r>
        <w:rPr>
          <w:rStyle w:val="SectionNumber"/>
        </w:rPr>
        <w:t xml:space="preserve">6.3.4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2</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2</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3</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08"/>
        </w:numPr>
        <w:pStyle w:val="Compact"/>
      </w:pPr>
      <w:r>
        <w:t xml:space="preserve">Rojo: medicamento que se encuentra próximo a vencer.</w:t>
      </w:r>
    </w:p>
    <w:p>
      <w:pPr>
        <w:numPr>
          <w:ilvl w:val="0"/>
          <w:numId w:val="1008"/>
        </w:numPr>
        <w:pStyle w:val="Compact"/>
      </w:pPr>
      <w:r>
        <w:t xml:space="preserve">Amarillo: medicamento que se encuentra en riesgo moderado de vencimiento.</w:t>
      </w:r>
    </w:p>
    <w:p>
      <w:pPr>
        <w:numPr>
          <w:ilvl w:val="0"/>
          <w:numId w:val="1008"/>
        </w:numPr>
        <w:pStyle w:val="Compact"/>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CaptionedFigure"/>
      </w:pPr>
      <w:r>
        <w:drawing>
          <wp:inline>
            <wp:extent cx="5334000" cy="3556000"/>
            <wp:effectExtent b="0" l="0" r="0" t="0"/>
            <wp:docPr descr="Figura 6.25: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2" w:name="fig52"/>
      <w:r>
        <w:t xml:space="preserve">Figure </w:t>
      </w:r>
      <w:fldSimple w:instr="SEQ Figure \* ARABIC ">
        <w:r>
          <w:t>52</w:t>
        </w:r>
      </w:fldSimple>
      <w:r>
        <w:t xml:space="preserve">:</w:t>
      </w:r>
      <w:r>
        <w:t xml:space="preserve"> </w:t>
      </w:r>
      <w:bookmarkEnd w:id="152"/>
      <w:r>
        <w:t xml:space="preserve">Figura 6.25: Presentación de casos de vencimiento de MME</w:t>
      </w:r>
    </w:p>
    <w:p>
      <w:pPr>
        <w:pStyle w:val="CaptionedFigure"/>
      </w:pPr>
      <w:r>
        <w:drawing>
          <wp:inline>
            <wp:extent cx="5334000" cy="3556000"/>
            <wp:effectExtent b="0" l="0" r="0" t="0"/>
            <wp:docPr descr="Figura 6.26: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4" w:name="fig53"/>
      <w:r>
        <w:t xml:space="preserve">Figure </w:t>
      </w:r>
      <w:fldSimple w:instr="SEQ Figure \* ARABIC ">
        <w:r>
          <w:t>53</w:t>
        </w:r>
      </w:fldSimple>
      <w:r>
        <w:t xml:space="preserve">:</w:t>
      </w:r>
      <w:r>
        <w:t xml:space="preserve"> </w:t>
      </w:r>
      <w:bookmarkEnd w:id="154"/>
      <w:r>
        <w:t xml:space="preserve">Figura 6.26: Medicamentos implicados en casos de vencimiento de MME</w:t>
      </w:r>
    </w:p>
    <w:bookmarkEnd w:id="155"/>
    <w:bookmarkStart w:id="158" w:name="transporte"/>
    <w:p>
      <w:pPr>
        <w:pStyle w:val="Heading3"/>
      </w:pPr>
      <w:r>
        <w:rPr>
          <w:rStyle w:val="SectionNumber"/>
        </w:rPr>
        <w:t xml:space="preserve">6.3.5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El FNE contrata a una empresa especializada en distribución logística de mercancías y bienes para la entrega del producto a nivel nacional.</w:t>
      </w:r>
    </w:p>
    <w:p>
      <w:pPr>
        <w:pStyle w:val="BodyText"/>
      </w:pPr>
      <w:r>
        <w:t xml:space="preserve">En la Figura</w:t>
      </w:r>
      <w:r>
        <w:t xml:space="preserve"> </w:t>
      </w:r>
      <w:r>
        <w:t xml:space="preserve">6.27</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3556000"/>
            <wp:effectExtent b="0" l="0" r="0" t="0"/>
            <wp:docPr descr="Figura 6.27: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5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7" w:name="fig54"/>
      <w:r>
        <w:t xml:space="preserve">Figure </w:t>
      </w:r>
      <w:fldSimple w:instr="SEQ Figure \* ARABIC ">
        <w:r>
          <w:t>54</w:t>
        </w:r>
      </w:fldSimple>
      <w:r>
        <w:t xml:space="preserve">:</w:t>
      </w:r>
      <w:r>
        <w:t xml:space="preserve"> </w:t>
      </w:r>
      <w:bookmarkEnd w:id="157"/>
      <w:r>
        <w:t xml:space="preserve">Figura 6.27: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t xml:space="preserve">“</w:t>
      </w:r>
      <w:r>
        <w:t xml:space="preserve">Problemas de embalaje y muchos problemas de averías</w:t>
      </w:r>
      <w: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t xml:space="preserve">No han tenido inconvenientes con el transporte de MME. Cuando surge un caso de producto no conforme, el personal afirma que el FNE siempre responde y efectúa la devolución de estos productos con averías.</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58"/>
    <w:bookmarkEnd w:id="159"/>
    <w:bookmarkStart w:id="167" w:name="precio-de-medicamentos"/>
    <w:p>
      <w:pPr>
        <w:pStyle w:val="Heading2"/>
      </w:pPr>
      <w:r>
        <w:rPr>
          <w:rStyle w:val="SectionNumber"/>
        </w:rPr>
        <w:t xml:space="preserve">6.4</w:t>
      </w:r>
      <w:r>
        <w:tab/>
      </w:r>
      <w:r>
        <w:t xml:space="preserve">Precio de medicamentos</w:t>
      </w:r>
    </w:p>
    <w:p>
      <w:pPr>
        <w:pStyle w:val="FirstParagraph"/>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y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6.28</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 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8: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6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1" w:name="fig55"/>
      <w:r>
        <w:t xml:space="preserve">Figure </w:t>
      </w:r>
      <w:fldSimple w:instr="SEQ Figure \* ARABIC ">
        <w:r>
          <w:t>55</w:t>
        </w:r>
      </w:fldSimple>
      <w:r>
        <w:t xml:space="preserve">:</w:t>
      </w:r>
      <w:r>
        <w:t xml:space="preserve"> </w:t>
      </w:r>
      <w:bookmarkEnd w:id="161"/>
      <w:r>
        <w:t xml:space="preserve">Figura 6.28: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m:t>
        </m:r>
        <m:r>
          <m:rPr>
            <m:sty m:val="p"/>
          </m:rPr>
          <m:t>,</m:t>
        </m:r>
        <m:r>
          <m:t>000</m:t>
        </m:r>
      </m:oMath>
      <w:r>
        <w:t xml:space="preserve"> </w:t>
      </w:r>
      <w:r>
        <w:t xml:space="preserve">a</w:t>
      </w:r>
      <w:r>
        <w:t xml:space="preserve"> </w:t>
      </w:r>
      <m:oMath>
        <m:r>
          <m:rPr>
            <m:sty m:val="p"/>
          </m:rPr>
          <m:t>$</m:t>
        </m:r>
        <m:r>
          <m:t>150</m:t>
        </m:r>
        <m:r>
          <m:rPr>
            <m:sty m:val="p"/>
          </m:rPr>
          <m:t>,</m:t>
        </m:r>
        <m:r>
          <m:t>000</m:t>
        </m:r>
      </m:oMath>
      <w:r>
        <w:t xml:space="preserve">, mientras que en la línea de narcóticos se tiene al producto importado de Metadona tabletas 40mg como el más costoso (con precios que rondan</w:t>
      </w:r>
      <w:r>
        <w:t xml:space="preserve"> </w:t>
      </w:r>
      <m:oMath>
        <m:r>
          <m:rPr>
            <m:sty m:val="p"/>
          </m:rPr>
          <m:t>$</m:t>
        </m:r>
        <m:r>
          <m:t>100</m:t>
        </m:r>
        <m:r>
          <m:rPr>
            <m:sty m:val="p"/>
          </m:rPr>
          <m:t>,</m:t>
        </m:r>
        <m:r>
          <m:t>000</m:t>
        </m:r>
      </m:oMath>
      <w:r>
        <w:t xml:space="preserve"> </w:t>
      </w:r>
      <w:r>
        <w:t xml:space="preserve">y</w:t>
      </w:r>
      <w:r>
        <w:t xml:space="preserve"> </w:t>
      </w:r>
      <m:oMath>
        <m:r>
          <m:rPr>
            <m:sty m:val="p"/>
          </m:rPr>
          <m:t>$</m:t>
        </m:r>
        <m:r>
          <m:t>200</m:t>
        </m:r>
        <m:r>
          <m:rPr>
            <m:sty m:val="p"/>
          </m:rPr>
          <m:t>,</m:t>
        </m:r>
        <m:r>
          <m:t>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acc>
            <m:accPr>
              <m:chr m:val="́"/>
            </m:accPr>
            <m:e>
              <m:r>
                <m:rPr>
                  <m:sty m:val="p"/>
                </m:rPr>
                <m:t>a</m:t>
              </m:r>
            </m:e>
          </m:acc>
          <m:r>
            <m:rPr>
              <m:sty m:val="p"/>
            </m:rPr>
            <m:t>r</m:t>
          </m:r>
          <m:r>
            <m:rPr>
              <m:sty m:val="p"/>
            </m:rPr>
            <m:t>g</m:t>
          </m:r>
          <m:r>
            <m:rPr>
              <m:sty m:val="p"/>
            </m:rPr>
            <m:t>e</m:t>
          </m:r>
          <m:r>
            <m:rPr>
              <m:sty m:val="p"/>
            </m:rPr>
            <m:t>n</m:t>
          </m:r>
          <m:r>
            <m:rPr>
              <m:sty m:val="p"/>
            </m:rPr>
            <m:t>=</m:t>
          </m:r>
          <m:f>
            <m:fPr>
              <m:type m:val="bar"/>
            </m:fPr>
            <m:num>
              <m:r>
                <m:rPr>
                  <m:nor/>
                  <m:sty m:val="p"/>
                </m:rPr>
                <m:t>Precio de venta</m:t>
              </m:r>
            </m:num>
            <m:den>
              <m:r>
                <m:rPr>
                  <m:nor/>
                  <m:sty m:val="p"/>
                </m:rPr>
                <m:t>Precio de compra</m:t>
              </m:r>
            </m:den>
          </m:f>
        </m:oMath>
      </m:oMathPara>
    </w:p>
    <w:p>
      <w:pPr>
        <w:pStyle w:val="FirstParagraph"/>
      </w:pPr>
      <w:r>
        <w:t xml:space="preserve">En el panel A de la Figura</w:t>
      </w:r>
      <w:r>
        <w:t xml:space="preserve"> </w:t>
      </w:r>
      <w:r>
        <w:t xml:space="preserve">6.29</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9: Comparativo de márgenes de precio de venta en el departamento por medicamentos y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6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63" w:name="fig56"/>
      <w:r>
        <w:t xml:space="preserve">Figure </w:t>
      </w:r>
      <w:fldSimple w:instr="SEQ Figure \* ARABIC ">
        <w:r>
          <w:t>56</w:t>
        </w:r>
      </w:fldSimple>
      <w:r>
        <w:t xml:space="preserve">:</w:t>
      </w:r>
      <w:r>
        <w:t xml:space="preserve"> </w:t>
      </w:r>
      <w:bookmarkEnd w:id="163"/>
      <w:r>
        <w:t xml:space="preserve">Figura 6.29: Comparativo de márgenes de precio de venta en el departamento por medicamentos y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6.29</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6.30</w:t>
      </w:r>
      <w:r>
        <w:t xml:space="preserve">) mediante regresión lineal. Parece existir una relación entre las dos variables, sin embargo la presencia de casos anómalos que se muestran como etiquetas en la figura evitan que haya la relación tenga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w:t>
      </w:r>
    </w:p>
    <w:p>
      <w:pPr>
        <w:pStyle w:val="CaptionedFigure"/>
      </w:pPr>
      <w:r>
        <w:drawing>
          <wp:inline>
            <wp:extent cx="5334000" cy="2933700"/>
            <wp:effectExtent b="0" l="0" r="0" t="0"/>
            <wp:docPr descr="Figura 6.30: Relación de márgen de ganancia y otras variable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64"/>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65" w:name="fig57"/>
      <w:r>
        <w:t xml:space="preserve">Figure </w:t>
      </w:r>
      <w:fldSimple w:instr="SEQ Figure \* ARABIC ">
        <w:r>
          <w:t>57</w:t>
        </w:r>
      </w:fldSimple>
      <w:r>
        <w:t xml:space="preserve">:</w:t>
      </w:r>
      <w:r>
        <w:t xml:space="preserve"> </w:t>
      </w:r>
      <w:bookmarkEnd w:id="165"/>
      <w:r>
        <w:t xml:space="preserve">Figura 6.30: Relación de márgen de ganancia y otras variables</w:t>
      </w:r>
    </w:p>
    <w:bookmarkStart w:id="166" w:name="recomendaciones-finales"/>
    <w:p>
      <w:pPr>
        <w:pStyle w:val="Heading3"/>
      </w:pPr>
      <w:r>
        <w:rPr>
          <w:rStyle w:val="SectionNumber"/>
        </w:rPr>
        <w:t xml:space="preserve">6.4.1</w:t>
      </w:r>
      <w:r>
        <w:tab/>
      </w:r>
      <w:r>
        <w:t xml:space="preserve">Recomendaciones finales</w:t>
      </w:r>
    </w:p>
    <w:p>
      <w:pPr>
        <w:numPr>
          <w:ilvl w:val="0"/>
          <w:numId w:val="1009"/>
        </w:numPr>
      </w:pPr>
      <w:r>
        <w:t xml:space="preserve">Se recomienda realizar ajustes en los esquemas de precios por parte del FNE para disminuir la utilización del canal de compra directa.</w:t>
      </w:r>
    </w:p>
    <w:p>
      <w:pPr>
        <w:numPr>
          <w:ilvl w:val="0"/>
          <w:numId w:val="1009"/>
        </w:numPr>
      </w:pPr>
      <w:r>
        <w:t xml:space="preserve">Se deben establecer mecanismos para la armonización de los precios de ventas de medicamentos de acuerdo a factores como distancia, costos de transporte o mantenimientos ya que los resultados no indican aumentos en los precios debido a este tipo de variables.</w:t>
      </w:r>
    </w:p>
    <w:bookmarkEnd w:id="166"/>
    <w:bookmarkEnd w:id="167"/>
    <w:bookmarkEnd w:id="168"/>
    <w:bookmarkStart w:id="189" w:name="reporte-de-informes"/>
    <w:p>
      <w:pPr>
        <w:pStyle w:val="Heading1"/>
      </w:pPr>
      <w:r>
        <w:rPr>
          <w:rStyle w:val="SectionNumber"/>
        </w:rPr>
        <w:t xml:space="preserve">7</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4</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4</w:t>
        </w:r>
      </w:hyperlink>
      <w:r>
        <w:t xml:space="preserve">:</w:t>
      </w:r>
    </w:p>
    <w:p>
      <w:pPr>
        <w:numPr>
          <w:ilvl w:val="0"/>
          <w:numId w:val="1010"/>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10"/>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10"/>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10"/>
        </w:numPr>
      </w:pPr>
      <w:r>
        <w:t xml:space="preserve">Novedades sobre la inscripción de los Establecimientos Farmacéuticos e IPS autorizados, de acuerdo al formato (Anexo número 3) de la presente resolución.</w:t>
      </w:r>
    </w:p>
    <w:p>
      <w:pPr>
        <w:numPr>
          <w:ilvl w:val="0"/>
          <w:numId w:val="1010"/>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10"/>
        </w:numPr>
      </w:pPr>
      <w:r>
        <w:t xml:space="preserve">Informe mensual consolidado sobre las transformaciones realizadas en el mes inmediatamente anterior, dentro de los diez (10) primeros días calendarios de cada mes. (Anexo número 4)</w:t>
      </w:r>
    </w:p>
    <w:p>
      <w:pPr>
        <w:numPr>
          <w:ilvl w:val="0"/>
          <w:numId w:val="1010"/>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10"/>
        </w:numPr>
      </w:pPr>
      <w:r>
        <w:t xml:space="preserve">Informe trimestral de sanciones impuestas por infracciones administrativas en la fabricación, distribución y dispensación de medicamentos de Control Especial.</w:t>
      </w:r>
    </w:p>
    <w:p>
      <w:pPr>
        <w:numPr>
          <w:ilvl w:val="0"/>
          <w:numId w:val="1010"/>
        </w:numPr>
      </w:pPr>
      <w:r>
        <w:t xml:space="preserve">Consolidado semestral del registro de Farmacodependientes de productos sometidos a fiscalización.</w:t>
      </w:r>
    </w:p>
    <w:p>
      <w:pPr>
        <w:pStyle w:val="FirstParagraph"/>
      </w:pPr>
      <w:r>
        <w:t xml:space="preserve">En la Figura</w:t>
      </w:r>
      <w:r>
        <w:t xml:space="preserve"> </w:t>
      </w:r>
      <w:r>
        <w:t xml:space="preserve">7.1</w:t>
      </w:r>
      <w:r>
        <w:t xml:space="preserve"> </w:t>
      </w:r>
      <w:r>
        <w:t xml:space="preserve">se tiene una descripción de la herramientas utilizadas el diligenciamiento del Anexo 1 de la Resolución 1479 de 2006 de MSPS. La mayoría de los FRE utilizan hojas de cálculo para el diligenciamiento del Anexo 1 (23 de 30 departamentos). Por lo menos tres departamentos utilizan modalidades de diligenciamiento manual y hojas de cálculo para el Anexo 1, mientras que sólo dos FRE sustentan la actividad mediante procedimientos manuales.</w:t>
      </w:r>
    </w:p>
    <w:p>
      <w:pPr>
        <w:pStyle w:val="BodyText"/>
      </w:pPr>
      <w:r>
        <w:t xml:space="preserve">Algunos FRE como Antioquia, Bolívar, Córdoba, Cesar, Quindío y Valle del Cauca tienen plataformas desarrolladas dentro de la gobernación que son utilizadas para el diligenciamiento del Anexo 1.</w:t>
      </w:r>
    </w:p>
    <w:p>
      <w:pPr>
        <w:pStyle w:val="CaptionedFigure"/>
      </w:pPr>
      <w:r>
        <w:drawing>
          <wp:inline>
            <wp:extent cx="5334000" cy="3809999"/>
            <wp:effectExtent b="0" l="0" r="0" t="0"/>
            <wp:docPr descr="Figura 7.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6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70" w:name="fig58"/>
      <w:r>
        <w:t xml:space="preserve">Figure </w:t>
      </w:r>
      <w:fldSimple w:instr="SEQ Figure \* ARABIC ">
        <w:r>
          <w:t>58</w:t>
        </w:r>
      </w:fldSimple>
      <w:r>
        <w:t xml:space="preserve">:</w:t>
      </w:r>
      <w:r>
        <w:t xml:space="preserve"> </w:t>
      </w:r>
      <w:bookmarkEnd w:id="170"/>
      <w:r>
        <w:t xml:space="preserve">Figura 7.1: Herramientas en el diligenciamiento del Anexo 1 de la Resolución 1479 de 2006</w:t>
      </w:r>
    </w:p>
    <w:p>
      <w:pPr>
        <w:pStyle w:val="BodyText"/>
      </w:pPr>
      <w:r>
        <w:t xml:space="preserve">En la Figura</w:t>
      </w:r>
      <w:r>
        <w:t xml:space="preserve"> </w:t>
      </w:r>
      <w:r>
        <w:t xml:space="preserve">7.2</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7.2: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7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2" w:name="fig59"/>
      <w:r>
        <w:t xml:space="preserve">Figure </w:t>
      </w:r>
      <w:fldSimple w:instr="SEQ Figure \* ARABIC ">
        <w:r>
          <w:t>59</w:t>
        </w:r>
      </w:fldSimple>
      <w:r>
        <w:t xml:space="preserve">:</w:t>
      </w:r>
      <w:r>
        <w:t xml:space="preserve"> </w:t>
      </w:r>
      <w:bookmarkEnd w:id="172"/>
      <w:r>
        <w:t xml:space="preserve">Figura 7.2: Controles en las ventas directas a pacientes</w:t>
      </w:r>
    </w:p>
    <w:p>
      <w:pPr>
        <w:pStyle w:val="CaptionedFigure"/>
      </w:pPr>
      <w:r>
        <w:drawing>
          <wp:inline>
            <wp:extent cx="5334000" cy="4000500"/>
            <wp:effectExtent b="0" l="0" r="0" t="0"/>
            <wp:docPr descr="Figura 7.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7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4" w:name="fig60"/>
      <w:r>
        <w:t xml:space="preserve">Figure </w:t>
      </w:r>
      <w:fldSimple w:instr="SEQ Figure \* ARABIC ">
        <w:r>
          <w:t>60</w:t>
        </w:r>
      </w:fldSimple>
      <w:r>
        <w:t xml:space="preserve">:</w:t>
      </w:r>
      <w:r>
        <w:t xml:space="preserve"> </w:t>
      </w:r>
      <w:bookmarkEnd w:id="174"/>
      <w:r>
        <w:t xml:space="preserve">Figura 7.3: Tiempo en la consolidación del Anexo 1 de la Resolución 1479 de 2006</w:t>
      </w:r>
    </w:p>
    <w:p>
      <w:pPr>
        <w:pStyle w:val="CaptionedFigure"/>
      </w:pPr>
      <w:r>
        <w:drawing>
          <wp:inline>
            <wp:extent cx="5334000" cy="4000500"/>
            <wp:effectExtent b="0" l="0" r="0" t="0"/>
            <wp:docPr descr="Figura 7.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17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6" w:name="fig61"/>
      <w:r>
        <w:t xml:space="preserve">Figure </w:t>
      </w:r>
      <w:fldSimple w:instr="SEQ Figure \* ARABIC ">
        <w:r>
          <w:t>61</w:t>
        </w:r>
      </w:fldSimple>
      <w:r>
        <w:t xml:space="preserve">:</w:t>
      </w:r>
      <w:r>
        <w:t xml:space="preserve"> </w:t>
      </w:r>
      <w:bookmarkEnd w:id="176"/>
      <w:r>
        <w:t xml:space="preserve">Figura 7.4: Tiempo en la consolidación del Anexo 1 de la Resolución 1479 de 2006 vs N° de instituciones que realizan compra en un año</w:t>
      </w:r>
    </w:p>
    <w:p>
      <w:pPr>
        <w:pStyle w:val="CaptionedFigure"/>
      </w:pPr>
      <w:r>
        <w:drawing>
          <wp:inline>
            <wp:extent cx="5334000" cy="2667000"/>
            <wp:effectExtent b="0" l="0" r="0" t="0"/>
            <wp:docPr descr="Figura 7.5: Tiempo en la consolidación del Anexo 2 de la Resolución 1479 de 2006"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17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78" w:name="fig62"/>
      <w:r>
        <w:t xml:space="preserve">Figure </w:t>
      </w:r>
      <w:fldSimple w:instr="SEQ Figure \* ARABIC ">
        <w:r>
          <w:t>62</w:t>
        </w:r>
      </w:fldSimple>
      <w:r>
        <w:t xml:space="preserve">:</w:t>
      </w:r>
      <w:r>
        <w:t xml:space="preserve"> </w:t>
      </w:r>
      <w:bookmarkEnd w:id="178"/>
      <w:r>
        <w:t xml:space="preserve">Figura 7.5: Tiempo en la consolidación del Anexo 2 de la Resolución 1479 de 2006</w:t>
      </w:r>
    </w:p>
    <w:p>
      <w:pPr>
        <w:pStyle w:val="BodyText"/>
      </w:pPr>
      <w:r>
        <w:drawing>
          <wp:inline>
            <wp:extent cx="5334000" cy="4000500"/>
            <wp:effectExtent b="0" l="0" r="0" t="0"/>
            <wp:docPr descr="Figura 7.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179"/>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3556000"/>
            <wp:effectExtent b="0" l="0" r="0" t="0"/>
            <wp:docPr descr="Figura 7.7: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18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8: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18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9: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p>
    <w:bookmarkStart w:id="188" w:name="seguridad-de-la-información"/>
    <w:p>
      <w:pPr>
        <w:pStyle w:val="Heading2"/>
      </w:pPr>
      <w:r>
        <w:rPr>
          <w:rStyle w:val="SectionNumber"/>
        </w:rPr>
        <w:t xml:space="preserve">7.1</w:t>
      </w:r>
      <w:r>
        <w:tab/>
      </w:r>
      <w:r>
        <w:t xml:space="preserve">Seguridad de la información</w:t>
      </w:r>
    </w:p>
    <w:p>
      <w:pPr>
        <w:pStyle w:val="FirstParagraph"/>
      </w:pPr>
      <w:r>
        <w:drawing>
          <wp:inline>
            <wp:extent cx="5334000" cy="3556000"/>
            <wp:effectExtent b="0" l="0" r="0" t="0"/>
            <wp:docPr descr="Figura 7.10: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11: Proporción de FRE que cuenta con base de dato con información de inscritos"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84"/>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12: Proporción de FRE que cuenta con una base de datos con información de pacientes a los que se les dispensa MME" title="" id="1" name="Picture"/>
            <a:graphic>
              <a:graphicData uri="http://schemas.openxmlformats.org/drawingml/2006/picture">
                <pic:pic>
                  <pic:nvPicPr>
                    <pic:cNvPr descr="InformeFinal_files/figure-docx/InformPacientes-1.png" id="0" name="Picture"/>
                    <pic:cNvPicPr>
                      <a:picLocks noChangeArrowheads="1" noChangeAspect="1"/>
                    </pic:cNvPicPr>
                  </pic:nvPicPr>
                  <pic:blipFill>
                    <a:blip r:embed="rId18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La pregunta a la cual se refiere la Figura</w:t>
      </w:r>
      <w:r>
        <w:t xml:space="preserve"> </w:t>
      </w:r>
      <w:r>
        <w:t xml:space="preserve">7.13</w:t>
      </w:r>
      <w:r>
        <w:t xml:space="preserve"> </w:t>
      </w:r>
      <w:r>
        <w:t xml:space="preserve">se trata de las instituciones que realizan ventas de MME a pacientes, no la entiendo muy bien!!!!.</w:t>
      </w:r>
    </w:p>
    <w:p>
      <w:pPr>
        <w:pStyle w:val="CaptionedFigure"/>
      </w:pPr>
      <w:r>
        <w:drawing>
          <wp:inline>
            <wp:extent cx="5334000" cy="3556000"/>
            <wp:effectExtent b="0" l="0" r="0" t="0"/>
            <wp:docPr descr="Figura 7.13: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8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7" w:name="fig63"/>
      <w:r>
        <w:t xml:space="preserve">Figure </w:t>
      </w:r>
      <w:fldSimple w:instr="SEQ Figure \* ARABIC ">
        <w:r>
          <w:t>63</w:t>
        </w:r>
      </w:fldSimple>
      <w:r>
        <w:t xml:space="preserve">:</w:t>
      </w:r>
      <w:r>
        <w:t xml:space="preserve"> </w:t>
      </w:r>
      <w:bookmarkEnd w:id="187"/>
      <w:r>
        <w:t xml:space="preserve">Figura 7.13: Existencia de otras instituciones que realizan ventas a instituciones a MME</w:t>
      </w:r>
    </w:p>
    <w:bookmarkEnd w:id="188"/>
    <w:bookmarkEnd w:id="189"/>
    <w:bookmarkStart w:id="256" w:name="análisis-a-nivel-regional"/>
    <w:p>
      <w:pPr>
        <w:pStyle w:val="Heading1"/>
      </w:pPr>
      <w:r>
        <w:rPr>
          <w:rStyle w:val="SectionNumber"/>
        </w:rPr>
        <w:t xml:space="preserve">8</w:t>
      </w:r>
      <w:r>
        <w:tab/>
      </w:r>
      <w:r>
        <w:t xml:space="preserve">Análisis a Nivel Regional</w:t>
      </w:r>
    </w:p>
    <w:bookmarkStart w:id="213" w:name="región-andina-norte"/>
    <w:p>
      <w:pPr>
        <w:pStyle w:val="Heading2"/>
      </w:pPr>
      <w:r>
        <w:rPr>
          <w:rStyle w:val="SectionNumber"/>
        </w:rPr>
        <w:t xml:space="preserve">8.1</w:t>
      </w:r>
      <w:r>
        <w:tab/>
      </w:r>
      <w:r>
        <w:t xml:space="preserve">Región Andina Norte</w:t>
      </w:r>
    </w:p>
    <w:p>
      <w:pPr>
        <w:pStyle w:val="FirstParagraph"/>
      </w:pPr>
      <w:r>
        <w:t xml:space="preserve">Esta región se compone de los siguientes departamentos:</w:t>
      </w:r>
    </w:p>
    <w:p>
      <w:pPr>
        <w:numPr>
          <w:ilvl w:val="0"/>
          <w:numId w:val="1011"/>
        </w:numPr>
        <w:pStyle w:val="Compact"/>
      </w:pPr>
      <w:r>
        <w:t xml:space="preserve">Boyacá</w:t>
      </w:r>
    </w:p>
    <w:p>
      <w:pPr>
        <w:numPr>
          <w:ilvl w:val="0"/>
          <w:numId w:val="1011"/>
        </w:numPr>
        <w:pStyle w:val="Compact"/>
      </w:pPr>
      <w:r>
        <w:t xml:space="preserve">Norte de Santander</w:t>
      </w:r>
    </w:p>
    <w:p>
      <w:pPr>
        <w:numPr>
          <w:ilvl w:val="0"/>
          <w:numId w:val="1011"/>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198" w:name="adquisición-venta-y-distribución-de-ro"/>
    <w:p>
      <w:pPr>
        <w:pStyle w:val="Heading3"/>
      </w:pPr>
      <w:r>
        <w:rPr>
          <w:rStyle w:val="SectionNumber"/>
        </w:rPr>
        <w:t xml:space="preserve">8.1.1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8.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190"/>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191" w:name="fig64"/>
      <w:r>
        <w:t xml:space="preserve">Figure </w:t>
      </w:r>
      <w:fldSimple w:instr="SEQ Figure \* ARABIC ">
        <w:r>
          <w:t>64</w:t>
        </w:r>
      </w:fldSimple>
      <w:r>
        <w:t xml:space="preserve">:</w:t>
      </w:r>
      <w:r>
        <w:t xml:space="preserve"> </w:t>
      </w:r>
      <w:bookmarkEnd w:id="191"/>
      <w:r>
        <w:t xml:space="preserve">Figura 8.1: N.° de recetarios en la Región Andina Norte</w:t>
      </w:r>
    </w:p>
    <w:p>
      <w:pPr>
        <w:pStyle w:val="BodyText"/>
      </w:pPr>
      <w:r>
        <w:t xml:space="preserve">En cuanto a las existencias actuales, en la Figura</w:t>
      </w:r>
      <w:r>
        <w:t xml:space="preserve"> </w:t>
      </w:r>
      <w:r>
        <w:t xml:space="preserve">8.1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8.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192"/>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193" w:name="fig65"/>
      <w:r>
        <w:t xml:space="preserve">Figure </w:t>
      </w:r>
      <w:fldSimple w:instr="SEQ Figure \* ARABIC ">
        <w:r>
          <w:t>65</w:t>
        </w:r>
      </w:fldSimple>
      <w:r>
        <w:t xml:space="preserve">:</w:t>
      </w:r>
      <w:r>
        <w:t xml:space="preserve"> </w:t>
      </w:r>
      <w:bookmarkEnd w:id="193"/>
      <w:r>
        <w:t xml:space="preserve">Figura 8.2: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8.3</w:t>
      </w:r>
      <w:r>
        <w:t xml:space="preserve">, si se cruza esta información con el 40% que aporta la venta de los recetarios al total de los ingresos del FRE cómo se ve en la Figura</w:t>
      </w:r>
      <w:r>
        <w:t xml:space="preserve"> </w:t>
      </w:r>
      <w:r>
        <w:t xml:space="preserve">8.3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8.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194"/>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195" w:name="fig66"/>
      <w:r>
        <w:t xml:space="preserve">Figure </w:t>
      </w:r>
      <w:fldSimple w:instr="SEQ Figure \* ARABIC ">
        <w:r>
          <w:t>66</w:t>
        </w:r>
      </w:fldSimple>
      <w:r>
        <w:t xml:space="preserve">:</w:t>
      </w:r>
      <w:r>
        <w:t xml:space="preserve"> </w:t>
      </w:r>
      <w:bookmarkEnd w:id="195"/>
      <w:r>
        <w:t xml:space="preserve">Figura 8.3: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8.4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8.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196"/>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197" w:name="fig67"/>
      <w:r>
        <w:t xml:space="preserve">Figure </w:t>
      </w:r>
      <w:fldSimple w:instr="SEQ Figure \* ARABIC ">
        <w:r>
          <w:t>67</w:t>
        </w:r>
      </w:fldSimple>
      <w:r>
        <w:t xml:space="preserve">:</w:t>
      </w:r>
      <w:r>
        <w:t xml:space="preserve"> </w:t>
      </w:r>
      <w:bookmarkEnd w:id="197"/>
      <w:r>
        <w:t xml:space="preserve">Figura 8.4: Porcentaje de ganancias en los departamentos</w:t>
      </w:r>
    </w:p>
    <w:bookmarkEnd w:id="198"/>
    <w:bookmarkStart w:id="199" w:name="seguimiento-y-control-de-ro"/>
    <w:p>
      <w:pPr>
        <w:pStyle w:val="Heading3"/>
      </w:pPr>
      <w:r>
        <w:rPr>
          <w:rStyle w:val="SectionNumber"/>
        </w:rPr>
        <w:t xml:space="preserve">8.1.2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199"/>
    <w:bookmarkStart w:id="200" w:name="X009f82ebffead5dcb9f8956889afa0983c81115"/>
    <w:p>
      <w:pPr>
        <w:pStyle w:val="Heading3"/>
      </w:pPr>
      <w:r>
        <w:rPr>
          <w:rStyle w:val="SectionNumber"/>
        </w:rPr>
        <w:t xml:space="preserve">8.1.3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200"/>
    <w:bookmarkStart w:id="206" w:name="ruta-tecnológica."/>
    <w:p>
      <w:pPr>
        <w:pStyle w:val="Heading3"/>
      </w:pPr>
      <w:r>
        <w:rPr>
          <w:rStyle w:val="SectionNumber"/>
        </w:rPr>
        <w:t xml:space="preserve">8.1.4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8.6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8.5</w:t>
      </w:r>
      <w:r>
        <w:t xml:space="preserve">).</w:t>
      </w:r>
    </w:p>
    <w:p>
      <w:pPr>
        <w:pStyle w:val="CaptionedFigure"/>
      </w:pPr>
      <w:r>
        <w:drawing>
          <wp:inline>
            <wp:extent cx="3907856" cy="3012707"/>
            <wp:effectExtent b="0" l="0" r="0" t="0"/>
            <wp:docPr descr="Figura 8.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201"/>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202" w:name="fig68"/>
      <w:r>
        <w:t xml:space="preserve">Figure </w:t>
      </w:r>
      <w:fldSimple w:instr="SEQ Figure \* ARABIC ">
        <w:r>
          <w:t>68</w:t>
        </w:r>
      </w:fldSimple>
      <w:r>
        <w:t xml:space="preserve">:</w:t>
      </w:r>
      <w:r>
        <w:t xml:space="preserve"> </w:t>
      </w:r>
      <w:bookmarkEnd w:id="202"/>
      <w:r>
        <w:t xml:space="preserve">Figura 8.5: Cuenta con ordenanza</w:t>
      </w:r>
    </w:p>
    <w:p>
      <w:pPr>
        <w:pStyle w:val="CaptionedFigure"/>
      </w:pPr>
      <w:r>
        <w:drawing>
          <wp:inline>
            <wp:extent cx="3917482" cy="3022332"/>
            <wp:effectExtent b="0" l="0" r="0" t="0"/>
            <wp:docPr descr="Figura 8.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203"/>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04" w:name="fig69"/>
      <w:r>
        <w:t xml:space="preserve">Figure </w:t>
      </w:r>
      <w:fldSimple w:instr="SEQ Figure \* ARABIC ">
        <w:r>
          <w:t>69</w:t>
        </w:r>
      </w:fldSimple>
      <w:r>
        <w:t xml:space="preserve">:</w:t>
      </w:r>
      <w:r>
        <w:t xml:space="preserve"> </w:t>
      </w:r>
      <w:bookmarkEnd w:id="204"/>
      <w:r>
        <w:t xml:space="preserve">Figura 8.6: Evaluación de la conexión de internet</w:t>
      </w:r>
    </w:p>
    <w:p>
      <w:pPr>
        <w:pStyle w:val="TableCaption"/>
      </w:pPr>
      <w:bookmarkStart w:id="205" w:name="table2"/>
      <w:r>
        <w:t xml:space="preserve">Table </w:t>
      </w:r>
      <w:fldSimple w:instr="SEQ Table \* ARABIC ">
        <w:r>
          <w:t>2</w:t>
        </w:r>
      </w:fldSimple>
      <w:r>
        <w:t xml:space="preserve">:</w:t>
      </w:r>
      <w:bookmarkEnd w:id="205"/>
      <w:r>
        <w:t xml:space="preserve"> </w:t>
      </w:r>
      <w:r>
        <w:t xml:space="preserve">Tabla 8.1: Presencia de software para el manejo tecnológico</w:t>
      </w:r>
    </w:p>
    <w:tbl>
      <w:tblPr>
        <w:tblStyle w:val="Table"/>
        <w:tblW w:type="auto" w:w="0"/>
        <w:tblLook w:firstRow="1" w:lastRow="0" w:firstColumn="0" w:lastColumn="0" w:noHBand="0" w:noVBand="0" w:val="0020"/>
        <w:tblCaption w:val="Tabla 8.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206"/>
    <w:bookmarkStart w:id="207" w:name="proyección-de-compra-mme"/>
    <w:p>
      <w:pPr>
        <w:pStyle w:val="Heading3"/>
      </w:pPr>
      <w:r>
        <w:rPr>
          <w:rStyle w:val="SectionNumber"/>
        </w:rPr>
        <w:t xml:space="preserve">8.1.5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207"/>
    <w:bookmarkStart w:id="208" w:name="recepción-técnica."/>
    <w:p>
      <w:pPr>
        <w:pStyle w:val="Heading3"/>
      </w:pPr>
      <w:r>
        <w:rPr>
          <w:rStyle w:val="SectionNumber"/>
        </w:rPr>
        <w:t xml:space="preserve">8.1.6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208"/>
    <w:bookmarkStart w:id="209" w:name="almacenamiento-e-inventario-de-mme"/>
    <w:p>
      <w:pPr>
        <w:pStyle w:val="Heading3"/>
      </w:pPr>
      <w:r>
        <w:rPr>
          <w:rStyle w:val="SectionNumber"/>
        </w:rPr>
        <w:t xml:space="preserve">8.1.7</w:t>
      </w:r>
      <w:r>
        <w:tab/>
      </w:r>
      <w:r>
        <w:t xml:space="preserve">Almacenamiento e inventario de MME</w:t>
      </w:r>
    </w:p>
    <w:bookmarkEnd w:id="209"/>
    <w:bookmarkStart w:id="212" w:name="X655d72eb7072741882bb279aeb3b055e249ceb5"/>
    <w:p>
      <w:pPr>
        <w:pStyle w:val="Heading3"/>
      </w:pPr>
      <w:r>
        <w:rPr>
          <w:rStyle w:val="SectionNumber"/>
        </w:rPr>
        <w:t xml:space="preserve">8.1.8</w:t>
      </w:r>
      <w:r>
        <w:tab/>
      </w:r>
      <w:r>
        <w:t xml:space="preserve">Proceso de distribución a instituciones y pacientes</w:t>
      </w:r>
    </w:p>
    <w:p>
      <w:pPr>
        <w:pStyle w:val="CaptionedFigure"/>
      </w:pPr>
      <w:r>
        <w:drawing>
          <wp:inline>
            <wp:extent cx="3917482" cy="3022332"/>
            <wp:effectExtent b="0" l="0" r="0" t="0"/>
            <wp:docPr descr="Figura 8.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210"/>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1" w:name="fig70"/>
      <w:r>
        <w:t xml:space="preserve">Figure </w:t>
      </w:r>
      <w:fldSimple w:instr="SEQ Figure \* ARABIC ">
        <w:r>
          <w:t>70</w:t>
        </w:r>
      </w:fldSimple>
      <w:r>
        <w:t xml:space="preserve">:</w:t>
      </w:r>
      <w:r>
        <w:t xml:space="preserve"> </w:t>
      </w:r>
      <w:bookmarkEnd w:id="211"/>
      <w:r>
        <w:t xml:space="preserve">Figura 8.7: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212"/>
    <w:bookmarkEnd w:id="213"/>
    <w:bookmarkStart w:id="240" w:name="región-andina-sur"/>
    <w:p>
      <w:pPr>
        <w:pStyle w:val="Heading2"/>
      </w:pPr>
      <w:r>
        <w:rPr>
          <w:rStyle w:val="SectionNumber"/>
        </w:rPr>
        <w:t xml:space="preserve">8.2</w:t>
      </w:r>
      <w:r>
        <w:tab/>
      </w:r>
      <w:r>
        <w:t xml:space="preserve">Región Andina Sur</w:t>
      </w:r>
    </w:p>
    <w:bookmarkStart w:id="224" w:name="adquisición-venta-y-distribución-de-ro-1"/>
    <w:p>
      <w:pPr>
        <w:pStyle w:val="Heading3"/>
      </w:pPr>
      <w:r>
        <w:rPr>
          <w:rStyle w:val="SectionNumber"/>
        </w:rPr>
        <w:t xml:space="preserve">8.2.1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8.8</w:t>
      </w:r>
      <w:r>
        <w:t xml:space="preserve">, para ilustrar la disponibilidad de recetarios oficiales en la región Andina sur.</w:t>
      </w:r>
    </w:p>
    <w:p>
      <w:pPr>
        <w:pStyle w:val="CaptionedFigure"/>
      </w:pPr>
      <w:r>
        <w:drawing>
          <wp:inline>
            <wp:extent cx="2790825" cy="3448050"/>
            <wp:effectExtent b="0" l="0" r="0" t="0"/>
            <wp:docPr descr="Figura 8.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214"/>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215" w:name="fig71"/>
      <w:r>
        <w:t xml:space="preserve">Figure </w:t>
      </w:r>
      <w:fldSimple w:instr="SEQ Figure \* ARABIC ">
        <w:r>
          <w:t>71</w:t>
        </w:r>
      </w:fldSimple>
      <w:r>
        <w:t xml:space="preserve">:</w:t>
      </w:r>
      <w:r>
        <w:t xml:space="preserve"> </w:t>
      </w:r>
      <w:bookmarkEnd w:id="215"/>
      <w:r>
        <w:t xml:space="preserve">Figura 8.8: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8.9</w:t>
      </w:r>
      <w:r>
        <w:t xml:space="preserve">, muestra los tiempos de cada territorio en la adquisición de los recetarios oficiales.</w:t>
      </w:r>
    </w:p>
    <w:p>
      <w:pPr>
        <w:pStyle w:val="CaptionedFigure"/>
      </w:pPr>
      <w:r>
        <w:drawing>
          <wp:inline>
            <wp:extent cx="4350618" cy="3137835"/>
            <wp:effectExtent b="0" l="0" r="0" t="0"/>
            <wp:docPr descr="Figura 8.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16"/>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17" w:name="fig72"/>
      <w:r>
        <w:t xml:space="preserve">Figure </w:t>
      </w:r>
      <w:fldSimple w:instr="SEQ Figure \* ARABIC ">
        <w:r>
          <w:t>72</w:t>
        </w:r>
      </w:fldSimple>
      <w:r>
        <w:t xml:space="preserve">:</w:t>
      </w:r>
      <w:r>
        <w:t xml:space="preserve"> </w:t>
      </w:r>
      <w:bookmarkEnd w:id="217"/>
      <w:r>
        <w:t xml:space="preserve">Figura 8.9: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8.10</w:t>
      </w:r>
      <w:r>
        <w:t xml:space="preserve">, en relación a este margen de ganancias en cada FRE.</w:t>
      </w:r>
    </w:p>
    <w:p>
      <w:pPr>
        <w:pStyle w:val="CaptionedFigure"/>
      </w:pPr>
      <w:r>
        <w:drawing>
          <wp:inline>
            <wp:extent cx="4803006" cy="3311090"/>
            <wp:effectExtent b="0" l="0" r="0" t="0"/>
            <wp:docPr descr="Figura 8.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18"/>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19" w:name="fig73"/>
      <w:r>
        <w:t xml:space="preserve">Figure </w:t>
      </w:r>
      <w:fldSimple w:instr="SEQ Figure \* ARABIC ">
        <w:r>
          <w:t>73</w:t>
        </w:r>
      </w:fldSimple>
      <w:r>
        <w:t xml:space="preserve">:</w:t>
      </w:r>
      <w:r>
        <w:t xml:space="preserve"> </w:t>
      </w:r>
      <w:bookmarkEnd w:id="219"/>
      <w:r>
        <w:t xml:space="preserve">Figura 8.10: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8.11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8.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20"/>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21" w:name="fig74"/>
      <w:r>
        <w:t xml:space="preserve">Figure </w:t>
      </w:r>
      <w:fldSimple w:instr="SEQ Figure \* ARABIC ">
        <w:r>
          <w:t>74</w:t>
        </w:r>
      </w:fldSimple>
      <w:r>
        <w:t xml:space="preserve">:</w:t>
      </w:r>
      <w:r>
        <w:t xml:space="preserve"> </w:t>
      </w:r>
      <w:bookmarkEnd w:id="221"/>
      <w:r>
        <w:t xml:space="preserve">Figura 8.11: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8.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22"/>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3" w:name="fig75"/>
      <w:r>
        <w:t xml:space="preserve">Figure </w:t>
      </w:r>
      <w:fldSimple w:instr="SEQ Figure \* ARABIC ">
        <w:r>
          <w:t>75</w:t>
        </w:r>
      </w:fldSimple>
      <w:r>
        <w:t xml:space="preserve">:</w:t>
      </w:r>
      <w:r>
        <w:t xml:space="preserve"> </w:t>
      </w:r>
      <w:bookmarkEnd w:id="223"/>
      <w:r>
        <w:t xml:space="preserve">Figura 8.12: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8.12</w:t>
      </w:r>
      <w:r>
        <w:t xml:space="preserve"> </w:t>
      </w:r>
      <w:r>
        <w:t xml:space="preserve">exhibe el porcentaje de los territorios que cuentan con ordenanza para definir el costo de los recetarios oficiales.</w:t>
      </w:r>
    </w:p>
    <w:bookmarkEnd w:id="224"/>
    <w:bookmarkStart w:id="225" w:name="seguimiento-y-control-de-ro-1"/>
    <w:p>
      <w:pPr>
        <w:pStyle w:val="Heading3"/>
      </w:pPr>
      <w:r>
        <w:rPr>
          <w:rStyle w:val="SectionNumber"/>
        </w:rPr>
        <w:t xml:space="preserve">8.2.2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25"/>
    <w:bookmarkStart w:id="226" w:name="X161bf645a8ddbfd62e6c3b5999281b4edb216af"/>
    <w:p>
      <w:pPr>
        <w:pStyle w:val="Heading3"/>
      </w:pPr>
      <w:r>
        <w:rPr>
          <w:rStyle w:val="SectionNumber"/>
        </w:rPr>
        <w:t xml:space="preserve">8.2.3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26"/>
    <w:bookmarkStart w:id="229" w:name="ruta-tecnológica.-1"/>
    <w:p>
      <w:pPr>
        <w:pStyle w:val="Heading3"/>
      </w:pPr>
      <w:r>
        <w:rPr>
          <w:rStyle w:val="SectionNumber"/>
        </w:rPr>
        <w:t xml:space="preserve">8.2.4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8.3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8.3: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8.13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8.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27"/>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8" w:name="fig76"/>
      <w:r>
        <w:t xml:space="preserve">Figure </w:t>
      </w:r>
      <w:fldSimple w:instr="SEQ Figure \* ARABIC ">
        <w:r>
          <w:t>76</w:t>
        </w:r>
      </w:fldSimple>
      <w:r>
        <w:t xml:space="preserve">:</w:t>
      </w:r>
      <w:r>
        <w:t xml:space="preserve"> </w:t>
      </w:r>
      <w:bookmarkEnd w:id="228"/>
      <w:r>
        <w:t xml:space="preserve">Figura 8.13: Estado actual de la conexión a internet de los FRE de la región Andina Sur.</w:t>
      </w:r>
    </w:p>
    <w:bookmarkEnd w:id="229"/>
    <w:bookmarkStart w:id="232" w:name="proyección-de-compra-mme-1"/>
    <w:p>
      <w:pPr>
        <w:pStyle w:val="Heading3"/>
      </w:pPr>
      <w:r>
        <w:rPr>
          <w:rStyle w:val="SectionNumber"/>
        </w:rPr>
        <w:t xml:space="preserve">8.2.5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8.14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8.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30"/>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31" w:name="fig77"/>
      <w:r>
        <w:t xml:space="preserve">Figure </w:t>
      </w:r>
      <w:fldSimple w:instr="SEQ Figure \* ARABIC ">
        <w:r>
          <w:t>77</w:t>
        </w:r>
      </w:fldSimple>
      <w:r>
        <w:t xml:space="preserve">:</w:t>
      </w:r>
      <w:r>
        <w:t xml:space="preserve"> </w:t>
      </w:r>
      <w:bookmarkEnd w:id="231"/>
      <w:r>
        <w:t xml:space="preserve">Figura 8.14: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32"/>
    <w:bookmarkStart w:id="235" w:name="recepción-técnica.-1"/>
    <w:p>
      <w:pPr>
        <w:pStyle w:val="Heading3"/>
      </w:pPr>
      <w:r>
        <w:rPr>
          <w:rStyle w:val="SectionNumber"/>
        </w:rPr>
        <w:t xml:space="preserve">8.2.6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8.15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8.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33"/>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34" w:name="fig78"/>
      <w:r>
        <w:t xml:space="preserve">Figure </w:t>
      </w:r>
      <w:fldSimple w:instr="SEQ Figure \* ARABIC ">
        <w:r>
          <w:t>78</w:t>
        </w:r>
      </w:fldSimple>
      <w:r>
        <w:t xml:space="preserve">:</w:t>
      </w:r>
      <w:r>
        <w:t xml:space="preserve"> </w:t>
      </w:r>
      <w:bookmarkEnd w:id="234"/>
      <w:r>
        <w:t xml:space="preserve">Figura 8.15: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35"/>
    <w:bookmarkStart w:id="238" w:name="almacenamiento-e-inventario-de-mme-1"/>
    <w:p>
      <w:pPr>
        <w:pStyle w:val="Heading3"/>
      </w:pPr>
      <w:r>
        <w:rPr>
          <w:rStyle w:val="SectionNumber"/>
        </w:rPr>
        <w:t xml:space="preserve">8.2.7</w:t>
      </w:r>
      <w:r>
        <w:tab/>
      </w:r>
      <w:r>
        <w:t xml:space="preserve">Almacenamiento e inventario de MME</w:t>
      </w:r>
    </w:p>
    <w:p>
      <w:pPr>
        <w:pStyle w:val="CaptionedFigure"/>
      </w:pPr>
      <w:r>
        <w:drawing>
          <wp:inline>
            <wp:extent cx="5334000" cy="1093304"/>
            <wp:effectExtent b="0" l="0" r="0" t="0"/>
            <wp:docPr descr="Figura 8.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36"/>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37" w:name="fig79"/>
      <w:r>
        <w:t xml:space="preserve">Figure </w:t>
      </w:r>
      <w:fldSimple w:instr="SEQ Figure \* ARABIC ">
        <w:r>
          <w:t>79</w:t>
        </w:r>
      </w:fldSimple>
      <w:r>
        <w:t xml:space="preserve">:</w:t>
      </w:r>
      <w:r>
        <w:t xml:space="preserve"> </w:t>
      </w:r>
      <w:bookmarkEnd w:id="237"/>
      <w:r>
        <w:t xml:space="preserve">Figura 8.16: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38"/>
    <w:bookmarkStart w:id="239" w:name="X6b0d3cbe59f2e4485d35bea6be212c33d36f100"/>
    <w:p>
      <w:pPr>
        <w:pStyle w:val="Heading3"/>
      </w:pPr>
      <w:r>
        <w:rPr>
          <w:rStyle w:val="SectionNumber"/>
        </w:rPr>
        <w:t xml:space="preserve">8.2.8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39"/>
    <w:bookmarkEnd w:id="240"/>
    <w:bookmarkStart w:id="245" w:name="región-caribe"/>
    <w:p>
      <w:pPr>
        <w:pStyle w:val="Heading2"/>
      </w:pPr>
      <w:r>
        <w:rPr>
          <w:rStyle w:val="SectionNumber"/>
        </w:rPr>
        <w:t xml:space="preserve">8.3</w:t>
      </w:r>
      <w:r>
        <w:tab/>
      </w:r>
      <w:r>
        <w:t xml:space="preserve">Región Caribe</w:t>
      </w:r>
    </w:p>
    <w:p>
      <w:pPr>
        <w:pStyle w:val="CaptionedFigure"/>
      </w:pPr>
      <w:r>
        <w:drawing>
          <wp:inline>
            <wp:extent cx="4764505" cy="3311090"/>
            <wp:effectExtent b="0" l="0" r="0" t="0"/>
            <wp:docPr descr="Figura 8.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41"/>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42" w:name="fig80"/>
      <w:r>
        <w:t xml:space="preserve">Figure </w:t>
      </w:r>
      <w:fldSimple w:instr="SEQ Figure \* ARABIC ">
        <w:r>
          <w:t>80</w:t>
        </w:r>
      </w:fldSimple>
      <w:r>
        <w:t xml:space="preserve">:</w:t>
      </w:r>
      <w:r>
        <w:t xml:space="preserve"> </w:t>
      </w:r>
      <w:bookmarkEnd w:id="242"/>
      <w:r>
        <w:t xml:space="preserve">Figura 8.17: Porcentaje de ganancias en el departamento para la region Caribe</w:t>
      </w:r>
    </w:p>
    <w:p>
      <w:pPr>
        <w:pStyle w:val="CaptionedFigure"/>
      </w:pPr>
      <w:r>
        <w:drawing>
          <wp:inline>
            <wp:extent cx="4899258" cy="3532471"/>
            <wp:effectExtent b="0" l="0" r="0" t="0"/>
            <wp:docPr descr="Figura 8.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43"/>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44" w:name="fig81"/>
      <w:r>
        <w:t xml:space="preserve">Figure </w:t>
      </w:r>
      <w:fldSimple w:instr="SEQ Figure \* ARABIC ">
        <w:r>
          <w:t>81</w:t>
        </w:r>
      </w:fldSimple>
      <w:r>
        <w:t xml:space="preserve">:</w:t>
      </w:r>
      <w:r>
        <w:t xml:space="preserve"> </w:t>
      </w:r>
      <w:bookmarkEnd w:id="244"/>
      <w:r>
        <w:t xml:space="preserve">Figura 8.18: Tiempos de adquisición de recetarios en el departamento para la region Caribe</w:t>
      </w:r>
    </w:p>
    <w:p>
      <w:pPr>
        <w:numPr>
          <w:ilvl w:val="0"/>
          <w:numId w:val="1012"/>
        </w:numPr>
        <w:pStyle w:val="Compact"/>
      </w:pPr>
      <w:r>
        <w:t xml:space="preserve">ATLÁNTICO</w:t>
      </w:r>
    </w:p>
    <w:p>
      <w:pPr>
        <w:numPr>
          <w:ilvl w:val="0"/>
          <w:numId w:val="1012"/>
        </w:numPr>
        <w:pStyle w:val="Compact"/>
      </w:pPr>
      <w:r>
        <w:t xml:space="preserve">BOLÍVAR</w:t>
      </w:r>
    </w:p>
    <w:p>
      <w:pPr>
        <w:numPr>
          <w:ilvl w:val="0"/>
          <w:numId w:val="1012"/>
        </w:numPr>
        <w:pStyle w:val="Compact"/>
      </w:pPr>
      <w:r>
        <w:t xml:space="preserve">CESAR</w:t>
      </w:r>
    </w:p>
    <w:p>
      <w:pPr>
        <w:numPr>
          <w:ilvl w:val="0"/>
          <w:numId w:val="1012"/>
        </w:numPr>
        <w:pStyle w:val="Compact"/>
      </w:pPr>
      <w:r>
        <w:t xml:space="preserve">CÓRDOBA</w:t>
      </w:r>
    </w:p>
    <w:p>
      <w:pPr>
        <w:numPr>
          <w:ilvl w:val="0"/>
          <w:numId w:val="1012"/>
        </w:numPr>
        <w:pStyle w:val="Compact"/>
      </w:pPr>
      <w:r>
        <w:t xml:space="preserve">GUAJIRA</w:t>
      </w:r>
    </w:p>
    <w:p>
      <w:pPr>
        <w:numPr>
          <w:ilvl w:val="0"/>
          <w:numId w:val="1012"/>
        </w:numPr>
        <w:pStyle w:val="Compact"/>
      </w:pPr>
      <w:r>
        <w:t xml:space="preserve">MAGDALENA</w:t>
      </w:r>
    </w:p>
    <w:p>
      <w:pPr>
        <w:numPr>
          <w:ilvl w:val="0"/>
          <w:numId w:val="1012"/>
        </w:numPr>
        <w:pStyle w:val="Compact"/>
      </w:pPr>
      <w:r>
        <w:t xml:space="preserve">SAN ANDRÉS Y PROVIDENCIA</w:t>
      </w:r>
    </w:p>
    <w:p>
      <w:pPr>
        <w:numPr>
          <w:ilvl w:val="0"/>
          <w:numId w:val="1012"/>
        </w:numPr>
        <w:pStyle w:val="Compact"/>
      </w:pPr>
      <w:r>
        <w:t xml:space="preserve">SUCRE</w:t>
      </w:r>
    </w:p>
    <w:bookmarkEnd w:id="245"/>
    <w:bookmarkStart w:id="250" w:name="región-orinoquía"/>
    <w:p>
      <w:pPr>
        <w:pStyle w:val="Heading2"/>
      </w:pPr>
      <w:r>
        <w:rPr>
          <w:rStyle w:val="SectionNumber"/>
        </w:rPr>
        <w:t xml:space="preserve">8.4</w:t>
      </w:r>
      <w:r>
        <w:tab/>
      </w:r>
      <w:r>
        <w:t xml:space="preserve">Región Orinoquía</w:t>
      </w:r>
    </w:p>
    <w:p>
      <w:pPr>
        <w:pStyle w:val="CaptionedFigure"/>
      </w:pPr>
      <w:r>
        <w:drawing>
          <wp:inline>
            <wp:extent cx="4764505" cy="3311090"/>
            <wp:effectExtent b="0" l="0" r="0" t="0"/>
            <wp:docPr descr="Figura 8.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46"/>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47" w:name="fig82"/>
      <w:r>
        <w:t xml:space="preserve">Figure </w:t>
      </w:r>
      <w:fldSimple w:instr="SEQ Figure \* ARABIC ">
        <w:r>
          <w:t>82</w:t>
        </w:r>
      </w:fldSimple>
      <w:r>
        <w:t xml:space="preserve">:</w:t>
      </w:r>
      <w:r>
        <w:t xml:space="preserve"> </w:t>
      </w:r>
      <w:bookmarkEnd w:id="247"/>
      <w:r>
        <w:t xml:space="preserve">Figura 8.19: Porcentaje de ganancias en el departamento para la region Orinoquía</w:t>
      </w:r>
    </w:p>
    <w:p>
      <w:pPr>
        <w:pStyle w:val="CaptionedFigure"/>
      </w:pPr>
      <w:r>
        <w:drawing>
          <wp:inline>
            <wp:extent cx="4899258" cy="3532471"/>
            <wp:effectExtent b="0" l="0" r="0" t="0"/>
            <wp:docPr descr="Figura 8.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48"/>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49" w:name="fig83"/>
      <w:r>
        <w:t xml:space="preserve">Figure </w:t>
      </w:r>
      <w:fldSimple w:instr="SEQ Figure \* ARABIC ">
        <w:r>
          <w:t>83</w:t>
        </w:r>
      </w:fldSimple>
      <w:r>
        <w:t xml:space="preserve">:</w:t>
      </w:r>
      <w:r>
        <w:t xml:space="preserve"> </w:t>
      </w:r>
      <w:bookmarkEnd w:id="249"/>
      <w:r>
        <w:t xml:space="preserve">Figura 8.20: Tiempos de adquisición de recetarios en el departamento para la region Orinoquía</w:t>
      </w:r>
    </w:p>
    <w:p>
      <w:pPr>
        <w:numPr>
          <w:ilvl w:val="0"/>
          <w:numId w:val="1013"/>
        </w:numPr>
        <w:pStyle w:val="Compact"/>
      </w:pPr>
      <w:r>
        <w:t xml:space="preserve">CASANARE</w:t>
      </w:r>
    </w:p>
    <w:p>
      <w:pPr>
        <w:numPr>
          <w:ilvl w:val="0"/>
          <w:numId w:val="1013"/>
        </w:numPr>
        <w:pStyle w:val="Compact"/>
      </w:pPr>
      <w:r>
        <w:t xml:space="preserve">META</w:t>
      </w:r>
    </w:p>
    <w:p>
      <w:pPr>
        <w:numPr>
          <w:ilvl w:val="0"/>
          <w:numId w:val="1013"/>
        </w:numPr>
        <w:pStyle w:val="Compact"/>
      </w:pPr>
      <w:r>
        <w:t xml:space="preserve">ARAUCA</w:t>
      </w:r>
    </w:p>
    <w:p>
      <w:pPr>
        <w:numPr>
          <w:ilvl w:val="0"/>
          <w:numId w:val="1013"/>
        </w:numPr>
        <w:pStyle w:val="Compact"/>
      </w:pPr>
      <w:r>
        <w:t xml:space="preserve">VICHADA</w:t>
      </w:r>
    </w:p>
    <w:bookmarkEnd w:id="250"/>
    <w:bookmarkStart w:id="255" w:name="región-pacífica"/>
    <w:p>
      <w:pPr>
        <w:pStyle w:val="Heading2"/>
      </w:pPr>
      <w:r>
        <w:rPr>
          <w:rStyle w:val="SectionNumber"/>
        </w:rPr>
        <w:t xml:space="preserve">8.5</w:t>
      </w:r>
      <w:r>
        <w:tab/>
      </w:r>
      <w:r>
        <w:t xml:space="preserve">Región Pacífica</w:t>
      </w:r>
    </w:p>
    <w:p>
      <w:pPr>
        <w:pStyle w:val="CaptionedFigure"/>
      </w:pPr>
      <w:r>
        <w:drawing>
          <wp:inline>
            <wp:extent cx="4793381" cy="3311090"/>
            <wp:effectExtent b="0" l="0" r="0" t="0"/>
            <wp:docPr descr="Figura 8.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51"/>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52" w:name="fig84"/>
      <w:r>
        <w:t xml:space="preserve">Figure </w:t>
      </w:r>
      <w:fldSimple w:instr="SEQ Figure \* ARABIC ">
        <w:r>
          <w:t>84</w:t>
        </w:r>
      </w:fldSimple>
      <w:r>
        <w:t xml:space="preserve">:</w:t>
      </w:r>
      <w:r>
        <w:t xml:space="preserve"> </w:t>
      </w:r>
      <w:bookmarkEnd w:id="252"/>
      <w:r>
        <w:t xml:space="preserve">Figura 8.21: Porcentaje de ganancias en el departamento para la region Pacífica</w:t>
      </w:r>
    </w:p>
    <w:p>
      <w:pPr>
        <w:pStyle w:val="CaptionedFigure"/>
      </w:pPr>
      <w:r>
        <w:drawing>
          <wp:inline>
            <wp:extent cx="4937760" cy="3532471"/>
            <wp:effectExtent b="0" l="0" r="0" t="0"/>
            <wp:docPr descr="Figura 8.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53"/>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54" w:name="fig85"/>
      <w:r>
        <w:t xml:space="preserve">Figure </w:t>
      </w:r>
      <w:fldSimple w:instr="SEQ Figure \* ARABIC ">
        <w:r>
          <w:t>85</w:t>
        </w:r>
      </w:fldSimple>
      <w:r>
        <w:t xml:space="preserve">:</w:t>
      </w:r>
      <w:r>
        <w:t xml:space="preserve"> </w:t>
      </w:r>
      <w:bookmarkEnd w:id="254"/>
      <w:r>
        <w:t xml:space="preserve">Figura 8.22: Tiempos de adquisición de recetarios en el departamento para la region Pacífica</w:t>
      </w:r>
    </w:p>
    <w:p>
      <w:pPr>
        <w:numPr>
          <w:ilvl w:val="0"/>
          <w:numId w:val="1014"/>
        </w:numPr>
        <w:pStyle w:val="Compact"/>
      </w:pPr>
      <w:r>
        <w:t xml:space="preserve">CAUCA</w:t>
      </w:r>
    </w:p>
    <w:p>
      <w:pPr>
        <w:numPr>
          <w:ilvl w:val="0"/>
          <w:numId w:val="1014"/>
        </w:numPr>
        <w:pStyle w:val="Compact"/>
      </w:pPr>
      <w:r>
        <w:t xml:space="preserve">CHOCÓ</w:t>
      </w:r>
    </w:p>
    <w:p>
      <w:pPr>
        <w:numPr>
          <w:ilvl w:val="0"/>
          <w:numId w:val="1014"/>
        </w:numPr>
        <w:pStyle w:val="Compact"/>
      </w:pPr>
      <w:r>
        <w:t xml:space="preserve">NARIÑO</w:t>
      </w:r>
    </w:p>
    <w:p>
      <w:pPr>
        <w:numPr>
          <w:ilvl w:val="0"/>
          <w:numId w:val="1014"/>
        </w:numPr>
        <w:pStyle w:val="Compact"/>
      </w:pPr>
      <w:r>
        <w:t xml:space="preserve">VALLE DEL CAUCA</w:t>
      </w:r>
    </w:p>
    <w:bookmarkEnd w:id="255"/>
    <w:bookmarkEnd w:id="256"/>
    <w:bookmarkStart w:id="257" w:name="lineamientos-y-recomendaciones-generales"/>
    <w:p>
      <w:pPr>
        <w:pStyle w:val="Heading1"/>
      </w:pPr>
      <w:r>
        <w:rPr>
          <w:rStyle w:val="SectionNumber"/>
        </w:rPr>
        <w:t xml:space="preserve">9</w:t>
      </w:r>
      <w:r>
        <w:tab/>
      </w:r>
      <w:r>
        <w:t xml:space="preserve">Lineamientos y Recomendaciones Generales</w:t>
      </w:r>
    </w:p>
    <w:bookmarkEnd w:id="257"/>
    <w:bookmarkStart w:id="258" w:name="glosario"/>
    <w:p>
      <w:pPr>
        <w:pStyle w:val="Heading1"/>
      </w:pPr>
      <w:r>
        <w:t xml:space="preserve">Glosario</w:t>
      </w:r>
    </w:p>
    <w:p>
      <w:pPr>
        <w:numPr>
          <w:ilvl w:val="0"/>
          <w:numId w:val="1015"/>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15"/>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15"/>
        </w:numPr>
      </w:pPr>
      <w:r>
        <w:rPr>
          <w:bCs/>
          <w:b/>
        </w:rPr>
        <w:t xml:space="preserve">Desabastecimiento</w:t>
      </w:r>
      <w:r>
        <w:t xml:space="preserve">: Se entiende como la nula disponibilidad de un medicamento en todo el territorio nacional.</w:t>
      </w:r>
    </w:p>
    <w:p>
      <w:pPr>
        <w:numPr>
          <w:ilvl w:val="0"/>
          <w:numId w:val="1015"/>
        </w:numPr>
      </w:pPr>
      <w:r>
        <w:rPr>
          <w:bCs/>
          <w:b/>
        </w:rPr>
        <w:t xml:space="preserve">Disponibilidad</w:t>
      </w:r>
      <w:r>
        <w:t xml:space="preserve">: Condición en la cual se cuentan con existencias del medicamento en el territorio nacional.</w:t>
      </w:r>
    </w:p>
    <w:p>
      <w:pPr>
        <w:numPr>
          <w:ilvl w:val="0"/>
          <w:numId w:val="1015"/>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15"/>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15"/>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15"/>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15"/>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15"/>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15"/>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15"/>
        </w:numPr>
      </w:pPr>
      <w:r>
        <w:rPr>
          <w:bCs/>
          <w:b/>
        </w:rPr>
        <w:t xml:space="preserve">Monopolio del Estado</w:t>
      </w:r>
      <w:r>
        <w:t xml:space="preserve">: Derecho poseído de exclusividad por el Estado.</w:t>
      </w:r>
    </w:p>
    <w:p>
      <w:pPr>
        <w:numPr>
          <w:ilvl w:val="0"/>
          <w:numId w:val="1015"/>
        </w:numPr>
      </w:pPr>
      <w:r>
        <w:rPr>
          <w:bCs/>
          <w:b/>
        </w:rPr>
        <w:t xml:space="preserve">Principio Activo</w:t>
      </w:r>
      <w:r>
        <w:t xml:space="preserve">: Compuesto o mezcla de compuestos que tienen acción farmacológica.</w:t>
      </w:r>
    </w:p>
    <w:p>
      <w:pPr>
        <w:numPr>
          <w:ilvl w:val="0"/>
          <w:numId w:val="1015"/>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15"/>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15"/>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15"/>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15"/>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15"/>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58"/>
    <w:bookmarkStart w:id="260" w:name="créditos"/>
    <w:p>
      <w:pPr>
        <w:pStyle w:val="Heading1"/>
      </w:pPr>
      <w:r>
        <w:t xml:space="preserve">Créditos</w:t>
      </w:r>
    </w:p>
    <w:bookmarkStart w:id="259"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59"/>
    <w:bookmarkEnd w:id="260"/>
    <w:bookmarkStart w:id="266" w:name="referencias"/>
    <w:p>
      <w:pPr>
        <w:pStyle w:val="Heading1"/>
      </w:pPr>
      <w:r>
        <w:t xml:space="preserve">Referencias</w:t>
      </w:r>
    </w:p>
    <w:bookmarkStart w:id="265" w:name="refs"/>
    <w:bookmarkStart w:id="261" w:name="ref-Silver2017"/>
    <w:p>
      <w:pPr>
        <w:pStyle w:val="Bibliography"/>
      </w:pPr>
      <w:r>
        <w:t xml:space="preserve">1.</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61"/>
    <w:bookmarkStart w:id="262" w:name="X4e956815ca1199d73a39485c932e7d8485463a0"/>
    <w:p>
      <w:pPr>
        <w:pStyle w:val="Bibliography"/>
      </w:pPr>
      <w:r>
        <w:t xml:space="preserve">2.</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62"/>
    <w:bookmarkStart w:id="263" w:name="ref-HernandezVera2017"/>
    <w:p>
      <w:pPr>
        <w:pStyle w:val="Bibliography"/>
      </w:pPr>
      <w:r>
        <w:t xml:space="preserve">3.</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63"/>
    <w:bookmarkStart w:id="264" w:name="ref-MSPS1479-2006"/>
    <w:p>
      <w:pPr>
        <w:pStyle w:val="Bibliography"/>
      </w:pPr>
      <w:r>
        <w:t xml:space="preserve">4.</w:t>
      </w:r>
      <w:r>
        <w:t xml:space="preserve"> </w:t>
      </w:r>
      <w:r>
        <w:t xml:space="preserve">	</w:t>
      </w:r>
      <w:r>
        <w:t xml:space="preserve">Ministerio de la Protección Social.</w:t>
      </w:r>
      <w:r>
        <w:t xml:space="preserve"> </w:t>
      </w:r>
      <w:r>
        <w:t xml:space="preserve">Resoluci</w:t>
      </w:r>
      <w:r>
        <w:t xml:space="preserve">ó</w:t>
      </w:r>
      <w:r>
        <w:t xml:space="preserve">n 1479 de 2006 de Ministerio de Protecci</w:t>
      </w:r>
      <w:r>
        <w:t xml:space="preserve">ó</w:t>
      </w:r>
      <w:r>
        <w:t xml:space="preserve">n Social: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64"/>
    <w:bookmarkEnd w:id="265"/>
    <w:bookmarkEnd w:id="2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0" Target="media/rId180.png" /><Relationship Type="http://schemas.openxmlformats.org/officeDocument/2006/relationships/image" Id="rId74" Target="media/rId74.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124" Target="media/rId124.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102" Target="media/rId102.png" /><Relationship Type="http://schemas.openxmlformats.org/officeDocument/2006/relationships/image" Id="rId171" Target="media/rId171.png" /><Relationship Type="http://schemas.openxmlformats.org/officeDocument/2006/relationships/image" Id="rId67" Target="media/rId67.png" /><Relationship Type="http://schemas.openxmlformats.org/officeDocument/2006/relationships/image" Id="rId104" Target="media/rId104.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94" Target="media/rId94.png" /><Relationship Type="http://schemas.openxmlformats.org/officeDocument/2006/relationships/image" Id="rId126" Target="media/rId126.png" /><Relationship Type="http://schemas.openxmlformats.org/officeDocument/2006/relationships/image" Id="rId148" Target="media/rId148.png" /><Relationship Type="http://schemas.openxmlformats.org/officeDocument/2006/relationships/image" Id="rId141" Target="media/rId141.png" /><Relationship Type="http://schemas.openxmlformats.org/officeDocument/2006/relationships/image" Id="rId128" Target="media/rId128.png" /><Relationship Type="http://schemas.openxmlformats.org/officeDocument/2006/relationships/image" Id="rId183" Target="media/rId183.png" /><Relationship Type="http://schemas.openxmlformats.org/officeDocument/2006/relationships/image" Id="rId169" Target="media/rId169.png" /><Relationship Type="http://schemas.openxmlformats.org/officeDocument/2006/relationships/image" Id="rId110" Target="media/rId110.png" /><Relationship Type="http://schemas.openxmlformats.org/officeDocument/2006/relationships/image" Id="rId112" Target="media/rId112.png" /><Relationship Type="http://schemas.openxmlformats.org/officeDocument/2006/relationships/image" Id="rId182" Target="media/rId182.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91" Target="media/rId91.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186" Target="media/rId186.png" /><Relationship Type="http://schemas.openxmlformats.org/officeDocument/2006/relationships/image" Id="rId89" Target="media/rId89.png" /><Relationship Type="http://schemas.openxmlformats.org/officeDocument/2006/relationships/image" Id="rId138" Target="media/rId138.png" /><Relationship Type="http://schemas.openxmlformats.org/officeDocument/2006/relationships/image" Id="rId79" Target="media/rId79.png" /><Relationship Type="http://schemas.openxmlformats.org/officeDocument/2006/relationships/image" Id="rId100" Target="media/rId100.png" /><Relationship Type="http://schemas.openxmlformats.org/officeDocument/2006/relationships/image" Id="rId143" Target="media/rId143.png" /><Relationship Type="http://schemas.openxmlformats.org/officeDocument/2006/relationships/image" Id="rId108" Target="media/rId108.png" /><Relationship Type="http://schemas.openxmlformats.org/officeDocument/2006/relationships/image" Id="rId65" Target="media/rId65.png" /><Relationship Type="http://schemas.openxmlformats.org/officeDocument/2006/relationships/image" Id="rId145" Target="media/rId145.png" /><Relationship Type="http://schemas.openxmlformats.org/officeDocument/2006/relationships/image" Id="rId114" Target="media/rId114.png" /><Relationship Type="http://schemas.openxmlformats.org/officeDocument/2006/relationships/image" Id="rId146" Target="media/rId146.png" /><Relationship Type="http://schemas.openxmlformats.org/officeDocument/2006/relationships/image" Id="rId179" Target="media/rId179.png" /><Relationship Type="http://schemas.openxmlformats.org/officeDocument/2006/relationships/image" Id="rId83" Target="media/rId83.png" /><Relationship Type="http://schemas.openxmlformats.org/officeDocument/2006/relationships/image" Id="rId106" Target="media/rId106.png" /><Relationship Type="http://schemas.openxmlformats.org/officeDocument/2006/relationships/image" Id="rId181" Target="media/rId181.png" /><Relationship Type="http://schemas.openxmlformats.org/officeDocument/2006/relationships/image" Id="rId76" Target="media/rId76.png" /><Relationship Type="http://schemas.openxmlformats.org/officeDocument/2006/relationships/image" Id="rId87" Target="media/rId87.png" /><Relationship Type="http://schemas.openxmlformats.org/officeDocument/2006/relationships/image" Id="rId85" Target="media/rId85.png" /><Relationship Type="http://schemas.openxmlformats.org/officeDocument/2006/relationships/image" Id="rId96" Target="media/rId96.png" /><Relationship Type="http://schemas.openxmlformats.org/officeDocument/2006/relationships/image" Id="rId175" Target="media/rId175.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56" Target="media/rId156.png" /><Relationship Type="http://schemas.openxmlformats.org/officeDocument/2006/relationships/image" Id="rId135" Target="media/rId135.png" /><Relationship Type="http://schemas.openxmlformats.org/officeDocument/2006/relationships/image" Id="rId162" Target="media/rId16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70" Target="media/rId7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160" Target="media/rId160.png" /><Relationship Type="http://schemas.openxmlformats.org/officeDocument/2006/relationships/image" Id="rId164" Target="media/rId164.png" /><Relationship Type="http://schemas.openxmlformats.org/officeDocument/2006/relationships/image" Id="rId24" Target="media/rId24.png" /><Relationship Type="http://schemas.openxmlformats.org/officeDocument/2006/relationships/image" Id="rId72" Target="media/rId72.png" /><Relationship Type="http://schemas.openxmlformats.org/officeDocument/2006/relationships/image" Id="rId190" Target="media/rId190.jpg" /><Relationship Type="http://schemas.openxmlformats.org/officeDocument/2006/relationships/image" Id="rId214" Target="media/rId214.jpg" /><Relationship Type="http://schemas.openxmlformats.org/officeDocument/2006/relationships/image" Id="rId216" Target="media/rId216.png" /><Relationship Type="http://schemas.openxmlformats.org/officeDocument/2006/relationships/image" Id="rId218" Target="media/rId218.png" /><Relationship Type="http://schemas.openxmlformats.org/officeDocument/2006/relationships/image" Id="rId220" Target="media/rId220.png" /><Relationship Type="http://schemas.openxmlformats.org/officeDocument/2006/relationships/image" Id="rId222" Target="media/rId222.png" /><Relationship Type="http://schemas.openxmlformats.org/officeDocument/2006/relationships/image" Id="rId192" Target="media/rId192.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41" Target="media/rId241.png" /><Relationship Type="http://schemas.openxmlformats.org/officeDocument/2006/relationships/image" Id="rId243" Target="media/rId243.png" /><Relationship Type="http://schemas.openxmlformats.org/officeDocument/2006/relationships/image" Id="rId194" Target="media/rId194.png" /><Relationship Type="http://schemas.openxmlformats.org/officeDocument/2006/relationships/image" Id="rId246" Target="media/rId246.png" /><Relationship Type="http://schemas.openxmlformats.org/officeDocument/2006/relationships/image" Id="rId248" Target="media/rId248.png" /><Relationship Type="http://schemas.openxmlformats.org/officeDocument/2006/relationships/image" Id="rId196" Target="media/rId196.png" /><Relationship Type="http://schemas.openxmlformats.org/officeDocument/2006/relationships/image" Id="rId251" Target="media/rId251.png" /><Relationship Type="http://schemas.openxmlformats.org/officeDocument/2006/relationships/image" Id="rId253" Target="media/rId253.png" /><Relationship Type="http://schemas.openxmlformats.org/officeDocument/2006/relationships/image" Id="rId201" Target="media/rId201.png" /><Relationship Type="http://schemas.openxmlformats.org/officeDocument/2006/relationships/image" Id="rId203" Target="media/rId203.png" /><Relationship Type="http://schemas.openxmlformats.org/officeDocument/2006/relationships/image" Id="rId210" Target="media/rId21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2021-10-01T20:25:08Z</dcterms:created>
  <dcterms:modified xsi:type="dcterms:W3CDTF">2021-10-01T20:25:08Z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sl">
    <vt:lpwstr>infectio.csl</vt:lpwstr>
  </property>
  <property fmtid="{D5CDD505-2E9C-101B-9397-08002B2CF9AE}" pid="6" name="css">
    <vt:lpwstr>./www/style.css</vt:lpwstr>
  </property>
  <property fmtid="{D5CDD505-2E9C-101B-9397-08002B2CF9AE}" pid="7" name="date">
    <vt:lpwstr>24 de septiembre de 2021</vt:lpwstr>
  </property>
  <property fmtid="{D5CDD505-2E9C-101B-9397-08002B2CF9AE}" pid="8" name="documentclass">
    <vt:lpwstr>book</vt:lpwstr>
  </property>
  <property fmtid="{D5CDD505-2E9C-101B-9397-08002B2CF9AE}" pid="9" name="encoding">
    <vt:lpwstr>UTF-8</vt:lpwstr>
  </property>
  <property fmtid="{D5CDD505-2E9C-101B-9397-08002B2CF9AE}" pid="10" name="institution">
    <vt:lpwstr>Fondo Nacional de Estupefacientes</vt:lpwstr>
  </property>
  <property fmtid="{D5CDD505-2E9C-101B-9397-08002B2CF9AE}" pid="11" name="link-citations">
    <vt:lpwstr>yes</vt:lpwstr>
  </property>
  <property fmtid="{D5CDD505-2E9C-101B-9397-08002B2CF9AE}" pid="12" name="output">
    <vt:lpwstr/>
  </property>
  <property fmtid="{D5CDD505-2E9C-101B-9397-08002B2CF9AE}" pid="13" name="site">
    <vt:lpwstr>bookdown::bookdown_site</vt:lpwstr>
  </property>
  <property fmtid="{D5CDD505-2E9C-101B-9397-08002B2CF9AE}" pid="14" name="toc-title">
    <vt:lpwstr>Tabla de Contenidos</vt:lpwstr>
  </property>
</Properties>
</file>