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2.png" ContentType="image/png"/>
  <Override PartName="/word/media/rId89.png" ContentType="image/png"/>
  <Override PartName="/word/media/rId159.png" ContentType="image/png"/>
  <Override PartName="/word/media/rId130.png" ContentType="image/png"/>
  <Override PartName="/word/media/rId105.png" ContentType="image/png"/>
  <Override PartName="/word/media/rId178.png" ContentType="image/png"/>
  <Override PartName="/word/media/rId140.png" ContentType="image/png"/>
  <Override PartName="/word/media/rId65.png" ContentType="image/png"/>
  <Override PartName="/word/media/rId181.png" ContentType="image/png"/>
  <Override PartName="/word/media/rId126.png" ContentType="image/png"/>
  <Override PartName="/word/media/rId127.png" ContentType="image/png"/>
  <Override PartName="/word/media/rId109.png" ContentType="image/png"/>
  <Override PartName="/word/media/rId117.png" ContentType="image/png"/>
  <Override PartName="/word/media/rId156.png" ContentType="image/png"/>
  <Override PartName="/word/media/rId149.png" ContentType="image/png"/>
  <Override PartName="/word/media/rId119.png" ContentType="image/png"/>
  <Override PartName="/word/media/rId188.png" ContentType="image/png"/>
  <Override PartName="/word/media/rId196.png" ContentType="image/png"/>
  <Override PartName="/word/media/rId114.png" ContentType="image/png"/>
  <Override PartName="/word/media/rId219.png" ContentType="image/png"/>
  <Override PartName="/word/media/rId191.png" ContentType="image/png"/>
  <Override PartName="/word/media/rId43.png" ContentType="image/png"/>
  <Override PartName="/word/media/rId45.png" ContentType="image/png"/>
  <Override PartName="/word/media/rId142.png" ContentType="image/png"/>
  <Override PartName="/word/media/rId96.png" ContentType="image/png"/>
  <Override PartName="/word/media/rId146.png" ContentType="image/png"/>
  <Override PartName="/word/media/rId103.png" ContentType="image/png"/>
  <Override PartName="/word/media/rId176.png" ContentType="image/png"/>
  <Override PartName="/word/media/rId151.png" ContentType="image/png"/>
  <Override PartName="/word/media/rId185.png" ContentType="image/png"/>
  <Override PartName="/word/media/rId48.png" ContentType="image/png"/>
  <Override PartName="/word/media/rId50.png" ContentType="image/png"/>
  <Override PartName="/word/media/rId68.png" ContentType="image/png"/>
  <Override PartName="/word/media/rId153.png" ContentType="image/png"/>
  <Override PartName="/word/media/rId174.png" ContentType="image/png"/>
  <Override PartName="/word/media/rId154.png" ContentType="image/png"/>
  <Override PartName="/word/media/rId207.png" ContentType="image/png"/>
  <Override PartName="/word/media/rId81.png" ContentType="image/png"/>
  <Override PartName="/word/media/rId183.png" ContentType="image/png"/>
  <Override PartName="/word/media/rId216.png" ContentType="image/png"/>
  <Override PartName="/word/media/rId91.png" ContentType="image/png"/>
  <Override PartName="/word/media/rId94.png" ContentType="image/png"/>
  <Override PartName="/word/media/rId86.png" ContentType="image/png"/>
  <Override PartName="/word/media/rId202.png" ContentType="image/png"/>
  <Override PartName="/word/media/rId200.png" ContentType="image/png"/>
  <Override PartName="/word/media/rId209.png" ContentType="image/png"/>
  <Override PartName="/word/media/rId133.png" ContentType="image/png"/>
  <Override PartName="/word/media/rId136.png" ContentType="image/png"/>
  <Override PartName="/word/media/rId163.png" ContentType="image/png"/>
  <Override PartName="/word/media/rId122.png" ContentType="image/png"/>
  <Override PartName="/word/media/rId168.png" ContentType="image/png"/>
  <Override PartName="/word/media/rId62.png" ContentType="image/png"/>
  <Override PartName="/word/media/rId60.png" ContentType="image/png"/>
  <Override PartName="/word/media/rId100.png" ContentType="image/png"/>
  <Override PartName="/word/media/rId53.png" ContentType="image/png"/>
  <Override PartName="/word/media/rId56.png" ContentType="image/png"/>
  <Override PartName="/word/media/rId36.png" ContentType="image/png"/>
  <Override PartName="/word/media/rId38.png" ContentType="image/png"/>
  <Override PartName="/word/media/rId40.png" ContentType="image/png"/>
  <Override PartName="/word/media/rId72.png" ContentType="image/png"/>
  <Override PartName="/word/media/rId29.png" ContentType="image/png"/>
  <Override PartName="/word/media/rId30.png" ContentType="image/png"/>
  <Override PartName="/word/media/rId27.png" ContentType="image/png"/>
  <Override PartName="/word/media/rId32.png" ContentType="image/png"/>
  <Override PartName="/word/media/rId166.png" ContentType="image/png"/>
  <Override PartName="/word/media/rId170.png" ContentType="image/png"/>
  <Override PartName="/word/media/rId24.png" ContentType="image/png"/>
  <Override PartName="/word/media/rId77.png" ContentType="image/png"/>
  <Override PartName="/word/media/rId198.png" ContentType="image/png"/>
  <Override PartName="/word/media/rId205.png" ContentType="image/png"/>
  <Override PartName="/word/media/rId74.jpg" ContentType="image/jpeg"/>
  <Override PartName="/word/media/rId8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En los últimos años, la planeación de las cantidades de medicamentos monopolio del Estado (MME) para satisfacer la demanda en los entes territoriales se ha visto afectada por:</w:t>
      </w:r>
    </w:p>
    <w:p>
      <w:pPr>
        <w:numPr>
          <w:ilvl w:val="0"/>
          <w:numId w:val="1001"/>
        </w:numPr>
      </w:pPr>
      <w:r>
        <w:t xml:space="preserve">La variabilidad en el incremento o disminución de la distribución y necesidad de MME.</w:t>
      </w:r>
    </w:p>
    <w:p>
      <w:pPr>
        <w:numPr>
          <w:ilvl w:val="0"/>
          <w:numId w:val="1001"/>
        </w:numPr>
      </w:pPr>
      <w:r>
        <w:t xml:space="preserve">La participación en las guías de tratamiento farmacológico de cada uno de estos medicamentos y que se ve afectada por las diferentes recomendaciones internacionales.</w:t>
      </w:r>
    </w:p>
    <w:p>
      <w:pPr>
        <w:numPr>
          <w:ilvl w:val="0"/>
          <w:numId w:val="1001"/>
        </w:numPr>
      </w:pPr>
      <w:r>
        <w:t xml:space="preserve">La calidad de la información de disponibilidad remitida por los FRE.</w:t>
      </w:r>
    </w:p>
    <w:p>
      <w:pPr>
        <w:numPr>
          <w:ilvl w:val="0"/>
          <w:numId w:val="1001"/>
        </w:numPr>
      </w:pPr>
      <w:r>
        <w:t xml:space="preserve">Las diferentes barreras administrativas de índole territorial que impactan en el acceso de estos medicamentos por parte de los pacientes.</w:t>
      </w:r>
    </w:p>
    <w:p>
      <w:pPr>
        <w:pStyle w:val="FirstParagraph"/>
      </w:pPr>
      <w:r>
        <w:t xml:space="preserve">Por consiguiente, el desarrollo de este proyecto se enmarca en una estrategia integral con el fin de contribuir a mejorar la calidad de la atención de los pacientes y a la salud pública del país, garantizando el acceso, disponibilidad y uso racional de los medicamentos de control especial y MME.</w:t>
      </w:r>
    </w:p>
    <w:p>
      <w:pPr>
        <w:pStyle w:val="BodyText"/>
      </w:pPr>
      <w:r>
        <w:t xml:space="preserve">El proyecto tiene como producto entregable una fuente de información caracterizada y consolidada para el desarrollo del Recetario Oficial Electrónico (ROE), de tal manera que se determine el rol del FNE, FRE y las IPS para fortalecer el seguimiento a las prescripciones de medicamentos monopolio del Estado, encaminados al uso racional de estos medicamentos en todo el territorio nacional y una fuente de información caracterizada y consolidada para el desarrollo de una herramienta que permita estandarizar los procesos de proyección de compra y el seguimiento de inventarios de MME por parte de los entes territoriales, de tal manera que se mitigue el riesgo de desabastecimiento mediante la gestión de inventarios acorde a las necesidades de la población.</w:t>
      </w:r>
    </w:p>
    <w:p>
      <w:pPr>
        <w:pStyle w:val="BodyText"/>
      </w:pPr>
      <w:r>
        <w:t xml:space="preserve">El trabajo territorial es una experiencia de aprendizaje recíproco y constante. Dentro de las Jornadas de inmersión territorial se observó, no solamente las condiciones actuales en la que se encuentran los FRE alrededor de la nación, sino el entusiasmo con la que los funcionarios se interesan por el bienestar y la salud pública de su región, aún cuando se presentan diferentes adversidades y vicisitudes en sus departamentos.</w:t>
      </w:r>
    </w:p>
    <w:p>
      <w:pPr>
        <w:pStyle w:val="BodyText"/>
      </w:pPr>
      <w:r>
        <w:t xml:space="preserve">Agradecemos a cada referente de cada FRE y a cada funcionario de apoyo, por tan acogedor recibimiento del que hicieron partícipe al equipo territorial del Proyecto de Inversión 1901, reafirmando que parte de la belleza de Colombia es la calidez y amabilidad de sus habitantes. También queremos agradecer al FNE y a su íntegro equipo, coordinadores y apoyos territoriales, por brindarnos todos los recursos, herramientas y ser una guía para llevar a cabo el proceso de investigación.</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todo el país.</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w:t>
      </w:r>
    </w:p>
    <w:p>
      <w:pPr>
        <w:pStyle w:val="BodyText"/>
      </w:pPr>
      <w:r>
        <w:t xml:space="preserve">Este proceso de inmersión territorial se desarrolló entre los meses de abril y septiembre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2"/>
        </w:numPr>
      </w:pPr>
      <w:r>
        <w:t xml:space="preserve">Caracterizar el proceso de prescripción, dispensación y uso de MME, identificando la información relacionada con el tipo de prescriptores y requisitos normativos.</w:t>
      </w:r>
    </w:p>
    <w:p>
      <w:pPr>
        <w:numPr>
          <w:ilvl w:val="0"/>
          <w:numId w:val="1002"/>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2"/>
        </w:numPr>
      </w:pPr>
      <w:r>
        <w:t xml:space="preserve">Estandarizar el proceso de proyección de compra de MME por parte de los FRE.</w:t>
      </w:r>
    </w:p>
    <w:p>
      <w:pPr>
        <w:numPr>
          <w:ilvl w:val="0"/>
          <w:numId w:val="1002"/>
        </w:numPr>
      </w:pPr>
      <w:r>
        <w:t xml:space="preserve">Caracterizar las condiciones de recepción técnica, almacenamiento, distribución y consumo de los MME en todo el territorio nacional.</w:t>
      </w:r>
    </w:p>
    <w:p>
      <w:pPr>
        <w:numPr>
          <w:ilvl w:val="0"/>
          <w:numId w:val="1002"/>
        </w:numPr>
      </w:pPr>
      <w:r>
        <w:t xml:space="preserve">Recopilar la información asociada con la consolidación de la información y seguimiento al consumo de estos medicamentos en cada una de las IPS en el departamento.</w:t>
      </w:r>
    </w:p>
    <w:p>
      <w:pPr>
        <w:numPr>
          <w:ilvl w:val="0"/>
          <w:numId w:val="1002"/>
        </w:numPr>
      </w:pPr>
      <w:r>
        <w:t xml:space="preserve">Definir e identificar el proceso mediante el cual se hace el manejo de almacenamiento e inventarios de MME por parte de cada FRE.</w:t>
      </w:r>
    </w:p>
    <w:p>
      <w:pPr>
        <w:numPr>
          <w:ilvl w:val="0"/>
          <w:numId w:val="1002"/>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del FNE, tiene entre sus funciones:</w:t>
      </w:r>
    </w:p>
    <w:p>
      <w:pPr>
        <w:numPr>
          <w:ilvl w:val="0"/>
          <w:numId w:val="1003"/>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3"/>
        </w:numPr>
      </w:pPr>
      <w:r>
        <w:t xml:space="preserve">Preparar y presentar el reporte de los informes de consumo de medicamentos monopolio del Estado desagregado por departamentos y consolidado nacional.</w:t>
      </w:r>
    </w:p>
    <w:p>
      <w:pPr>
        <w:numPr>
          <w:ilvl w:val="0"/>
          <w:numId w:val="1003"/>
        </w:numPr>
      </w:pPr>
      <w:r>
        <w:t xml:space="preserve">Mantener el control de las existencias de las materias primas y de los medicamentos monopolio del Estado a nivel nacional, garantizando su disponibilidad permanente.</w:t>
      </w:r>
    </w:p>
    <w:p>
      <w:pPr>
        <w:numPr>
          <w:ilvl w:val="0"/>
          <w:numId w:val="1003"/>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4"/>
        </w:numPr>
      </w:pPr>
      <w:r>
        <w:t xml:space="preserve">La variabilidad en el incremento o disminución de la distribución y necesidad de medicamentos monopolio del Estado.</w:t>
      </w:r>
    </w:p>
    <w:p>
      <w:pPr>
        <w:numPr>
          <w:ilvl w:val="0"/>
          <w:numId w:val="1004"/>
        </w:numPr>
      </w:pPr>
      <w:r>
        <w:t xml:space="preserve">La participación en las guías de tratamiento farmacológico de cada uno de estos medicamentos y que se ve afectada por las diferentes recomendaciones internacionales.</w:t>
      </w:r>
    </w:p>
    <w:p>
      <w:pPr>
        <w:numPr>
          <w:ilvl w:val="0"/>
          <w:numId w:val="1004"/>
        </w:numPr>
      </w:pPr>
      <w:r>
        <w:t xml:space="preserve">La calidad de la información de disponibilidad remitida por los FRE.</w:t>
      </w:r>
    </w:p>
    <w:p>
      <w:pPr>
        <w:numPr>
          <w:ilvl w:val="0"/>
          <w:numId w:val="1004"/>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5"/>
        </w:numPr>
      </w:pPr>
      <w:r>
        <w:t xml:space="preserve">Promoción y Prevención de enfermedades: incluye vacunación y la política de atención Integral en Salud.</w:t>
      </w:r>
    </w:p>
    <w:p>
      <w:pPr>
        <w:numPr>
          <w:ilvl w:val="0"/>
          <w:numId w:val="1005"/>
        </w:numPr>
      </w:pPr>
      <w:r>
        <w:t xml:space="preserve">Gestión de promoción social: incluye el acceso a servicios de asistencia y promoción social a poblaciones vulnerables.</w:t>
      </w:r>
    </w:p>
    <w:p>
      <w:pPr>
        <w:numPr>
          <w:ilvl w:val="0"/>
          <w:numId w:val="1005"/>
        </w:numPr>
      </w:pPr>
      <w:r>
        <w:t xml:space="preserve">Gestión de epidemiología y demografía.</w:t>
      </w:r>
    </w:p>
    <w:p>
      <w:pPr>
        <w:numPr>
          <w:ilvl w:val="0"/>
          <w:numId w:val="1005"/>
        </w:numPr>
      </w:pPr>
      <w:r>
        <w:t xml:space="preserve">Gestión de la prestación de servicios: incluye las redes de salud, política nacional de calidad en la infraestructura en salud.</w:t>
      </w:r>
    </w:p>
    <w:p>
      <w:pPr>
        <w:numPr>
          <w:ilvl w:val="0"/>
          <w:numId w:val="1005"/>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6"/>
        </w:numPr>
      </w:pPr>
      <w:r>
        <w:t xml:space="preserve">Pacientes y usuarios de los servicios de salud.</w:t>
      </w:r>
    </w:p>
    <w:p>
      <w:pPr>
        <w:numPr>
          <w:ilvl w:val="0"/>
          <w:numId w:val="1006"/>
        </w:numPr>
      </w:pPr>
      <w:r>
        <w:t xml:space="preserve">Ciudadanos colombianos, los cuales podrán contar con servicios más oportunos y más acceso a las tecnologías en salud.</w:t>
      </w:r>
    </w:p>
    <w:p>
      <w:pPr>
        <w:numPr>
          <w:ilvl w:val="0"/>
          <w:numId w:val="1006"/>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7"/>
        </w:numPr>
      </w:pPr>
      <w:r>
        <w:t xml:space="preserve">Caracterizar el proceso de prescripción, dispensación y uso de MME, identificando la información relacionada con el tipo de prescriptores, requisitos normativos etc.</w:t>
      </w:r>
    </w:p>
    <w:p>
      <w:pPr>
        <w:numPr>
          <w:ilvl w:val="0"/>
          <w:numId w:val="1007"/>
        </w:numPr>
      </w:pPr>
      <w:r>
        <w:t xml:space="preserve">Analizar la información de los recetarios oficiales que reposan en los FRE.</w:t>
      </w:r>
    </w:p>
    <w:p>
      <w:pPr>
        <w:numPr>
          <w:ilvl w:val="0"/>
          <w:numId w:val="1007"/>
        </w:numPr>
      </w:pPr>
      <w:r>
        <w:t xml:space="preserve">Recopilar la información asociada a los recetarios oficiales a partir de los recetarios físicos en los FRE.</w:t>
      </w:r>
    </w:p>
    <w:p>
      <w:pPr>
        <w:numPr>
          <w:ilvl w:val="0"/>
          <w:numId w:val="1007"/>
        </w:numPr>
      </w:pPr>
      <w:r>
        <w:t xml:space="preserve">Definir e identificar la información asociada con los recetarios oficiales, lo cual será insumo en la parametrización del Recetario Oficial Electrónico (ROE).</w:t>
      </w:r>
    </w:p>
    <w:p>
      <w:pPr>
        <w:numPr>
          <w:ilvl w:val="0"/>
          <w:numId w:val="1007"/>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8"/>
        </w:numPr>
      </w:pPr>
      <w:r>
        <w:t xml:space="preserve">Estandarizar el proceso de proyección de compra de MME por parte de los FRE.</w:t>
      </w:r>
    </w:p>
    <w:p>
      <w:pPr>
        <w:numPr>
          <w:ilvl w:val="0"/>
          <w:numId w:val="1008"/>
        </w:numPr>
      </w:pPr>
      <w:r>
        <w:t xml:space="preserve">Caracterizar las condiciones de recepción técnica, almacenamiento, distribución y consumo de los MME en todo el territorio nacional.</w:t>
      </w:r>
    </w:p>
    <w:p>
      <w:pPr>
        <w:numPr>
          <w:ilvl w:val="0"/>
          <w:numId w:val="1008"/>
        </w:numPr>
      </w:pPr>
      <w:r>
        <w:t xml:space="preserve">Recopilar la información asociada con la consolidación de la información y seguimiento al consumo de estos medicamentos en cada una de las IPS en el departamento.</w:t>
      </w:r>
    </w:p>
    <w:p>
      <w:pPr>
        <w:numPr>
          <w:ilvl w:val="0"/>
          <w:numId w:val="1008"/>
        </w:numPr>
      </w:pPr>
      <w:r>
        <w:t xml:space="preserve">Definir e identificar el proceso mediante el cual se hace el manejo de inventarios de MME por parte del FRE.</w:t>
      </w:r>
    </w:p>
    <w:p>
      <w:pPr>
        <w:numPr>
          <w:ilvl w:val="0"/>
          <w:numId w:val="1008"/>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52"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2</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2</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9"/>
        </w:numPr>
        <w:pStyle w:val="Compact"/>
      </w:pPr>
      <w:r>
        <w:t xml:space="preserve">Ordenanzas</w:t>
      </w:r>
    </w:p>
    <w:p>
      <w:pPr>
        <w:numPr>
          <w:ilvl w:val="0"/>
          <w:numId w:val="1009"/>
        </w:numPr>
        <w:pStyle w:val="Compact"/>
      </w:pPr>
      <w:r>
        <w:t xml:space="preserve">Resoluciones</w:t>
      </w:r>
    </w:p>
    <w:p>
      <w:pPr>
        <w:numPr>
          <w:ilvl w:val="0"/>
          <w:numId w:val="1009"/>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3</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w:t>
      </w:r>
      <w:hyperlink w:anchor="ref-CongresodelaRepublicadeColombia1986">
        <w:r>
          <w:rPr>
            <w:rStyle w:val="Hyperlink"/>
            <w:vertAlign w:val="superscript"/>
          </w:rPr>
          <w:t xml:space="preserve">4</w:t>
        </w:r>
      </w:hyperlink>
      <w:r>
        <w:t xml:space="preserve"> </w:t>
      </w:r>
      <w:r>
        <w:t xml:space="preserve">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w:t>
      </w:r>
      <w:hyperlink w:anchor="ref-CongresodelaRepublicadeColombia1986">
        <w:r>
          <w:rPr>
            <w:rStyle w:val="Hyperlink"/>
            <w:vertAlign w:val="superscript"/>
          </w:rPr>
          <w:t xml:space="preserve">4</w:t>
        </w:r>
      </w:hyperlink>
      <w:r>
        <w:t xml:space="preserve">.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26670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5</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1</w:t>
        </w:r>
      </w:hyperlink>
      <w:r>
        <w:t xml:space="preserve"> </w:t>
      </w:r>
      <w:r>
        <w:t xml:space="preserve">y Resolución 1479 del 2006</w:t>
      </w:r>
      <w:hyperlink w:anchor="ref-MSPS1479-2006">
        <w:r>
          <w:rPr>
            <w:rStyle w:val="Hyperlink"/>
            <w:vertAlign w:val="superscript"/>
          </w:rPr>
          <w:t xml:space="preserve">2</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10"/>
        </w:numPr>
      </w:pPr>
      <w:r>
        <w:t xml:space="preserve">De acuerdo con sí la persona era la encargada del FRE o un apoyo del(a) encargado(a).</w:t>
      </w:r>
    </w:p>
    <w:p>
      <w:pPr>
        <w:numPr>
          <w:ilvl w:val="0"/>
          <w:numId w:val="1010"/>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2</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26670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2</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2</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A) Conteo de FRE por número de personas. (B) Mapa con número de personas por departamento."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 (A) Conteo de FRE por número de personas. (B) Mapa con número de personas por departamento.</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6</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6</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BodyText"/>
      </w:pPr>
      <w:r>
        <w:t xml:space="preserve">En la Figura</w:t>
      </w:r>
      <w:r>
        <w:t xml:space="preserve"> </w:t>
      </w:r>
      <w:r>
        <w:t xml:space="preserve">4.8</w:t>
      </w:r>
      <w:r>
        <w:t xml:space="preserve"> </w:t>
      </w:r>
      <w:r>
        <w:t xml:space="preserve">se puede determinar una relación directa entre la cantidad de instituciones inscritas y variables relacionadas a la demografía de cada departamento. Lo anterior se explica con la densidad demográfica del departamento y la necesidad de servicios de atención en salud cada vez más complejos. En teoría, los FRE con mayor número de inscritos de mayor complejidad, deberían estar mucho más desarrollados para atender la necesidad de MME de su territorio. Como es el caso del FRE Antioquia, cuyo departamento presenta un alto número de establecimientos inscritos y un nivel de complejidad alta en las instituciones, aumentando proporcionalmente el consumo de MME.</w:t>
      </w:r>
    </w:p>
    <w:p>
      <w:pPr>
        <w:pStyle w:val="CaptionedFigure"/>
      </w:pPr>
      <w:r>
        <w:drawing>
          <wp:inline>
            <wp:extent cx="5334000" cy="2133600"/>
            <wp:effectExtent b="0" l="0" r="0" t="0"/>
            <wp:docPr descr="Figura 4.8: Relación entre N.° de instituciones inscritas en el FRE y: (A) tamaño de la población en el departamento o (B) N.° de camas de acuerdo a REPS."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en el FRE y: (A) tamaño de la población en el departamento o (B) N.° de camas de acuerdo a REPS.</w:t>
      </w:r>
    </w:p>
    <w:p>
      <w:pPr>
        <w:pStyle w:val="BodyText"/>
      </w:pPr>
      <w:r>
        <w:t xml:space="preserve">En la Figura</w:t>
      </w:r>
      <w:r>
        <w:t xml:space="preserve"> </w:t>
      </w:r>
      <w:r>
        <w:t xml:space="preserve">4.8</w:t>
      </w:r>
      <w:r>
        <w:t xml:space="preserve">B se encuentra la relación directa entre el N.° de inscritos en el departamento y el número de camas (adultos, intermedio adulto, intensivo adulto, agudo mental, intermedio mental, salud mental), servicios de farmacodependencia y ambulancias medicadas de acuerdo al REPS</w:t>
      </w:r>
      <w:hyperlink w:anchor="Xbb42c6dc2d1342c743e0c6215925805950d2ff4">
        <w:r>
          <w:rPr>
            <w:rStyle w:val="Hyperlink"/>
            <w:vertAlign w:val="superscript"/>
          </w:rPr>
          <w:t xml:space="preserve">7</w:t>
        </w:r>
      </w:hyperlink>
      <w:r>
        <w:t xml:space="preserve"> </w:t>
      </w:r>
      <w:r>
        <w:t xml:space="preserve">presentes en el departamento.</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1</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2</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1"/>
        </w:numPr>
      </w:pPr>
      <w:r>
        <w:t xml:space="preserve">Venta de Medicamentos Monopolio del Estado</w:t>
      </w:r>
    </w:p>
    <w:p>
      <w:pPr>
        <w:numPr>
          <w:ilvl w:val="0"/>
          <w:numId w:val="1011"/>
        </w:numPr>
      </w:pPr>
      <w:r>
        <w:t xml:space="preserve">Venta de Recetarios Oficiales</w:t>
      </w:r>
    </w:p>
    <w:p>
      <w:pPr>
        <w:numPr>
          <w:ilvl w:val="0"/>
          <w:numId w:val="1011"/>
        </w:numPr>
      </w:pPr>
      <w:r>
        <w:t xml:space="preserve">Producción y emisión de actos administrativos pertinentes al manejo de MME</w:t>
      </w:r>
    </w:p>
    <w:p>
      <w:pPr>
        <w:numPr>
          <w:ilvl w:val="0"/>
          <w:numId w:val="1011"/>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En la Figura</w:t>
      </w:r>
      <w:r>
        <w:t xml:space="preserve"> </w:t>
      </w:r>
      <w:r>
        <w:t xml:space="preserve">4.9</w:t>
      </w:r>
      <w:r>
        <w:t xml:space="preserve"> </w:t>
      </w:r>
      <w:r>
        <w:t xml:space="preserve">se observa que una tendencia a que la proporción de ingresos más grande es aquella que reciben los FRE departamentales por la venta de MME. Esto se puede deber a que cada departamento maneja independencia en los precios de venta de estos medicamentos y desde ahí se podría obtener una rentabilidad importante. En el desarrollo del apartado</w:t>
      </w:r>
      <w:r>
        <w:t xml:space="preserve"> </w:t>
      </w:r>
      <w:hyperlink w:anchor="precioMedicamentos">
        <w:r>
          <w:rPr>
            <w:rStyle w:val="Hyperlink"/>
          </w:rPr>
          <w:t xml:space="preserve">6.4 Precio de medicamentos</w:t>
        </w:r>
      </w:hyperlink>
      <w:r>
        <w:t xml:space="preserve"> </w:t>
      </w:r>
      <w:r>
        <w:t xml:space="preserve">del presente informe, se desglosará un análisis más profundo sobre los precios de venta de los MME por departamento, pero a</w:t>
      </w:r>
      <w:r>
        <w:t xml:space="preserve"> </w:t>
      </w:r>
      <w:r>
        <w:rPr>
          <w:iCs/>
          <w:i/>
        </w:rPr>
        <w:t xml:space="preserve">grosso modo</w:t>
      </w:r>
      <w:r>
        <w:t xml:space="preserve"> </w:t>
      </w:r>
      <w:r>
        <w:t xml:space="preserve">se puede notar que el margen es lo suficientemente alto para abarcar el porcentaje mayoritario de ingresos.</w:t>
      </w:r>
    </w:p>
    <w:p>
      <w:pPr>
        <w:pStyle w:val="BodyText"/>
      </w:pPr>
      <w:r>
        <w:t xml:space="preserve">Particularmente, en la Figura</w:t>
      </w:r>
      <w:r>
        <w:t xml:space="preserve"> </w:t>
      </w:r>
      <w:r>
        <w:t xml:space="preserve">4.10</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bookmarkEnd w:id="47"/>
    <w:bookmarkStart w:id="51" w:name="X9fed3cb2f037ff515b666c4522c5d5b8a7ae8a9"/>
    <w:p>
      <w:pPr>
        <w:pStyle w:val="Heading2"/>
      </w:pPr>
      <w:r>
        <w:rPr>
          <w:rStyle w:val="SectionNumber"/>
        </w:rPr>
        <w:t xml:space="preserve">4.5</w:t>
      </w:r>
      <w:r>
        <w:tab/>
      </w:r>
      <w:r>
        <w:t xml:space="preserve">Clasificación de los FRE por nivel de complejidad</w:t>
      </w:r>
    </w:p>
    <w:p>
      <w:pPr>
        <w:pStyle w:val="FirstParagraph"/>
      </w:pPr>
      <w:r>
        <w:t xml:space="preserve">A partir de las visitas técnicas desarrolladas en cada territorio, se lograron observar notorias diferencias entre los FRE departamentales. Esto se podría explicar por las diferencias administrativas y factores demográficos que tiene cada departamento. Esto permite que cada FRE se desenvuelva en determinada forma y esto resulta en el grado de eficiencia que presenta el ente territorial, para el manejo de MME en la región.</w:t>
      </w:r>
    </w:p>
    <w:p>
      <w:pPr>
        <w:pStyle w:val="BodyText"/>
      </w:pPr>
      <w:r>
        <w:t xml:space="preserve">Según lo anterior, se propone una clasificación de los FRE, de acuerdo a su nivel de complejidad, sin el ánimo de juzgar el trabajo desarrollado en cada territorio. Esta sección procura por reconocer y clasificar los FRE en grupos, conforme a sus capacidades actuales y similaridad entre departamentos. Lo anterior con el fin de generar un instrumento que sirva como insumo para la generación de políticas públicas y toma de decisiones relacionadas con el manejo de MME.</w:t>
      </w:r>
    </w:p>
    <w:p>
      <w:pPr>
        <w:pStyle w:val="BodyText"/>
      </w:pPr>
      <w:r>
        <w:t xml:space="preserve">A continuación, se presenta la descripción de las 5 variables definida para la clasificación de los FRE, cuya agrupación contempla el nivel de complejidad del ente territorial:</w:t>
      </w:r>
    </w:p>
    <w:p>
      <w:pPr>
        <w:numPr>
          <w:ilvl w:val="0"/>
          <w:numId w:val="1012"/>
        </w:numPr>
      </w:pPr>
      <w:r>
        <w:t xml:space="preserve">Presupuesto departamento (general y sector salud).</w:t>
      </w:r>
    </w:p>
    <w:p>
      <w:pPr>
        <w:numPr>
          <w:ilvl w:val="0"/>
          <w:numId w:val="1012"/>
        </w:numPr>
      </w:pPr>
      <w:r>
        <w:t xml:space="preserve">Número de instituciones inscritas en el departamento.</w:t>
      </w:r>
    </w:p>
    <w:p>
      <w:pPr>
        <w:numPr>
          <w:ilvl w:val="0"/>
          <w:numId w:val="1012"/>
        </w:numPr>
      </w:pPr>
      <w:r>
        <w:t xml:space="preserve">Proporción de adquisición de MME (proporción de portafolio).</w:t>
      </w:r>
    </w:p>
    <w:p>
      <w:pPr>
        <w:numPr>
          <w:ilvl w:val="0"/>
          <w:numId w:val="1012"/>
        </w:numPr>
      </w:pPr>
      <w:r>
        <w:t xml:space="preserve">Número de compras directas de instituciones en el departamento al FNE (entendidas como una desviación de la cadena de suministro).</w:t>
      </w:r>
    </w:p>
    <w:p>
      <w:pPr>
        <w:numPr>
          <w:ilvl w:val="0"/>
          <w:numId w:val="1012"/>
        </w:numPr>
      </w:pPr>
      <w:r>
        <w:t xml:space="preserve">Proporción de meses con entrega del Anexo 1 de la Resolución 1479 de 2006 (cumplimiento).</w:t>
      </w:r>
    </w:p>
    <w:p>
      <w:pPr>
        <w:numPr>
          <w:ilvl w:val="0"/>
          <w:numId w:val="1012"/>
        </w:numPr>
      </w:pPr>
      <w:r>
        <w:t xml:space="preserve">Proporción de meses con entrega del Anexo 2 de la Resolución 1479 de 2006 (cumplimiento).</w:t>
      </w:r>
    </w:p>
    <w:p>
      <w:pPr>
        <w:pStyle w:val="FirstParagraph"/>
      </w:pPr>
      <w:r>
        <w:t xml:space="preserve">Muchas variables fueron tomadas de forma externa a la encuestas teniendo en cuenta la información disponible en cada una de ellas, con el fin de visualizar el estado actual de cada FRE, considerando distintos factores internos y externos que tienen las entidades territoriales. Esto permite que la distribución y clasificación de los FRE sea más robusta, ya que está contemplando la mayor realidad posible en cada territorio, para el momento de este análisis.</w:t>
      </w:r>
    </w:p>
    <w:p>
      <w:pPr>
        <w:pStyle w:val="BodyText"/>
      </w:pPr>
      <w:r>
        <w:t xml:space="preserve">Es importante resaltar que la complejidad concluida estaría relacionada con la capacidad que tiene el FRE de cumplir con sus funciones y responsabilidades, considerando factores económicos propios del departamento. Un ejemplo ilustrativo corresponde al FRE Córdoba, donde el ente territorial es clasificado en la categoría</w:t>
      </w:r>
      <w:r>
        <w:t xml:space="preserve"> </w:t>
      </w:r>
      <w:r>
        <w:rPr>
          <w:iCs/>
          <w:i/>
        </w:rPr>
        <w:t xml:space="preserve">“</w:t>
      </w:r>
      <w:r>
        <w:rPr>
          <w:iCs/>
          <w:i/>
        </w:rPr>
        <w:t xml:space="preserve">FRE altamente consolidado</w:t>
      </w:r>
      <w:r>
        <w:rPr>
          <w:iCs/>
          <w:i/>
        </w:rPr>
        <w:t xml:space="preserve">”</w:t>
      </w:r>
      <w:r>
        <w:t xml:space="preserve">. A pesar de esta clasificación, el rubro económico destinado para temas de salud en este departamento es relativamente bajo, sin embargo, el personal del FRE procura realizar una buena gestión estos recursos para el adecuado manejo de MME y recetarios oficiales.</w:t>
      </w:r>
    </w:p>
    <w:p>
      <w:pPr>
        <w:pStyle w:val="BodyText"/>
      </w:pPr>
      <w:r>
        <w:t xml:space="preserve">En primer lugar, la variable de presupuesto y número de inscritos, refleja la asignación de recurso económico en cada región para la partida presupuestal de los temas en salud de cada territorio. Esto entendiéndose como un condicionante de la capacidad que tienen los FRE para disponer de infraestructura tecnológica y recurso humano suficiente, para cumplir todas sus funciones como ente territorial. Adicionalmente, el número de inscritos en cada territorio muestra la complejidad de la oferta y demanda en cada región, la cual debe satisfacer la gestión del FRE.</w:t>
      </w:r>
    </w:p>
    <w:p>
      <w:pPr>
        <w:pStyle w:val="BodyText"/>
      </w:pPr>
      <w:r>
        <w:t xml:space="preserve">La variable referente a la proporción de adquisición de MME, indica la proporción de medicamentos ofertados por el FRE en su territorio, de acuerdo con el portafolio general de MME presentado por el FNE. A partir de esto, se determina de manera indirecta, la capacidad de manejo de portafolio que tiene un FRE. Esta capacidad de manejo está relacionada con las condiciones de almacenamiento, infraestructura física y recurso humano disponible en el ente territorial.</w:t>
      </w:r>
    </w:p>
    <w:p>
      <w:pPr>
        <w:pStyle w:val="BodyText"/>
      </w:pPr>
      <w:r>
        <w:t xml:space="preserve">Otra variable importante en este análisis es la variable referente a cantidad de compras directas al FNE. Esta información refleja el número de compras que realizaron las instituciones inscritas en cada territorio con el FNE, debido al desabastecimiento de MME en su respectivo departamento. Esto podría ser causa de una proyección de compra de MME inapropiada, por parte del FRE, cuyo proceso está directamente relacionado con los anexos técnicos de distribución y consumo que son presentados mensualmente.</w:t>
      </w:r>
    </w:p>
    <w:p>
      <w:pPr>
        <w:pStyle w:val="BodyText"/>
      </w:pPr>
      <w:r>
        <w:t xml:space="preserve">Finalmente, las variables relacionadas con el cumplimiento de entrega del Anexo 1 y Anexo 2 de la Resolución 1479 de 2006</w:t>
      </w:r>
      <w:hyperlink w:anchor="ref-MSPS1479-2006">
        <w:r>
          <w:rPr>
            <w:rStyle w:val="Hyperlink"/>
            <w:vertAlign w:val="superscript"/>
          </w:rPr>
          <w:t xml:space="preserve">2</w:t>
        </w:r>
      </w:hyperlink>
      <w:r>
        <w:t xml:space="preserve">, fueron incluidas en esta clasificación, ya que inciden en gran proporción en la proyección de adquisición de MME para satisfacer las necesidades del territorio. La consolidación de la información dispuesta en estos anexos se relaciona directamente con la cantidad de personas vinculadas al FRE, cuyo factor muestra la capacidad de recurso humano en cada FRE.</w:t>
      </w:r>
    </w:p>
    <w:p>
      <w:pPr>
        <w:pStyle w:val="BodyText"/>
      </w:pPr>
      <w:r>
        <w:t xml:space="preserve">Para ilustrar el comportamiento de los FRE respecto a las variables seleccionadas se realizó un análisis de componentes principales (PCA,</w:t>
      </w:r>
      <w:r>
        <w:t xml:space="preserve"> </w:t>
      </w:r>
      <w:r>
        <w:rPr>
          <w:iCs/>
          <w:i/>
        </w:rPr>
        <w:t xml:space="preserve">Principal Component Analysis</w:t>
      </w:r>
      <w:r>
        <w:t xml:space="preserve">). La Figura</w:t>
      </w:r>
      <w:r>
        <w:t xml:space="preserve"> </w:t>
      </w:r>
      <w:r>
        <w:t xml:space="preserve">4.11</w:t>
      </w:r>
      <w:r>
        <w:t xml:space="preserve"> </w:t>
      </w:r>
      <w:r>
        <w:t xml:space="preserve">muestra el comportamiento de las 5 variables definidas para este análisis respecto a los componentes principales. En primer lugar, se puede determinar que las variables más próximas en el plano del componente 1 (PC1), presentan la mayor variabilidad entre los FRE, seguido por aquellas ubicadas cerca del plano del componente 2 (PC2). Las variables de monto presupuestal (general y salud), así como número de inscritos y en cierta medida la proporción del portafolio tienen un alta correlación entre sí por lo cual presentan una proyección cercana entre sí.</w:t>
      </w:r>
    </w:p>
    <w:p>
      <w:pPr>
        <w:pStyle w:val="CaptionedFigure"/>
      </w:pPr>
      <w:r>
        <w:drawing>
          <wp:inline>
            <wp:extent cx="5334000" cy="2667000"/>
            <wp:effectExtent b="0" l="0" r="0" t="0"/>
            <wp:docPr descr="Figura 4.11: Variables involucradas en la construcción de los componentes principales" title="" id="1" name="Picture"/>
            <a:graphic>
              <a:graphicData uri="http://schemas.openxmlformats.org/drawingml/2006/picture">
                <pic:pic>
                  <pic:nvPicPr>
                    <pic:cNvPr descr="InformeFinal_files/figure-docx/PCA1-1.png" id="0" name="Picture"/>
                    <pic:cNvPicPr>
                      <a:picLocks noChangeArrowheads="1" noChangeAspect="1"/>
                    </pic:cNvPicPr>
                  </pic:nvPicPr>
                  <pic:blipFill>
                    <a:blip r:embed="rId4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49" w:name="fig10"/>
      <w:r>
        <w:t xml:space="preserve">Figure </w:t>
      </w:r>
      <w:fldSimple w:instr="SEQ Figure \* ARABIC ">
        <w:r>
          <w:t>10</w:t>
        </w:r>
      </w:fldSimple>
      <w:r>
        <w:t xml:space="preserve">:</w:t>
      </w:r>
      <w:r>
        <w:t xml:space="preserve"> </w:t>
      </w:r>
      <w:bookmarkEnd w:id="49"/>
      <w:r>
        <w:t xml:space="preserve">Figura 4.11: Variables involucradas en la construcción de los componentes principales</w:t>
      </w:r>
    </w:p>
    <w:p>
      <w:pPr>
        <w:pStyle w:val="BodyText"/>
      </w:pPr>
      <w:r>
        <w:t xml:space="preserve">Por el contrario, las variables más dispersas en el plano presentado en la Figura</w:t>
      </w:r>
      <w:r>
        <w:t xml:space="preserve"> </w:t>
      </w:r>
      <w:r>
        <w:t xml:space="preserve">4.11</w:t>
      </w:r>
      <w:r>
        <w:t xml:space="preserve">, no guardan relación entre sí, por lo tanto, estas variables tienen información importante para realizar la clasificación de los FRE. En este orden de ideas, la variable referente a la consolidación del anexo 2 en los FRE no mantiene una relación directa con el número de compras directas que haya hecho el departamento o con la variable del portafolio que ofrecen los FRE.</w:t>
      </w:r>
      <w:r>
        <w:t xml:space="preserve"> </w:t>
      </w:r>
      <w:r>
        <w:t xml:space="preserve">Se realizó un análisis de agrupación (</w:t>
      </w:r>
      <w:r>
        <w:rPr>
          <w:iCs/>
          <w:i/>
        </w:rPr>
        <w:t xml:space="preserve">cluster</w:t>
      </w:r>
      <w:r>
        <w:t xml:space="preserve">) jerárquico mediante el algoritmo de Ward en el software R. Se seleccionaron 5 grupos de acuerdo al análisis mediante un criterio de</w:t>
      </w:r>
      <w:r>
        <w:t xml:space="preserve"> </w:t>
      </w:r>
      <w:r>
        <w:rPr>
          <w:iCs/>
          <w:i/>
        </w:rPr>
        <w:t xml:space="preserve">codo</w:t>
      </w:r>
      <w:r>
        <w:t xml:space="preserve">. A partir de la descripción anterior, la clasificación según la complejidad de los FRE, resultó como aparece en la Figura</w:t>
      </w:r>
      <w:r>
        <w:t xml:space="preserve"> </w:t>
      </w:r>
      <w:r>
        <w:t xml:space="preserve">4.12</w:t>
      </w:r>
      <w:r>
        <w:t xml:space="preserve">.</w:t>
      </w:r>
    </w:p>
    <w:p>
      <w:pPr>
        <w:pStyle w:val="BodyText"/>
      </w:pPr>
      <w:r>
        <w:drawing>
          <wp:inline>
            <wp:extent cx="5334000" cy="4000500"/>
            <wp:effectExtent b="0" l="0" r="0" t="0"/>
            <wp:docPr descr="Figura 4.12: Clasificación de los FRE en grupos de acuerdo a análisis por clúster" title="" id="1" name="Picture"/>
            <a:graphic>
              <a:graphicData uri="http://schemas.openxmlformats.org/drawingml/2006/picture">
                <pic:pic>
                  <pic:nvPicPr>
                    <pic:cNvPr descr="InformeFinal_files/figure-docx/PCA1-2-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Luego de un análisis multivariado en el software R, se definieron varios parámetros a tomar en cuenta para esta clasificación. Según los datos obtenidos por las 5 variables en cada departamento, se lograron agrupar los FRE en 3 categorías, las cuales serán descritas a continuación:</w:t>
      </w:r>
    </w:p>
    <w:p>
      <w:pPr>
        <w:numPr>
          <w:ilvl w:val="0"/>
          <w:numId w:val="1013"/>
        </w:numPr>
      </w:pPr>
      <w:r>
        <w:t xml:space="preserve">FRE suficientemente consolidado (Verde)</w:t>
      </w:r>
    </w:p>
    <w:p>
      <w:pPr>
        <w:numPr>
          <w:ilvl w:val="0"/>
          <w:numId w:val="1013"/>
        </w:numPr>
      </w:pPr>
      <w:r>
        <w:t xml:space="preserve">FRE medianamente consolidado (Azul)</w:t>
      </w:r>
    </w:p>
    <w:p>
      <w:pPr>
        <w:numPr>
          <w:ilvl w:val="0"/>
          <w:numId w:val="1013"/>
        </w:numPr>
      </w:pPr>
      <w:r>
        <w:t xml:space="preserve">FRE en proceso de consolidación (Rojo)</w:t>
      </w:r>
    </w:p>
    <w:p>
      <w:pPr>
        <w:pStyle w:val="FirstParagraph"/>
      </w:pPr>
      <w:r>
        <w:t xml:space="preserve">Es preciso resaltar que los FRE Antioquia y Valle del Cauca fueron categorizados como dos categorías distintas, respectivamente. Lo anterior es suscitado por las grandes diferencias en la gestión de MME y la administración departamental, que tienen estos entes territoriales frente a los otros FRE. No obstante, el análisis descriptivo de la Figura</w:t>
      </w:r>
      <w:r>
        <w:t xml:space="preserve"> </w:t>
      </w:r>
      <w:r>
        <w:t xml:space="preserve">4.12</w:t>
      </w:r>
      <w:r>
        <w:t xml:space="preserve">, permite organizar estas agrupaciones en 3 categorías, dejando fuera a estos dos FRE, cuyas capacidades exceden la media de la gestión de los FRE a nivel nacional.</w:t>
      </w:r>
    </w:p>
    <w:p>
      <w:pPr>
        <w:pStyle w:val="BodyText"/>
      </w:pPr>
      <w:r>
        <w:t xml:space="preserve">La categoría</w:t>
      </w:r>
      <w:r>
        <w:t xml:space="preserve"> </w:t>
      </w:r>
      <w:r>
        <w:rPr>
          <w:iCs/>
          <w:i/>
        </w:rPr>
        <w:t xml:space="preserve">“</w:t>
      </w:r>
      <w:r>
        <w:rPr>
          <w:iCs/>
          <w:i/>
        </w:rPr>
        <w:t xml:space="preserve">FRE suficientemente consolidado</w:t>
      </w:r>
      <w:r>
        <w:rPr>
          <w:iCs/>
          <w:i/>
        </w:rPr>
        <w:t xml:space="preserve">”</w:t>
      </w:r>
      <w:r>
        <w:t xml:space="preserve"> </w:t>
      </w:r>
      <w:r>
        <w:t xml:space="preserve">exhibida en color verde en la Figura</w:t>
      </w:r>
      <w:r>
        <w:t xml:space="preserve"> </w:t>
      </w:r>
      <w:r>
        <w:t xml:space="preserve">4.12</w:t>
      </w:r>
      <w:r>
        <w:t xml:space="preserve">, habla de un FRE que tiene capacidades operativas y administrativas suficientes, teniendo en cuenta factores externos como el presupuesto y la complejidad de las instituciones inscritas en su territorio. Sin embargo, existen variables donde se requiere adelantar un trabajo profundo para llegar a tener una gestión ideal como el caso de Antioquia y Valle del cauca, recalcando que también son territorios de alta complejidad. Es necesario aclarar que esta denominación</w:t>
      </w:r>
      <w:r>
        <w:t xml:space="preserve"> </w:t>
      </w:r>
      <w:r>
        <w:t xml:space="preserve">“</w:t>
      </w:r>
      <w:r>
        <w:t xml:space="preserve">altamente consolidado</w:t>
      </w:r>
      <w:r>
        <w:t xml:space="preserve">”</w:t>
      </w:r>
      <w:r>
        <w:t xml:space="preserve"> </w:t>
      </w:r>
      <w:r>
        <w:t xml:space="preserve">está relacionada directamente con las capacidades del departamento, para gestionar sus recursos en salud.</w:t>
      </w:r>
    </w:p>
    <w:p>
      <w:pPr>
        <w:pStyle w:val="BodyText"/>
      </w:pPr>
      <w:r>
        <w:t xml:space="preserve">La categoría</w:t>
      </w:r>
      <w:r>
        <w:t xml:space="preserve"> </w:t>
      </w:r>
      <w:r>
        <w:rPr>
          <w:iCs/>
          <w:i/>
        </w:rPr>
        <w:t xml:space="preserve">“</w:t>
      </w:r>
      <w:r>
        <w:rPr>
          <w:iCs/>
          <w:i/>
        </w:rPr>
        <w:t xml:space="preserve">FRE medianamente consolidado</w:t>
      </w:r>
      <w:r>
        <w:rPr>
          <w:iCs/>
          <w:i/>
        </w:rPr>
        <w:t xml:space="preserve">”</w:t>
      </w:r>
      <w:r>
        <w:t xml:space="preserve"> </w:t>
      </w:r>
      <w:r>
        <w:t xml:space="preserve">se muestra de color azul en la Figura</w:t>
      </w:r>
      <w:r>
        <w:t xml:space="preserve"> </w:t>
      </w:r>
      <w:r>
        <w:t xml:space="preserve">4.12</w:t>
      </w:r>
      <w:r>
        <w:t xml:space="preserve"> </w:t>
      </w:r>
      <w:r>
        <w:t xml:space="preserve">Esta clasificación representa a los FRE que cumplen con las necesidades de manejo de MME en su territorio, no obstante, estos entes territoriales tienen suficiente presupuesto para adelantar una gestión aún mejor y más robusta. Por este motivo se recomienda a los FRE de este grupo, mejorar en los siguientes temas puntuales como: (i) contratación del personal del FRE, (ii) cumplimiento de los anexos de la Resolución 1479 de 2006 y (iii) proyección adecuada del consumo de MME en cada territorio.</w:t>
      </w:r>
    </w:p>
    <w:p>
      <w:pPr>
        <w:pStyle w:val="BodyText"/>
      </w:pPr>
      <w:r>
        <w:t xml:space="preserve">La categoría</w:t>
      </w:r>
      <w:r>
        <w:t xml:space="preserve"> </w:t>
      </w:r>
      <w:r>
        <w:rPr>
          <w:iCs/>
          <w:i/>
        </w:rPr>
        <w:t xml:space="preserve">“</w:t>
      </w:r>
      <w:r>
        <w:rPr>
          <w:iCs/>
          <w:i/>
        </w:rPr>
        <w:t xml:space="preserve">FRE en proceso de consolidación</w:t>
      </w:r>
      <w:r>
        <w:rPr>
          <w:iCs/>
          <w:i/>
        </w:rPr>
        <w:t xml:space="preserve">”</w:t>
      </w:r>
      <w:r>
        <w:t xml:space="preserve"> </w:t>
      </w:r>
      <w:r>
        <w:t xml:space="preserve">exhibida en color rojo en la Figura</w:t>
      </w:r>
      <w:r>
        <w:t xml:space="preserve"> </w:t>
      </w:r>
      <w:r>
        <w:t xml:space="preserve">4.12</w:t>
      </w:r>
      <w:r>
        <w:t xml:space="preserve">, contiene a los FRE que necesitan asistencia técnica inmediata por parte del FNE, de la mano de su respectiva Dirección Departamental de salud. Lo anterior se debe a que estos FRE no presentan una complejidad muy alta en función de las pocas instituciones inscritas, densidad demográfica y el limitado portafolio de MME que se distribuyen en estos territorios.</w:t>
      </w:r>
      <w:r>
        <w:t xml:space="preserve"> </w:t>
      </w:r>
      <w:r>
        <w:t xml:space="preserve">En adición, el seguimiento y manejo de los MME es débil en estos FRE y sus herramientas tecnológicas son limitadas. Por esta razón, la asistencia técnica por parte del FNE puede ser de gran ayuda, para entender cómo distribuir los recursos a disposición del FRE y mejorar en capacidades propias, con el fin de apoyar en el proceso de consolidación del FRE.s</w:t>
      </w:r>
    </w:p>
    <w:bookmarkEnd w:id="51"/>
    <w:bookmarkEnd w:id="52"/>
    <w:bookmarkStart w:id="113" w:name="recetarios-oficiales"/>
    <w:p>
      <w:pPr>
        <w:pStyle w:val="Heading1"/>
      </w:pPr>
      <w:r>
        <w:rPr>
          <w:rStyle w:val="SectionNumber"/>
        </w:rPr>
        <w:t xml:space="preserve">5</w:t>
      </w:r>
      <w:r>
        <w:tab/>
      </w:r>
      <w:r>
        <w:t xml:space="preserve">Recetarios oficiales</w:t>
      </w:r>
    </w:p>
    <w:p>
      <w:pPr>
        <w:pStyle w:val="FirstParagraph"/>
      </w:pPr>
      <w:r>
        <w:t xml:space="preserve">La prescripción de un medicamento es el acto que realiza un médico para indicar el inicio de un tratamiento terapéutico. En Colombia, dicha prescripción debe hacerse por escrito, previa evaluación del paciente y registro de sus condiciones y diagnóstico en la historia clínica, utilizando para ello la Denominación Común Internacional (nombre genérico) y cumpliendo los requisitos descritos en el Decreto 2200 de 2005, Artículo 16 y Artículo 17</w:t>
      </w:r>
      <w:hyperlink w:anchor="ref-MSPS2200-2005">
        <w:r>
          <w:rPr>
            <w:rStyle w:val="Hyperlink"/>
            <w:vertAlign w:val="superscript"/>
          </w:rPr>
          <w:t xml:space="preserve">8</w:t>
        </w:r>
      </w:hyperlink>
      <w:r>
        <w:t xml:space="preserve">.</w:t>
      </w:r>
    </w:p>
    <w:p>
      <w:pPr>
        <w:pStyle w:val="BodyText"/>
      </w:pPr>
      <w:r>
        <w:t xml:space="preserve">Bajo los parámetros establecidos anteriormente, se crea el recetario oficial, que es un documento oficial avalado por la entidad competente, es de carácter personal e intransferible para uso de los prescriptores de salud en la formulación de los MCE y MME. La prescripción de medicamentos de control especial para uso humano o veterinario solo se podrá efectuar en los recetarios oficiales suministrados por los FRE, para médicos en ejercicio legal de su profesión y/o por el Consejo Profesional de Medicina Veterinaria y Zootecnia de Colombia (Comvezcol) para médicos veterinarios y médicos veterinarios zootecnistas. Los profesionales que laboren en las instituciones podrán hacer uso del Recetario Oficial adquirido por la entidad</w:t>
      </w:r>
      <w:hyperlink w:anchor="ref-MSPS1478-2006">
        <w:r>
          <w:rPr>
            <w:rStyle w:val="Hyperlink"/>
            <w:vertAlign w:val="superscript"/>
          </w:rPr>
          <w:t xml:space="preserve">1</w:t>
        </w:r>
      </w:hyperlink>
      <w:r>
        <w:t xml:space="preserve">.</w:t>
      </w:r>
    </w:p>
    <w:p>
      <w:pPr>
        <w:pStyle w:val="BodyText"/>
      </w:pPr>
      <w:r>
        <w:t xml:space="preserve">Los FRE de las Secretarías, Instituciones o Direcciones Departamentales de Salud, y/o Comvezcol para médicos veterinarios, son los únicos autorizados para emitir, distribuir y vender el Recetario Oficial para la prescripción</w:t>
      </w:r>
      <w:hyperlink w:anchor="ref-MSPS1478-2006">
        <w:r>
          <w:rPr>
            <w:rStyle w:val="Hyperlink"/>
            <w:vertAlign w:val="superscript"/>
          </w:rPr>
          <w:t xml:space="preserve">1</w:t>
        </w:r>
      </w:hyperlink>
      <w:r>
        <w:t xml:space="preserve">.</w:t>
      </w:r>
    </w:p>
    <w:bookmarkStart w:id="59" w:name="existencia-de-recetarios"/>
    <w:p>
      <w:pPr>
        <w:pStyle w:val="Heading2"/>
      </w:pPr>
      <w:r>
        <w:rPr>
          <w:rStyle w:val="SectionNumber"/>
        </w:rPr>
        <w:t xml:space="preserve">5.1</w:t>
      </w:r>
      <w:r>
        <w:tab/>
      </w:r>
      <w:r>
        <w:t xml:space="preserve">Existencia de recetarios</w:t>
      </w:r>
    </w:p>
    <w:bookmarkStart w:id="55" w:name="existencias-en-el-fre"/>
    <w:p>
      <w:pPr>
        <w:pStyle w:val="Heading3"/>
      </w:pPr>
      <w:r>
        <w:rPr>
          <w:rStyle w:val="SectionNumber"/>
        </w:rPr>
        <w:t xml:space="preserve">5.1.1</w:t>
      </w:r>
      <w:r>
        <w:tab/>
      </w:r>
      <w:r>
        <w:t xml:space="preserve">Existencias en el FRE</w:t>
      </w:r>
    </w:p>
    <w:p>
      <w:pPr>
        <w:pStyle w:val="FirstParagraph"/>
      </w:pPr>
      <w:r>
        <w:t xml:space="preserve">En el marco de las Jornadas de inmersión territoriales con los FRE del país se pudo determinar la cantidad de recetarios oficiales con los que cuentan entre los meses de junio a septiembre. Así pues, como se observa en la Figura</w:t>
      </w:r>
      <w:r>
        <w:t xml:space="preserve"> </w:t>
      </w:r>
      <w:r>
        <w:t xml:space="preserve">5.1</w:t>
      </w:r>
      <w:r>
        <w:t xml:space="preserve">A, se observa la tendencia de los departamentos más distantes de la capital de la nación, a presentar una menor cantidad de recetarios en existencia.</w:t>
      </w:r>
    </w:p>
    <w:p>
      <w:pPr>
        <w:pStyle w:val="CaptionedFigure"/>
      </w:pPr>
      <w:r>
        <w:drawing>
          <wp:inline>
            <wp:extent cx="5334000" cy="2222500"/>
            <wp:effectExtent b="0" l="0" r="0" t="0"/>
            <wp:docPr descr="Figura 5.1: Existencia de recetarios en el FRE. (A) N.° de existencias de recetarios en el FRE y (B) Cobertura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5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54" w:name="fig11"/>
      <w:r>
        <w:t xml:space="preserve">Figure </w:t>
      </w:r>
      <w:fldSimple w:instr="SEQ Figure \* ARABIC ">
        <w:r>
          <w:t>11</w:t>
        </w:r>
      </w:fldSimple>
      <w:r>
        <w:t xml:space="preserve">:</w:t>
      </w:r>
      <w:r>
        <w:t xml:space="preserve"> </w:t>
      </w:r>
      <w:bookmarkEnd w:id="54"/>
      <w:r>
        <w:t xml:space="preserve">Figura 5.1: Existencia de recetarios en el FRE. (A) N.° de existencias de recetarios en el FRE y (B) Cobertura de existencias de recetarios en el FRE.</w:t>
      </w:r>
    </w:p>
    <w:p>
      <w:pPr>
        <w:pStyle w:val="BodyText"/>
      </w:pPr>
      <w:r>
        <w:t xml:space="preserve">En los extremos norte y sur, es decir, la región Caribe y Amazónica se tiene la mayor proporción de inexistencias de recetarios, en comparación con el resto de las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Dentro del censo realizado en los diferentes departamentos del país, se observa en la Figura</w:t>
      </w:r>
      <w:r>
        <w:t xml:space="preserve"> </w:t>
      </w:r>
      <w:r>
        <w:t xml:space="preserve">5.1</w:t>
      </w:r>
      <w:r>
        <w:t xml:space="preserve">B 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los funcionarios de apoyo en el país (Figura</w:t>
      </w:r>
      <w:r>
        <w:t xml:space="preserve"> </w:t>
      </w:r>
      <w:r>
        <w:t xml:space="preserve">4.5</w:t>
      </w:r>
      <w:r>
        <w:t xml:space="preserve">).</w:t>
      </w:r>
    </w:p>
    <w:p>
      <w:pPr>
        <w:pStyle w:val="BodyText"/>
      </w:pPr>
      <w:r>
        <w:t xml:space="preserve">Se tiene que 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bookmarkEnd w:id="55"/>
    <w:bookmarkStart w:id="58" w:name="circulación-en-el-departamento"/>
    <w:p>
      <w:pPr>
        <w:pStyle w:val="Heading3"/>
      </w:pPr>
      <w:r>
        <w:rPr>
          <w:rStyle w:val="SectionNumber"/>
        </w:rPr>
        <w:t xml:space="preserve">5.1.2</w:t>
      </w:r>
      <w:r>
        <w:tab/>
      </w:r>
      <w:r>
        <w:t xml:space="preserve">Circulación en el departamento</w:t>
      </w:r>
    </w:p>
    <w:p>
      <w:pPr>
        <w:pStyle w:val="FirstParagraph"/>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que es un departamento que cuenta con más de 5 millones de habitantes es la más alta ya que su población actual supera a la de los demás departamentos que cuentan con recetarios oficiales</w:t>
      </w:r>
      <w:hyperlink w:anchor="ref-DANE2021">
        <w:r>
          <w:rPr>
            <w:rStyle w:val="Hyperlink"/>
            <w:vertAlign w:val="superscript"/>
          </w:rPr>
          <w:t xml:space="preserve">6</w:t>
        </w:r>
      </w:hyperlink>
      <w:r>
        <w:t xml:space="preserve">.</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7" w:name="fig12"/>
      <w:r>
        <w:t xml:space="preserve">Figure </w:t>
      </w:r>
      <w:fldSimple w:instr="SEQ Figure \* ARABIC ">
        <w:r>
          <w:t>12</w:t>
        </w:r>
      </w:fldSimple>
      <w:r>
        <w:t xml:space="preserve">:</w:t>
      </w:r>
      <w:r>
        <w:t xml:space="preserve"> </w:t>
      </w:r>
      <w:bookmarkEnd w:id="57"/>
      <w:r>
        <w:t xml:space="preserve">Figura 5.2: N.° de recetarios circulantes en el departamento.</w:t>
      </w:r>
    </w:p>
    <w:bookmarkEnd w:id="58"/>
    <w:bookmarkEnd w:id="59"/>
    <w:bookmarkStart w:id="71" w:name="costos-de-recetarios"/>
    <w:p>
      <w:pPr>
        <w:pStyle w:val="Heading2"/>
      </w:pPr>
      <w:r>
        <w:rPr>
          <w:rStyle w:val="SectionNumber"/>
        </w:rPr>
        <w:t xml:space="preserve">5.2</w:t>
      </w:r>
      <w:r>
        <w:tab/>
      </w:r>
      <w:r>
        <w:t xml:space="preserve">Costos de recetarios</w:t>
      </w:r>
    </w:p>
    <w:bookmarkStart w:id="64" w:name="X67102db85c0c8be9174bb71c6a56854454fed67"/>
    <w:p>
      <w:pPr>
        <w:pStyle w:val="Heading3"/>
      </w:pPr>
      <w:r>
        <w:rPr>
          <w:rStyle w:val="SectionNumber"/>
        </w:rPr>
        <w:t xml:space="preserve">5.2.1</w:t>
      </w:r>
      <w:r>
        <w:tab/>
      </w:r>
      <w:r>
        <w:t xml:space="preserve">Comparación de costos y precios de ventas de recetarios</w:t>
      </w:r>
    </w:p>
    <w:p>
      <w:pPr>
        <w:pStyle w:val="FirstParagraph"/>
      </w:pPr>
      <w:r>
        <w:t xml:space="preserve">Dentro del estudio de costos realizado se comparó el costo de compra del recetario contra su precio de venta. Así pues, se determinó que dentro del territorio el costo de los recetarios ronda entre los 10.000 COP y los 20.000 COP, con territorios como Valle del Cauca y Casanare, en donde dicho costo se aproxima a 30.000 COP. En algunos departamentos no se conocen los costos de adquisición de recetarios (Figura</w:t>
      </w:r>
      <w:r>
        <w:t xml:space="preserve"> </w:t>
      </w:r>
      <w:r>
        <w:t xml:space="preserve">5.3</w:t>
      </w:r>
      <w:r>
        <w:t xml:space="preserve">A), dada sus particularidades en la contratación, puesto que se encargan del proceso de licitación y contratación de recetarios, únicamente realizan estudios de necesidad que son enviados al ente encargado de concretar la contratación, en muchos casos, la gobernación departamental.</w:t>
      </w:r>
    </w:p>
    <w:p>
      <w:pPr>
        <w:pStyle w:val="CaptionedFigure"/>
      </w:pPr>
      <w:r>
        <w:drawing>
          <wp:inline>
            <wp:extent cx="5334000" cy="3333750"/>
            <wp:effectExtent b="0" l="0" r="0" t="0"/>
            <wp:docPr descr="Figura 5.3: Comparativo de costo vs precio de recetarios por departamento. (A) Costos de adquisición de recetarios por departamento. (B) Precios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6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13"/>
      <w:r>
        <w:t xml:space="preserve">Figure </w:t>
      </w:r>
      <w:fldSimple w:instr="SEQ Figure \* ARABIC ">
        <w:r>
          <w:t>13</w:t>
        </w:r>
      </w:fldSimple>
      <w:r>
        <w:t xml:space="preserve">:</w:t>
      </w:r>
      <w:r>
        <w:t xml:space="preserve"> </w:t>
      </w:r>
      <w:bookmarkEnd w:id="61"/>
      <w:r>
        <w:t xml:space="preserve">Figura 5.3: Comparativo de costo vs precio de recetarios por departamento. (A) Costos de adquisición de recetarios por departamento. (B) Precios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(Figura</w:t>
      </w:r>
      <w:r>
        <w:t xml:space="preserve"> </w:t>
      </w:r>
      <w:r>
        <w:t xml:space="preserve">5.3</w:t>
      </w:r>
      <w:r>
        <w:t xml:space="preserve">B) que se ajusta cada año.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5.4</w:t>
      </w:r>
      <w:r>
        <w:t xml:space="preserve">, en donde se puede establecer que con mayor frecuencia los entes territoriales obtienen entre 100 y 200% de ganancia sobre el costo del recetario. No obstante, los FRE de La Guajira y Nariño, poseen ganancias entre 800 y 900% en la venta de sus recetarios oficiales. En los FRE de Córdoba, Vichada y Guainía no se registran márgenes de ganancia para la venta de recetarios oficiales dado que no se tiene conocimiento en dichos territorios del costo de adquisición de recetarios puesto que son los entes gubernamentales del departamento los encargados de la contratación, proceso en el que el ente territorial no interviene.</w:t>
      </w:r>
    </w:p>
    <w:p>
      <w:pPr>
        <w:pStyle w:val="CaptionedFigure"/>
      </w:pPr>
      <w:r>
        <w:drawing>
          <wp:inline>
            <wp:extent cx="5334000" cy="2667000"/>
            <wp:effectExtent b="0" l="0" r="0" t="0"/>
            <wp:docPr descr="Figura 5.4: Márgen de ganancia por recetario. (A) Frecuencia de departamentos por márgen de ganancia. (B) Márgen de ganancia de recetarios por departament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3" w:name="fig14"/>
      <w:r>
        <w:t xml:space="preserve">Figure </w:t>
      </w:r>
      <w:fldSimple w:instr="SEQ Figure \* ARABIC ">
        <w:r>
          <w:t>14</w:t>
        </w:r>
      </w:fldSimple>
      <w:r>
        <w:t xml:space="preserve">:</w:t>
      </w:r>
      <w:r>
        <w:t xml:space="preserve"> </w:t>
      </w:r>
      <w:bookmarkEnd w:id="63"/>
      <w:r>
        <w:t xml:space="preserve">Figura 5.4: Márgen de ganancia por recetario. (A) Frecuencia de departamentos por márgen de ganancia. (B) Márgen de ganancia de recetarios por departamento.</w:t>
      </w:r>
    </w:p>
    <w:p>
      <w:pPr>
        <w:pStyle w:val="BodyText"/>
      </w:pPr>
      <w:r>
        <w:t xml:space="preserve">Los amplios márgenes de ganancia y las proporciones distintas entre unos FRE y otros, se podrían relacionar con: (a) cantidad de medidas de seguridad del recetario, (b) facilidad de acceso del departamento, (c) número de prescripciones, (d) tipo de licitación o (e) cantidad de empresas oferentes en los concursos de licitación de recetarios.</w:t>
      </w:r>
    </w:p>
    <w:bookmarkEnd w:id="64"/>
    <w:bookmarkStart w:id="67" w:name="Xb7bdc6380dd4ab1e7c8704432435035cc1fe61c"/>
    <w:p>
      <w:pPr>
        <w:pStyle w:val="Heading3"/>
      </w:pPr>
      <w:r>
        <w:rPr>
          <w:rStyle w:val="SectionNumber"/>
        </w:rPr>
        <w:t xml:space="preserve">5.2.2</w:t>
      </w:r>
      <w:r>
        <w:tab/>
      </w:r>
      <w:r>
        <w:t xml:space="preserve">Factores que afectan el costo de adquisición de recetarios</w:t>
      </w:r>
    </w:p>
    <w:p>
      <w:pPr>
        <w:pStyle w:val="FirstParagraph"/>
      </w:pPr>
      <w:r>
        <w:t xml:space="preserve">Dentro de los procesos que se utilizan para la licitación y contratación de recetarios oficiales en el país, se consideran 4 modalidades de selección principalmente:</w:t>
      </w:r>
    </w:p>
    <w:p>
      <w:pPr>
        <w:numPr>
          <w:ilvl w:val="0"/>
          <w:numId w:val="1014"/>
        </w:numPr>
      </w:pPr>
      <w:r>
        <w:t xml:space="preserve">Licitación pública, el cual es un proceso de selección utilizado por las entidades estatales mediante el cual escoge a sus contratistas a través de una invitación de carácter público que se dirige a todas las personas potencialmente interesadas en ejecutar un contrato, para que en igualdad de condiciones y bajo criterios objetivos garantizados por el pliego de condiciones, presenten ofertas entre las que se escogerá la más favorable</w:t>
      </w:r>
      <w:hyperlink w:anchor="ref-MinisteriodeRelacionesExteriores2014">
        <w:r>
          <w:rPr>
            <w:rStyle w:val="Hyperlink"/>
            <w:vertAlign w:val="superscript"/>
          </w:rPr>
          <w:t xml:space="preserve">9</w:t>
        </w:r>
      </w:hyperlink>
      <w:r>
        <w:t xml:space="preserve">.</w:t>
      </w:r>
    </w:p>
    <w:p>
      <w:pPr>
        <w:numPr>
          <w:ilvl w:val="0"/>
          <w:numId w:val="1014"/>
        </w:numPr>
      </w:pPr>
      <w:r>
        <w:t xml:space="preserve">Selección abreviada, modalidad de selección objetiva prevista en aquellos casos en que por las características del objeto a contratar, las circunstancias de la contratación o la cuantía o destinación del bien, obra o servicio, puedan adelantarse procesos simplificados (uso de subastas a la inversa, bolsas de productos o compras por catálogo) para garantizar la eficacia de la gestión contractual</w:t>
      </w:r>
      <w:hyperlink w:anchor="ref-MinisteriodeRelacionesExteriores2014">
        <w:r>
          <w:rPr>
            <w:rStyle w:val="Hyperlink"/>
            <w:vertAlign w:val="superscript"/>
          </w:rPr>
          <w:t xml:space="preserve">9</w:t>
        </w:r>
      </w:hyperlink>
      <w:r>
        <w:t xml:space="preserve">.</w:t>
      </w:r>
    </w:p>
    <w:p>
      <w:pPr>
        <w:numPr>
          <w:ilvl w:val="0"/>
          <w:numId w:val="1014"/>
        </w:numPr>
      </w:pPr>
      <w:r>
        <w:t xml:space="preserve">Contratación directa, que es de carácter excepcional, por lo que su aplicación es de carácter restrictivo. En efecto, la ley de Contratación Pública en Colombia, prevé los siguientes eventos en los cuales es procedente esta modalidad de contratación: casos de urgencia manifiesta, contratación de empréstitos, cuando no exista pluralidad de oferentes en el mercado, para los contratos de desarrollo de actividades científicas y tecnológicas, entre otros</w:t>
      </w:r>
      <w:hyperlink w:anchor="ref-MinisteriodeRelacionesExteriores2014">
        <w:r>
          <w:rPr>
            <w:rStyle w:val="Hyperlink"/>
            <w:vertAlign w:val="superscript"/>
          </w:rPr>
          <w:t xml:space="preserve">9</w:t>
        </w:r>
      </w:hyperlink>
      <w:r>
        <w:t xml:space="preserve">.</w:t>
      </w:r>
    </w:p>
    <w:p>
      <w:pPr>
        <w:numPr>
          <w:ilvl w:val="0"/>
          <w:numId w:val="1014"/>
        </w:numPr>
      </w:pPr>
      <w:r>
        <w:t xml:space="preserve">Mínima cuantía, que es un procedimiento sencillo y rápido para escoger al contratista en la adquisición de los bienes, obras y servicios cuyo valor no exceda el diez por ciento (10%) de la menor cuantía de las Entidades Estatales, modalidad de selección que tiene menos formalidades que las demás</w:t>
      </w:r>
      <w:hyperlink w:anchor="ref-ColombiaCompraEficiente2019">
        <w:r>
          <w:rPr>
            <w:rStyle w:val="Hyperlink"/>
            <w:vertAlign w:val="superscript"/>
          </w:rPr>
          <w:t xml:space="preserve">10</w:t>
        </w:r>
      </w:hyperlink>
      <w:r>
        <w:t xml:space="preserve">.</w:t>
      </w:r>
    </w:p>
    <w:p>
      <w:pPr>
        <w:pStyle w:val="FirstParagraph"/>
      </w:pPr>
      <w:r>
        <w:t xml:space="preserve">Se realizó una exploración de los factores que pueden afectar el costo de los recetarios mediante un análisis de regresión lineal múltiple, para lo cual se tomó el costo de los recetarios, y se tuvieron en cuenta regresores como:</w:t>
      </w:r>
    </w:p>
    <w:p>
      <w:pPr>
        <w:numPr>
          <w:ilvl w:val="0"/>
          <w:numId w:val="1015"/>
        </w:numPr>
      </w:pPr>
      <w:r>
        <w:t xml:space="preserve">número de prescripciones en el recetario (variable continua).</w:t>
      </w:r>
    </w:p>
    <w:p>
      <w:pPr>
        <w:numPr>
          <w:ilvl w:val="0"/>
          <w:numId w:val="1015"/>
        </w:numPr>
      </w:pPr>
      <w:r>
        <w:t xml:space="preserve">número de medidas de seguridad implementadas en el recetario (variable continua).</w:t>
      </w:r>
    </w:p>
    <w:p>
      <w:pPr>
        <w:numPr>
          <w:ilvl w:val="0"/>
          <w:numId w:val="1015"/>
        </w:numPr>
      </w:pPr>
      <w:r>
        <w:t xml:space="preserve">modalidad de selección de oferentes en la contratación (variable categórica con cuatro niveles mencionadas previamente)</w:t>
      </w:r>
    </w:p>
    <w:p>
      <w:pPr>
        <w:pStyle w:val="FirstParagraph"/>
      </w:pPr>
      <w:r>
        <w:t xml:space="preserve">Tabla 5.1: Resumen de modelo de regresión lineal múltiple para el costo del recetario.</w:t>
      </w:r>
    </w:p>
    <w:p>
      <w:pPr>
        <w:pStyle w:val="BodyText"/>
      </w:pPr>
      <w:r>
        <w:t xml:space="preserve">Parámetro</w:t>
      </w:r>
    </w:p>
    <w:p>
      <w:pPr>
        <w:pStyle w:val="BodyText"/>
      </w:pPr>
      <w:r>
        <w:t xml:space="preserve">Estimado</w:t>
      </w:r>
    </w:p>
    <w:p>
      <w:pPr>
        <w:pStyle w:val="BodyText"/>
      </w:pPr>
      <w:r>
        <w:t xml:space="preserve">Error Estándar</w:t>
      </w:r>
    </w:p>
    <w:p>
      <w:pPr>
        <w:pStyle w:val="BodyText"/>
      </w:pPr>
      <w:r>
        <w:t xml:space="preserve">Valor t</w:t>
      </w:r>
    </w:p>
    <w:p>
      <w:pPr>
        <w:pStyle w:val="BodyText"/>
      </w:pPr>
      <w:r>
        <w:t xml:space="preserve">Pr(&gt;|t|)</w:t>
      </w:r>
    </w:p>
    <w:p>
      <w:pPr>
        <w:pStyle w:val="BodyText"/>
      </w:pPr>
      <w:r>
        <w:t xml:space="preserve">Intercepto</w:t>
      </w:r>
    </w:p>
    <w:p>
      <w:pPr>
        <w:pStyle w:val="BodyText"/>
      </w:pPr>
      <w:r>
        <w:t xml:space="preserve">12181.9</w:t>
      </w:r>
    </w:p>
    <w:p>
      <w:pPr>
        <w:pStyle w:val="BodyText"/>
      </w:pPr>
      <w:r>
        <w:t xml:space="preserve">12799.4</w:t>
      </w:r>
    </w:p>
    <w:p>
      <w:pPr>
        <w:pStyle w:val="BodyText"/>
      </w:pPr>
      <w:r>
        <w:t xml:space="preserve">0.952</w:t>
      </w:r>
    </w:p>
    <w:p>
      <w:pPr>
        <w:pStyle w:val="BodyText"/>
      </w:pPr>
      <w:r>
        <w:t xml:space="preserve">0.352</w:t>
      </w:r>
    </w:p>
    <w:p>
      <w:pPr>
        <w:pStyle w:val="BodyText"/>
      </w:pPr>
      <w:r>
        <w:t xml:space="preserve">N.° de prescripciones</w:t>
      </w:r>
    </w:p>
    <w:p>
      <w:pPr>
        <w:pStyle w:val="BodyText"/>
      </w:pPr>
      <w:r>
        <w:t xml:space="preserve">228.1</w:t>
      </w:r>
    </w:p>
    <w:p>
      <w:pPr>
        <w:pStyle w:val="BodyText"/>
      </w:pPr>
      <w:r>
        <w:t xml:space="preserve">177.8</w:t>
      </w:r>
    </w:p>
    <w:p>
      <w:pPr>
        <w:pStyle w:val="BodyText"/>
      </w:pPr>
      <w:r>
        <w:t xml:space="preserve">1.283</w:t>
      </w:r>
    </w:p>
    <w:p>
      <w:pPr>
        <w:pStyle w:val="BodyText"/>
      </w:pPr>
      <w:r>
        <w:t xml:space="preserve">0.213</w:t>
      </w:r>
    </w:p>
    <w:p>
      <w:pPr>
        <w:pStyle w:val="BodyText"/>
      </w:pPr>
      <w:r>
        <w:t xml:space="preserve">N.° de medidas</w:t>
      </w:r>
    </w:p>
    <w:p>
      <w:pPr>
        <w:pStyle w:val="BodyText"/>
      </w:pPr>
      <w:r>
        <w:t xml:space="preserve">-1712.0</w:t>
      </w:r>
    </w:p>
    <w:p>
      <w:pPr>
        <w:pStyle w:val="BodyText"/>
      </w:pPr>
      <w:r>
        <w:t xml:space="preserve">1578.6</w:t>
      </w:r>
    </w:p>
    <w:p>
      <w:pPr>
        <w:pStyle w:val="BodyText"/>
      </w:pPr>
      <w:r>
        <w:t xml:space="preserve">-1.085</w:t>
      </w:r>
    </w:p>
    <w:p>
      <w:pPr>
        <w:pStyle w:val="BodyText"/>
      </w:pPr>
      <w:r>
        <w:t xml:space="preserve">0.290</w:t>
      </w:r>
    </w:p>
    <w:p>
      <w:pPr>
        <w:pStyle w:val="BodyText"/>
      </w:pPr>
      <w:r>
        <w:t xml:space="preserve">Modalidad - Licitación pública</w:t>
      </w:r>
    </w:p>
    <w:p>
      <w:pPr>
        <w:pStyle w:val="BodyText"/>
      </w:pPr>
      <w:r>
        <w:t xml:space="preserve">-4760.7</w:t>
      </w:r>
    </w:p>
    <w:p>
      <w:pPr>
        <w:pStyle w:val="BodyText"/>
      </w:pPr>
      <w:r>
        <w:t xml:space="preserve">12064.4</w:t>
      </w:r>
    </w:p>
    <w:p>
      <w:pPr>
        <w:pStyle w:val="BodyText"/>
      </w:pPr>
      <w:r>
        <w:t xml:space="preserve">-0.395</w:t>
      </w:r>
    </w:p>
    <w:p>
      <w:pPr>
        <w:pStyle w:val="BodyText"/>
      </w:pPr>
      <w:r>
        <w:t xml:space="preserve">0.697</w:t>
      </w:r>
    </w:p>
    <w:p>
      <w:pPr>
        <w:pStyle w:val="BodyText"/>
      </w:pPr>
      <w:r>
        <w:t xml:space="preserve">Modalidad - Mínima Cuantía</w:t>
      </w:r>
    </w:p>
    <w:p>
      <w:pPr>
        <w:pStyle w:val="BodyText"/>
      </w:pPr>
      <w:r>
        <w:t xml:space="preserve">-3656.2</w:t>
      </w:r>
    </w:p>
    <w:p>
      <w:pPr>
        <w:pStyle w:val="BodyText"/>
      </w:pPr>
      <w:r>
        <w:t xml:space="preserve">8269.9</w:t>
      </w:r>
    </w:p>
    <w:p>
      <w:pPr>
        <w:pStyle w:val="BodyText"/>
      </w:pPr>
      <w:r>
        <w:t xml:space="preserve">-0.442</w:t>
      </w:r>
    </w:p>
    <w:p>
      <w:pPr>
        <w:pStyle w:val="BodyText"/>
      </w:pPr>
      <w:r>
        <w:t xml:space="preserve">0.663</w:t>
      </w:r>
    </w:p>
    <w:p>
      <w:pPr>
        <w:pStyle w:val="BodyText"/>
      </w:pPr>
      <w:r>
        <w:t xml:space="preserve">Modalidad - Selección abreviada</w:t>
      </w:r>
    </w:p>
    <w:p>
      <w:pPr>
        <w:pStyle w:val="BodyText"/>
      </w:pPr>
      <w:r>
        <w:t xml:space="preserve">-1414.0</w:t>
      </w:r>
    </w:p>
    <w:p>
      <w:pPr>
        <w:pStyle w:val="BodyText"/>
      </w:pPr>
      <w:r>
        <w:t xml:space="preserve">14418.9</w:t>
      </w:r>
    </w:p>
    <w:p>
      <w:pPr>
        <w:pStyle w:val="BodyText"/>
      </w:pPr>
      <w:r>
        <w:t xml:space="preserve">-0.098</w:t>
      </w:r>
    </w:p>
    <w:p>
      <w:pPr>
        <w:pStyle w:val="BodyText"/>
      </w:pPr>
      <w:r>
        <w:t xml:space="preserve">0.923</w:t>
      </w:r>
    </w:p>
    <w:p>
      <w:pPr>
        <w:pStyle w:val="BodyText"/>
      </w:pPr>
      <w:r>
        <w:t xml:space="preserve">El modelo generado (ver Tabla</w:t>
      </w:r>
      <w:r>
        <w:t xml:space="preserve"> </w:t>
      </w:r>
      <w:r>
        <w:t xml:space="preserve">5.1</w:t>
      </w:r>
      <w:r>
        <w:t xml:space="preserve">) presenta una bondad de ajuste muy baja (</w:t>
      </w:r>
      <m:oMath>
        <m:sSup>
          <m:e>
            <m:r>
              <m:t>R</m:t>
            </m:r>
          </m:e>
          <m:sup>
            <m:r>
              <m:t>2</m:t>
            </m:r>
          </m:sup>
        </m:sSup>
        <m:r>
          <m:rPr>
            <m:sty m:val="p"/>
          </m:rPr>
          <m:t>=</m:t>
        </m:r>
        <m:r>
          <m:rPr>
            <m:sty m:val="p"/>
          </m:rPr>
          <m:t>−</m:t>
        </m:r>
        <m:r>
          <m:t>0.064</m:t>
        </m:r>
      </m:oMath>
      <w:r>
        <w:t xml:space="preserve">), y no se logra demostrar un efecto significativo de los factores explorados, pese a esto se presentan tendencias en estos factores.</w:t>
      </w:r>
    </w:p>
    <w:p>
      <w:pPr>
        <w:pStyle w:val="BodyText"/>
      </w:pPr>
      <w:r>
        <w:t xml:space="preserve">En la Figura</w:t>
      </w:r>
      <w:r>
        <w:t xml:space="preserve"> </w:t>
      </w:r>
      <w:r>
        <w:t xml:space="preserve">5.5</w:t>
      </w:r>
      <w:r>
        <w:t xml:space="preserve"> </w:t>
      </w:r>
      <w:r>
        <w:t xml:space="preserve">se muestran gráficos de dependencia parcial de los factores explorados, se observan tendencias como que el N.° de prescripciones elevan el costo de los recetarios. Pese a que se podría suponer que al aumentar el número de características de seguridad en el recetario se aumentaría el costo de este, se encuentra una relación inversa entre el número de medidas y el costo de adquisición. Esto podría deberse a la facilidad de elaboración en departamentos con la capacidad tecnológica adecuada, la forma en que se adjudican los contratos y los diferentes oferentes en el concurso de contratación.</w:t>
      </w:r>
    </w:p>
    <w:p>
      <w:pPr>
        <w:pStyle w:val="CaptionedFigure"/>
      </w:pPr>
      <w:r>
        <w:drawing>
          <wp:inline>
            <wp:extent cx="5334000" cy="2963333"/>
            <wp:effectExtent b="0" l="0" r="0" t="0"/>
            <wp:docPr descr="Figura 5.5: Gráficos de dependencia parcial - Modelo de costos de recetari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5"/>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6" w:name="fig15"/>
      <w:r>
        <w:t xml:space="preserve">Figure </w:t>
      </w:r>
      <w:fldSimple w:instr="SEQ Figure \* ARABIC ">
        <w:r>
          <w:t>15</w:t>
        </w:r>
      </w:fldSimple>
      <w:r>
        <w:t xml:space="preserve">:</w:t>
      </w:r>
      <w:r>
        <w:t xml:space="preserve"> </w:t>
      </w:r>
      <w:bookmarkEnd w:id="66"/>
      <w:r>
        <w:t xml:space="preserve">Figura 5.5: Gráficos de dependencia parcial - Modelo de costos de recetarios.</w:t>
      </w:r>
    </w:p>
    <w:p>
      <w:pPr>
        <w:pStyle w:val="BodyText"/>
      </w:pPr>
      <w:r>
        <w:t xml:space="preserve">De esta forma, el tipo de contratación que se concreta con las empresas fabricante de los recetarios es una variable que influye en el costo de los recetarios, así pues, las modalidades de contratación por licitación pública, mínima cuantía y selección abreviada tienden a disminuir el costo del recetario en comparación con la modalidad de contratación directa, factor esperado ya que al no haber competencia entre empresas oferentes, quien posee el monopolio de fabricación es libre de disponer los precios de venta a las entidades territoriales.</w:t>
      </w:r>
    </w:p>
    <w:p>
      <w:pPr>
        <w:pStyle w:val="BodyText"/>
      </w:pPr>
      <w:r>
        <w:t xml:space="preserve">Por otra parte, los FRE que concretaron órdenes de compra de recetarios por mínima cuantía y selección abreviada, tienden a presentar precios mayores de adquisición, con costo alrededor de los 10.000 COP y 15.000 COP, mientras que, los entes territoriales que optaron por la modalidad de licitación pública tienden a ser los recetarios más económicos en relación con las demás, con costos inferiores a los 10.000 COP por recetario en promedio.</w:t>
      </w:r>
    </w:p>
    <w:bookmarkEnd w:id="67"/>
    <w:bookmarkStart w:id="70" w:name="Xd2761c9ad369c6df89557ae16d7fdce84290838"/>
    <w:p>
      <w:pPr>
        <w:pStyle w:val="Heading3"/>
      </w:pPr>
      <w:r>
        <w:rPr>
          <w:rStyle w:val="SectionNumber"/>
        </w:rPr>
        <w:t xml:space="preserve">5.2.3</w:t>
      </w:r>
      <w:r>
        <w:tab/>
      </w:r>
      <w:r>
        <w:t xml:space="preserve">Precio de venta de recetario por prescripción</w:t>
      </w:r>
    </w:p>
    <w:p>
      <w:pPr>
        <w:pStyle w:val="FirstParagraph"/>
      </w:pPr>
      <w:r>
        <w:t xml:space="preserve">Finalmente, se concluye que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5.6</w:t>
      </w:r>
      <w:r>
        <w:t xml:space="preserve">).</w:t>
      </w:r>
    </w:p>
    <w:p>
      <w:pPr>
        <w:pStyle w:val="CaptionedFigure"/>
      </w:pPr>
      <w:r>
        <w:drawing>
          <wp:inline>
            <wp:extent cx="5334000" cy="2963333"/>
            <wp:effectExtent b="0" l="0" r="0" t="0"/>
            <wp:docPr descr="Figura 5.6: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8"/>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9" w:name="fig16"/>
      <w:r>
        <w:t xml:space="preserve">Figure </w:t>
      </w:r>
      <w:fldSimple w:instr="SEQ Figure \* ARABIC ">
        <w:r>
          <w:t>16</w:t>
        </w:r>
      </w:fldSimple>
      <w:r>
        <w:t xml:space="preserve">:</w:t>
      </w:r>
      <w:r>
        <w:t xml:space="preserve"> </w:t>
      </w:r>
      <w:bookmarkEnd w:id="69"/>
      <w:r>
        <w:t xml:space="preserve">Figura 5.6: Precio de venta de recetario por prescripción.</w:t>
      </w:r>
    </w:p>
    <w:p>
      <w:pPr>
        <w:pStyle w:val="BodyText"/>
      </w:pPr>
      <w:r>
        <w:t xml:space="preserve">El valor por prescripción más alto a nivel nacional se presenta en el departamento de Casanare, pese a que este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p>
      <w:pPr>
        <w:pStyle w:val="BodyText"/>
      </w:pPr>
      <w:r>
        <w:t xml:space="preserve">El precio de venta por prescripción podría incrementar los costos a los que se venden los MME a los pacientes en los puntos de dispensación.</w:t>
      </w:r>
    </w:p>
    <w:bookmarkEnd w:id="70"/>
    <w:bookmarkEnd w:id="71"/>
    <w:bookmarkStart w:id="80" w:name="adquisición-de-recetarios"/>
    <w:p>
      <w:pPr>
        <w:pStyle w:val="Heading2"/>
      </w:pPr>
      <w:r>
        <w:rPr>
          <w:rStyle w:val="SectionNumber"/>
        </w:rPr>
        <w:t xml:space="preserve">5.3</w:t>
      </w:r>
      <w:r>
        <w:tab/>
      </w:r>
      <w:r>
        <w:t xml:space="preserve">Adquisición de recetarios</w:t>
      </w:r>
    </w:p>
    <w:bookmarkStart w:id="76" w:name="proceso-de-adquisición-de-recetario"/>
    <w:p>
      <w:pPr>
        <w:pStyle w:val="Heading3"/>
      </w:pPr>
      <w:r>
        <w:rPr>
          <w:rStyle w:val="SectionNumber"/>
        </w:rPr>
        <w:t xml:space="preserve">5.3.1</w:t>
      </w:r>
      <w:r>
        <w:tab/>
      </w:r>
      <w:r>
        <w:t xml:space="preserve">Proceso de adquisición de recetario</w:t>
      </w:r>
    </w:p>
    <w:p>
      <w:pPr>
        <w:pStyle w:val="FirstParagraph"/>
      </w:pPr>
      <w:r>
        <w:t xml:space="preserve">La adquisición de recetarios oficiales por parte de los FRE es un proceso que se lleva a cabe mediante contratación pública. En la Figura</w:t>
      </w:r>
      <w:r>
        <w:t xml:space="preserve"> </w:t>
      </w:r>
      <w:r>
        <w:t xml:space="preserve">5.7</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CaptionedFigure"/>
      </w:pPr>
      <w:r>
        <w:drawing>
          <wp:inline>
            <wp:extent cx="5334000" cy="3048000"/>
            <wp:effectExtent b="0" l="0" r="0" t="0"/>
            <wp:docPr descr="Figura 5.7: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72"/>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3" w:name="fig17"/>
      <w:r>
        <w:t xml:space="preserve">Figure </w:t>
      </w:r>
      <w:fldSimple w:instr="SEQ Figure \* ARABIC ">
        <w:r>
          <w:t>17</w:t>
        </w:r>
      </w:fldSimple>
      <w:r>
        <w:t xml:space="preserve">:</w:t>
      </w:r>
      <w:r>
        <w:t xml:space="preserve"> </w:t>
      </w:r>
      <w:bookmarkEnd w:id="73"/>
      <w:r>
        <w:t xml:space="preserve">Figura 5.7: Modalidad de selección para contratos de adquisición de recetarios.</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5.16</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BodyText"/>
      </w:pPr>
      <w:r>
        <w:t xml:space="preserve">En el marco de las actividades de las Jornadas de inmersión territorial, se logró observar un patrón en el proceso de licitación y contratación de recetarios oficiales por los FRE alrededor del país. Como se evidencia en la Figura</w:t>
      </w:r>
      <w:r>
        <w:t xml:space="preserve"> </w:t>
      </w:r>
      <w:r>
        <w:t xml:space="preserve">5.8</w:t>
      </w:r>
      <w:r>
        <w:t xml:space="preserve">, en la mayoría de los casos, los funcionarios de los FRE se encargan exclusivamente de la realización de los estudios previos, en donde se solicita la necesidad en cantidad y forma de recetarios. Posterior a ello, es la dirección territorial en salud, que en algunos casos es la secretaria de salud departamental, la gobernación u otra dependencia con interés en la salud pública del territorio, la encargada de desarrollar la etapa contractual del proceso, mediante una de las modalidades de selección de oferentes que más convenga, se elige la empresa proveedora y se establece el contrato de elaboración de recetarios oficiales.</w:t>
      </w:r>
    </w:p>
    <w:p>
      <w:pPr>
        <w:pStyle w:val="CaptionedFigure"/>
      </w:pPr>
      <w:r>
        <w:drawing>
          <wp:inline>
            <wp:extent cx="3810000" cy="4943856"/>
            <wp:effectExtent b="0" l="0" r="0" t="0"/>
            <wp:docPr descr="Figura 5.8: Proceso de contratación/licitación de los recetarios oficiales." title="" id="1" name="Picture"/>
            <a:graphic>
              <a:graphicData uri="http://schemas.openxmlformats.org/drawingml/2006/picture">
                <pic:pic>
                  <pic:nvPicPr>
                    <pic:cNvPr descr="figures/procesoContractual.jpg" id="0" name="Picture"/>
                    <pic:cNvPicPr>
                      <a:picLocks noChangeArrowheads="1" noChangeAspect="1"/>
                    </pic:cNvPicPr>
                  </pic:nvPicPr>
                  <pic:blipFill>
                    <a:blip r:embed="rId74"/>
                    <a:stretch>
                      <a:fillRect/>
                    </a:stretch>
                  </pic:blipFill>
                  <pic:spPr bwMode="auto">
                    <a:xfrm>
                      <a:off x="0" y="0"/>
                      <a:ext cx="3810000" cy="4943856"/>
                    </a:xfrm>
                    <a:prstGeom prst="rect">
                      <a:avLst/>
                    </a:prstGeom>
                    <a:noFill/>
                    <a:ln w="9525">
                      <a:noFill/>
                      <a:headEnd/>
                      <a:tailEnd/>
                    </a:ln>
                  </pic:spPr>
                </pic:pic>
              </a:graphicData>
            </a:graphic>
          </wp:inline>
        </w:drawing>
      </w:r>
    </w:p>
    <w:p>
      <w:pPr>
        <w:pStyle w:val="ImageCaption"/>
      </w:pPr>
      <w:bookmarkStart w:id="75" w:name="fig18"/>
      <w:r>
        <w:t xml:space="preserve">Figure </w:t>
      </w:r>
      <w:fldSimple w:instr="SEQ Figure \* ARABIC ">
        <w:r>
          <w:t>18</w:t>
        </w:r>
      </w:fldSimple>
      <w:r>
        <w:t xml:space="preserve">:</w:t>
      </w:r>
      <w:r>
        <w:t xml:space="preserve"> </w:t>
      </w:r>
      <w:bookmarkEnd w:id="75"/>
      <w:r>
        <w:t xml:space="preserve">Figura 5.8: Proceso de contratación/licitación de los recetarios oficiales.</w:t>
      </w:r>
    </w:p>
    <w:bookmarkEnd w:id="76"/>
    <w:bookmarkStart w:id="79" w:name="tiempos-de-adquisición"/>
    <w:p>
      <w:pPr>
        <w:pStyle w:val="Heading3"/>
      </w:pPr>
      <w:r>
        <w:rPr>
          <w:rStyle w:val="SectionNumber"/>
        </w:rPr>
        <w:t xml:space="preserve">5.3.2</w:t>
      </w:r>
      <w:r>
        <w:tab/>
      </w:r>
      <w:r>
        <w:t xml:space="preserve">Tiempos de adquisición</w:t>
      </w:r>
    </w:p>
    <w:p>
      <w:pPr>
        <w:pStyle w:val="CaptionedFigure"/>
      </w:pPr>
      <w:r>
        <w:drawing>
          <wp:inline>
            <wp:extent cx="5334000" cy="3809999"/>
            <wp:effectExtent b="0" l="0" r="0" t="0"/>
            <wp:docPr descr="Figura 5.9: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7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8" w:name="fig19"/>
      <w:r>
        <w:t xml:space="preserve">Figure </w:t>
      </w:r>
      <w:fldSimple w:instr="SEQ Figure \* ARABIC ">
        <w:r>
          <w:t>19</w:t>
        </w:r>
      </w:fldSimple>
      <w:r>
        <w:t xml:space="preserve">:</w:t>
      </w:r>
      <w:r>
        <w:t xml:space="preserve"> </w:t>
      </w:r>
      <w:bookmarkEnd w:id="78"/>
      <w:r>
        <w:t xml:space="preserve">Figura 5.9: Tiempo de demora para adquisición de recetarios.</w:t>
      </w:r>
    </w:p>
    <w:p>
      <w:pPr>
        <w:pStyle w:val="BodyText"/>
      </w:pPr>
      <w:r>
        <w:t xml:space="preserve">En la Figura</w:t>
      </w:r>
      <w:r>
        <w:t xml:space="preserve"> </w:t>
      </w:r>
      <w:r>
        <w:t xml:space="preserve">5.9</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bookmarkEnd w:id="79"/>
    <w:bookmarkEnd w:id="80"/>
    <w:bookmarkStart w:id="99" w:name="procesos-relacionados-a-los-recetarios"/>
    <w:p>
      <w:pPr>
        <w:pStyle w:val="Heading2"/>
      </w:pPr>
      <w:r>
        <w:rPr>
          <w:rStyle w:val="SectionNumber"/>
        </w:rPr>
        <w:t xml:space="preserve">5.4</w:t>
      </w:r>
      <w:r>
        <w:tab/>
      </w:r>
      <w:r>
        <w:t xml:space="preserve">Procesos relacionados a los recetarios</w:t>
      </w:r>
    </w:p>
    <w:bookmarkStart w:id="83" w:name="recepción-de-recetarios"/>
    <w:p>
      <w:pPr>
        <w:pStyle w:val="Heading3"/>
      </w:pPr>
      <w:r>
        <w:rPr>
          <w:rStyle w:val="SectionNumber"/>
        </w:rPr>
        <w:t xml:space="preserve">5.4.1</w:t>
      </w:r>
      <w:r>
        <w:tab/>
      </w:r>
      <w:r>
        <w:t xml:space="preserve">Recepción de recetarios</w:t>
      </w:r>
    </w:p>
    <w:p>
      <w:pPr>
        <w:pStyle w:val="FirstParagraph"/>
      </w:pPr>
      <w:r>
        <w:t xml:space="preserve">En relación con la Figura</w:t>
      </w:r>
      <w:r>
        <w:t xml:space="preserve"> </w:t>
      </w:r>
      <w:r>
        <w:t xml:space="preserve">5.10</w:t>
      </w:r>
      <w:r>
        <w:t xml:space="preserve">A, se puede observar que 17 de los FRE entrevistados confirmaron que, sí reciben los recetarios diligenciados de las instituciones inscritas en su despacho dentro de los tiempos estimados, ver Figura</w:t>
      </w:r>
      <w:r>
        <w:t xml:space="preserve"> </w:t>
      </w:r>
      <w:r>
        <w:t xml:space="preserve">5.10</w:t>
      </w:r>
      <w:r>
        <w:t xml:space="preserve">B. Esto se realiza con el fin de corroborar los informes allegados correspondientes al anexo 13 que se entregan mensualmente.</w:t>
      </w:r>
    </w:p>
    <w:p>
      <w:pPr>
        <w:pStyle w:val="CaptionedFigure"/>
      </w:pPr>
      <w:r>
        <w:drawing>
          <wp:inline>
            <wp:extent cx="5334000" cy="2667000"/>
            <wp:effectExtent b="0" l="0" r="0" t="0"/>
            <wp:docPr descr="Figura 5.10: Recepción de recetarios. (A) Porcentaje de entes territoriales que reciben recetarios oficiales recibidos prescritos/diligenciados. (B) Tiempo de recepción de recetarios oficiales desde IP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82" w:name="fig20"/>
      <w:r>
        <w:t xml:space="preserve">Figure </w:t>
      </w:r>
      <w:fldSimple w:instr="SEQ Figure \* ARABIC ">
        <w:r>
          <w:t>20</w:t>
        </w:r>
      </w:fldSimple>
      <w:r>
        <w:t xml:space="preserve">:</w:t>
      </w:r>
      <w:r>
        <w:t xml:space="preserve"> </w:t>
      </w:r>
      <w:bookmarkEnd w:id="82"/>
      <w:r>
        <w:t xml:space="preserve">Figura 5.10: Recepción de recetarios. (A) Porcentaje de entes territoriales que reciben recetarios oficiales recibidos prescritos/diligenciados. (B) Tiempo de recepción de recetarios oficiales desde IPS.</w:t>
      </w:r>
    </w:p>
    <w:p>
      <w:pPr>
        <w:pStyle w:val="BodyText"/>
      </w:pPr>
      <w:r>
        <w:t xml:space="preserve">Los recetarios entregados deben revisarse exhaustivamente para evidenciar el buen uso de estos. Junto con los recetarios se trae el anexo 13 para corroborar que los medicamentos formulados coincidan con los valores prescritos en cada uno de los mismos. Esta tarea se realiza en 17 de los 31 departamentos visitados, sin embargo, es una actividad demorada debido a la: (a) falta de personal en los entes territoriales y (b) cantidad de instituciones inscritas y/o médicos prescriptores que hay en el departamento.</w:t>
      </w:r>
    </w:p>
    <w:p>
      <w:pPr>
        <w:pStyle w:val="BodyText"/>
      </w:pPr>
      <w:r>
        <w:t xml:space="preserve">El resto de los departamentos (57%) no reciben los recetarios prescritos en físico, entre las razones, la más frecuente está relacionada con la capacidad de almacenamiento del FRE de este tipo de documentación, que suele ser muy limitado o no se cuenta con el mismo. En dichos casos, los FRE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 un muestreo para verificar que las fórmulas prescritas en un determinado tiempo concuerden con las cantidades de medicamentos reportados en los informes mensuales.</w:t>
      </w:r>
    </w:p>
    <w:bookmarkEnd w:id="83"/>
    <w:bookmarkStart w:id="88" w:name="venta-de-recetarios-oficiales"/>
    <w:p>
      <w:pPr>
        <w:pStyle w:val="Heading3"/>
      </w:pPr>
      <w:r>
        <w:rPr>
          <w:rStyle w:val="SectionNumber"/>
        </w:rPr>
        <w:t xml:space="preserve">5.4.2</w:t>
      </w:r>
      <w:r>
        <w:tab/>
      </w:r>
      <w:r>
        <w:t xml:space="preserve">Venta de recetarios oficiales</w:t>
      </w:r>
    </w:p>
    <w:p>
      <w:pPr>
        <w:pStyle w:val="FirstParagraph"/>
      </w:pPr>
      <w:r>
        <w:t xml:space="preserve">El proceso de venta de recetarios oficiales se lleva a cabo de forma estandarizada en el grueso de los FRE del país, siguiendo el procedimiento descrito en la Figura</w:t>
      </w:r>
      <w:r>
        <w:t xml:space="preserve"> </w:t>
      </w:r>
      <w:r>
        <w:t xml:space="preserve">5.11</w:t>
      </w:r>
      <w:r>
        <w:t xml:space="preserve">. Allí se observa se forma generalizada la primera instancia del proceso, la cual es la solicitud de cotización de recetarios oficiales al FRE. Esta puede ser de forma personal o vía correo electrónico. Posterior a ello, el ente territorial realiza su estudio interno de disponibilidad y responde a la institución interesada con la cantidad que puede vender, de ser el caso en que no disponga del total de recetarios que el establecimiento farmacéutico requirió.</w:t>
      </w:r>
    </w:p>
    <w:p>
      <w:pPr>
        <w:pStyle w:val="CaptionedFigure"/>
      </w:pPr>
      <w:r>
        <w:drawing>
          <wp:inline>
            <wp:extent cx="4639376" cy="4350618"/>
            <wp:effectExtent b="0" l="0" r="0" t="0"/>
            <wp:docPr descr="Figura 5.11: Proceso de venta de recetarios oficiales." title="" id="1" name="Picture"/>
            <a:graphic>
              <a:graphicData uri="http://schemas.openxmlformats.org/drawingml/2006/picture">
                <pic:pic>
                  <pic:nvPicPr>
                    <pic:cNvPr descr="figures/procesoVentaREC.png" id="0" name="Picture"/>
                    <pic:cNvPicPr>
                      <a:picLocks noChangeArrowheads="1" noChangeAspect="1"/>
                    </pic:cNvPicPr>
                  </pic:nvPicPr>
                  <pic:blipFill>
                    <a:blip r:embed="rId84"/>
                    <a:stretch>
                      <a:fillRect/>
                    </a:stretch>
                  </pic:blipFill>
                  <pic:spPr bwMode="auto">
                    <a:xfrm>
                      <a:off x="0" y="0"/>
                      <a:ext cx="4639376" cy="4350618"/>
                    </a:xfrm>
                    <a:prstGeom prst="rect">
                      <a:avLst/>
                    </a:prstGeom>
                    <a:noFill/>
                    <a:ln w="9525">
                      <a:noFill/>
                      <a:headEnd/>
                      <a:tailEnd/>
                    </a:ln>
                  </pic:spPr>
                </pic:pic>
              </a:graphicData>
            </a:graphic>
          </wp:inline>
        </w:drawing>
      </w:r>
    </w:p>
    <w:p>
      <w:pPr>
        <w:pStyle w:val="ImageCaption"/>
      </w:pPr>
      <w:bookmarkStart w:id="85" w:name="fig21"/>
      <w:r>
        <w:t xml:space="preserve">Figure </w:t>
      </w:r>
      <w:fldSimple w:instr="SEQ Figure \* ARABIC ">
        <w:r>
          <w:t>21</w:t>
        </w:r>
      </w:fldSimple>
      <w:r>
        <w:t xml:space="preserve">:</w:t>
      </w:r>
      <w:r>
        <w:t xml:space="preserve"> </w:t>
      </w:r>
      <w:bookmarkEnd w:id="85"/>
      <w:r>
        <w:t xml:space="preserve">Figura 5.11: Proceso de venta de recetarios oficiales.</w:t>
      </w:r>
    </w:p>
    <w:p>
      <w:pPr>
        <w:pStyle w:val="BodyText"/>
      </w:pPr>
      <w:r>
        <w:t xml:space="preserve">Según la Resolución 1479 de 2006</w:t>
      </w:r>
      <w:hyperlink w:anchor="ref-MSPS1479-2006">
        <w:r>
          <w:rPr>
            <w:rStyle w:val="Hyperlink"/>
            <w:vertAlign w:val="superscript"/>
          </w:rPr>
          <w:t xml:space="preserve">2</w:t>
        </w:r>
      </w:hyperlink>
      <w:r>
        <w:t xml:space="preserve"> </w:t>
      </w:r>
      <w:r>
        <w:t xml:space="preserve">- articulo 3, cada FRE debe contar con una cuenta bancaria en donde administre sus operaciones. En esta cuenta es donde la institución interesada deposita el monto de la cotización realizada. Finalmente, se radica ante el FRE el soporte de pago y los documentos de la cotización para que sean enviados al área de contabilidad del ente territorial, y los recetarios despachados al establecimiento farmacéutico que los requiere.</w:t>
      </w:r>
    </w:p>
    <w:p>
      <w:pPr>
        <w:pStyle w:val="BodyText"/>
      </w:pPr>
      <w:r>
        <w:t xml:space="preserve">Este proceso de venta de recetarios oficiales se desarrolla de forma rápida como lo demuestra la Figura</w:t>
      </w:r>
      <w:r>
        <w:t xml:space="preserve"> </w:t>
      </w:r>
      <w:r>
        <w:t xml:space="preserve">5.12</w:t>
      </w:r>
      <w:r>
        <w:t xml:space="preserve">. En la mayoría de departamentos tarda entre 1 y 2 días concretar la venta, tiempo que es determinado realmente por el establecimiento y cuanto demore en hacer el pago bancario a la cuenta del FRE. Los casos particulares en que el proceso toma hasta 5 días o más, como es el caso particular del FRE de Norte de Santander, se da por el alto riesgo de desvíos y posibilidad de fraudes de recetarios oficiales, por lo que los funcionarios del ente territorial, se toman una semana para realizar exhaustivamente la revisión del comprador. Por otro lado, en los FRE de Huila, Tolima y Vaupés, este comportamiento se presenta principalmente por falta de personal que pueda abarcar el total de las actividades que debe desarrollar el ente territorial, panorama común dentro de lo observado a lo largo de los acompañamientos técnicos del Proyecto de inversión Misión PRI 1901 a los distintos FRE de la nación, en donde por carencia de personal suficiente se tienen que priorizar unas tareas y relegar otras actividades del ente territorial igualmente valiosas para la salud pública de la región.</w:t>
      </w:r>
    </w:p>
    <w:p>
      <w:pPr>
        <w:pStyle w:val="CaptionedFigure"/>
      </w:pPr>
      <w:r>
        <w:drawing>
          <wp:inline>
            <wp:extent cx="5334000" cy="4000500"/>
            <wp:effectExtent b="0" l="0" r="0" t="0"/>
            <wp:docPr descr="Figura 5.12: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87" w:name="fig22"/>
      <w:r>
        <w:t xml:space="preserve">Figure </w:t>
      </w:r>
      <w:fldSimple w:instr="SEQ Figure \* ARABIC ">
        <w:r>
          <w:t>22</w:t>
        </w:r>
      </w:fldSimple>
      <w:r>
        <w:t xml:space="preserve">:</w:t>
      </w:r>
      <w:r>
        <w:t xml:space="preserve"> </w:t>
      </w:r>
      <w:bookmarkEnd w:id="87"/>
      <w:r>
        <w:t xml:space="preserve">Figura 5.12: Tiempo de demora en la venta de recetarios oficiales a clientes.</w:t>
      </w:r>
    </w:p>
    <w:bookmarkEnd w:id="88"/>
    <w:bookmarkStart w:id="93" w:name="seguimiento-a-uso-de-recetarios"/>
    <w:p>
      <w:pPr>
        <w:pStyle w:val="Heading3"/>
      </w:pPr>
      <w:r>
        <w:rPr>
          <w:rStyle w:val="SectionNumber"/>
        </w:rPr>
        <w:t xml:space="preserve">5.4.3</w:t>
      </w:r>
      <w:r>
        <w:tab/>
      </w:r>
      <w:r>
        <w:t xml:space="preserve">Seguimiento a uso de recetarios</w:t>
      </w:r>
    </w:p>
    <w:p>
      <w:pPr>
        <w:pStyle w:val="FirstParagraph"/>
      </w:pPr>
      <w:r>
        <w:t xml:space="preserve">La Figura</w:t>
      </w:r>
      <w:r>
        <w:t xml:space="preserve"> </w:t>
      </w:r>
      <w:r>
        <w:t xml:space="preserve">5.13</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6"/>
        </w:numPr>
      </w:pPr>
      <w:r>
        <w:t xml:space="preserve">Datos básicos de las entidades y prescriptores inscritos en el FRE.</w:t>
      </w:r>
    </w:p>
    <w:p>
      <w:pPr>
        <w:numPr>
          <w:ilvl w:val="0"/>
          <w:numId w:val="1016"/>
        </w:numPr>
      </w:pPr>
      <w:r>
        <w:t xml:space="preserve">Unidades consumidas y su respectivo valor.</w:t>
      </w:r>
    </w:p>
    <w:p>
      <w:pPr>
        <w:numPr>
          <w:ilvl w:val="0"/>
          <w:numId w:val="1016"/>
        </w:numPr>
      </w:pPr>
      <w:r>
        <w:t xml:space="preserve">Datos de identificación de los recetarios.</w:t>
      </w:r>
    </w:p>
    <w:p>
      <w:pPr>
        <w:numPr>
          <w:ilvl w:val="0"/>
          <w:numId w:val="1016"/>
        </w:numPr>
      </w:pPr>
      <w:r>
        <w:t xml:space="preserve">Número de talonarios que se distribuyen en los respectivos departamentos.</w:t>
      </w:r>
    </w:p>
    <w:p>
      <w:pPr>
        <w:pStyle w:val="CaptionedFigure"/>
      </w:pPr>
      <w:r>
        <w:drawing>
          <wp:inline>
            <wp:extent cx="5334000" cy="3048000"/>
            <wp:effectExtent b="0" l="0" r="0" t="0"/>
            <wp:docPr descr="Figura 5.13: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89"/>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90" w:name="fig23"/>
      <w:r>
        <w:t xml:space="preserve">Figure </w:t>
      </w:r>
      <w:fldSimple w:instr="SEQ Figure \* ARABIC ">
        <w:r>
          <w:t>23</w:t>
        </w:r>
      </w:fldSimple>
      <w:r>
        <w:t xml:space="preserve">:</w:t>
      </w:r>
      <w:r>
        <w:t xml:space="preserve"> </w:t>
      </w:r>
      <w:bookmarkEnd w:id="90"/>
      <w:r>
        <w:t xml:space="preserve">Figura 5.13: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7"/>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7"/>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5.13</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5.14</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En segundo lugar, se encuentra la verificación de base de ventas. Esta actividad se explicó al mencionar que las mismas se utilizan para el control y seguimiento de posibles desvíos o anormalidades en los consumos.</w:t>
      </w:r>
    </w:p>
    <w:p>
      <w:pPr>
        <w:pStyle w:val="BodyText"/>
      </w:pPr>
      <w:r>
        <w:t xml:space="preserve">Las actividades anteriormente descritas se consideran actividades de seguimiento pasivas, caso contrario a la verificación de recambios. Esta actividad se realiza en un 22% del territorio Nacional, la cual consiste en autorizar la venta de recetarios a las entidades y/o médicos prescriptores solo sí devuelve los recetarios comprados anteriormente. Por parte de los departamentos se aclara que no es necesarios vender la misma cantidad de recetarios que el comprador devuelve.</w:t>
      </w:r>
    </w:p>
    <w:p>
      <w:pPr>
        <w:pStyle w:val="BodyText"/>
      </w:pPr>
      <w:r>
        <w:t xml:space="preserve">Otras actividades de seguimiento activo al manejo de RO son el seguimiento a las denuncias, las cuales tienen una proporción menor al 5%. Finalmente,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4: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9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2" w:name="fig24"/>
      <w:r>
        <w:t xml:space="preserve">Figure </w:t>
      </w:r>
      <w:fldSimple w:instr="SEQ Figure \* ARABIC ">
        <w:r>
          <w:t>24</w:t>
        </w:r>
      </w:fldSimple>
      <w:r>
        <w:t xml:space="preserve">:</w:t>
      </w:r>
      <w:r>
        <w:t xml:space="preserve"> </w:t>
      </w:r>
      <w:bookmarkEnd w:id="92"/>
      <w:r>
        <w:t xml:space="preserve">Figura 5.14: Actividades realizadas por el FRE para el seguimiento del uso de recetarios.</w:t>
      </w:r>
    </w:p>
    <w:bookmarkEnd w:id="93"/>
    <w:bookmarkStart w:id="98" w:name="archivo-de-recetarios"/>
    <w:p>
      <w:pPr>
        <w:pStyle w:val="Heading3"/>
      </w:pPr>
      <w:r>
        <w:rPr>
          <w:rStyle w:val="SectionNumber"/>
        </w:rPr>
        <w:t xml:space="preserve">5.4.4</w:t>
      </w:r>
      <w:r>
        <w:tab/>
      </w:r>
      <w:r>
        <w:t xml:space="preserve">Archivo de recetarios</w:t>
      </w:r>
    </w:p>
    <w:p>
      <w:pPr>
        <w:pStyle w:val="FirstParagraph"/>
      </w:pPr>
      <w:r>
        <w:t xml:space="preserve">Durante el acompañamiento se complementó como recomendación a los FRE, se considerará alinearse a lo expresado en la Circular 009 de 2015 del FNE, donde se difunde la buena práctica de implementar bases de retención documental y gestión de archivo</w:t>
      </w:r>
      <w:hyperlink w:anchor="ref-FNE2015-9">
        <w:r>
          <w:rPr>
            <w:rStyle w:val="Hyperlink"/>
            <w:vertAlign w:val="superscript"/>
          </w:rPr>
          <w:t xml:space="preserve">11</w:t>
        </w:r>
      </w:hyperlink>
      <w:r>
        <w:t xml:space="preserve">. La frecuencia con la cual se reciben los recetarios oficiales a los FRE desde las entidades y médicos prescriptores inscritos se observa en la Figura</w:t>
      </w:r>
      <w:r>
        <w:t xml:space="preserve"> </w:t>
      </w:r>
      <w:r>
        <w:t xml:space="preserve">5.10</w:t>
      </w:r>
      <w:r>
        <w:t xml:space="preserve">B La frecuencia de recepción de recetarios guarda relación con la información analizada en el punto anterior. Se tiene que 13 FRE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 Se tiene que 17 de 31 FRE reciben los recetarios oficiales desde IPS.</w:t>
      </w:r>
    </w:p>
    <w:p>
      <w:pPr>
        <w:pStyle w:val="BodyText"/>
      </w:pPr>
      <w:r>
        <w:t xml:space="preserve">Complementando la información reportada en la Figura</w:t>
      </w:r>
      <w:r>
        <w:t xml:space="preserve"> </w:t>
      </w:r>
      <w:r>
        <w:t xml:space="preserve">5.10</w:t>
      </w:r>
      <w:r>
        <w:t xml:space="preserve"> </w:t>
      </w:r>
      <w:r>
        <w:t xml:space="preserve">y en la Figura</w:t>
      </w:r>
      <w:r>
        <w:t xml:space="preserve"> </w:t>
      </w:r>
      <w:r>
        <w:t xml:space="preserve">5.15</w:t>
      </w:r>
      <w:r>
        <w:t xml:space="preserve">, se relacionó el tiempo de archivo que los FRE que si reciben los recetarios oficiales los almacenan, obteniendo que 10 FRE los almacenan por un periodo mayor a 5 años. Durante las jornadas de inmersión territorial se pudo observar que este tiempo de almacenamiento, en la mayoría de los casos, es por desinformación en los FRE, puesto que no se tiene presente el tiempo que se deben guardar estas copias, y al considerarlas parte de la historia clínica de un paciente estiman guardarlas hasta por 10 años, superando en muchos casos la capacidad de archivo de los FRE.</w:t>
      </w:r>
    </w:p>
    <w:p>
      <w:pPr>
        <w:pStyle w:val="CaptionedFigure"/>
      </w:pPr>
      <w:r>
        <w:drawing>
          <wp:inline>
            <wp:extent cx="5334000" cy="3809999"/>
            <wp:effectExtent b="0" l="0" r="0" t="0"/>
            <wp:docPr descr="Figura 5.15: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5" w:name="fig25"/>
      <w:r>
        <w:t xml:space="preserve">Figure </w:t>
      </w:r>
      <w:fldSimple w:instr="SEQ Figure \* ARABIC ">
        <w:r>
          <w:t>25</w:t>
        </w:r>
      </w:fldSimple>
      <w:r>
        <w:t xml:space="preserve">:</w:t>
      </w:r>
      <w:r>
        <w:t xml:space="preserve"> </w:t>
      </w:r>
      <w:bookmarkEnd w:id="95"/>
      <w:r>
        <w:t xml:space="preserve">Figura 5.15: Tiempo de archivo de los recetarios oficiales en los FRE.</w:t>
      </w:r>
    </w:p>
    <w:p>
      <w:pPr>
        <w:pStyle w:val="BodyText"/>
      </w:pPr>
      <w:r>
        <w:t xml:space="preserve">En otros casos, la intención de archivo se acoge a las medidas establecidas por las gobernaciones, en las cuales se pide un archivo de 20 años para documentación critica, según las tablas de retención documental gubernamental</w:t>
      </w:r>
      <w:hyperlink w:anchor="X4242f5a7e44b24d61e2675796eed085a7e5e2cf">
        <w:r>
          <w:rPr>
            <w:rStyle w:val="Hyperlink"/>
            <w:vertAlign w:val="superscript"/>
          </w:rPr>
          <w:t xml:space="preserve">12</w:t>
        </w:r>
      </w:hyperlink>
      <w:r>
        <w:t xml:space="preserve">. Otros FRE en cambio establecieron protocolo de archivo y una vez cumplido el periodo de almacenamiento, por supuesto, posterior revisión, los recetarios oficiales son destruidos.</w:t>
      </w:r>
    </w:p>
    <w:p>
      <w:pPr>
        <w:pStyle w:val="BodyText"/>
      </w:pPr>
      <w:r>
        <w:t xml:space="preserve">Como se mencionó previamente durante el acompañamiento se compartió la Circular 009 de 2015</w:t>
      </w:r>
      <w:hyperlink w:anchor="ref-FNE2015-9">
        <w:r>
          <w:rPr>
            <w:rStyle w:val="Hyperlink"/>
            <w:vertAlign w:val="superscript"/>
          </w:rPr>
          <w:t xml:space="preserve">11</w:t>
        </w:r>
      </w:hyperlink>
      <w:r>
        <w:t xml:space="preserve">, la cual en su Artículo Primero expresa:</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 Cuando se utilicen talonarios (artículo 30, inciso 2 b) de recetas oficiales, dichos talonarios se conservarán también durante un periodo de dos años por lo menos</w:t>
      </w:r>
      <w:r>
        <w:rPr>
          <w:iCs/>
          <w:i/>
        </w:rPr>
        <w:t xml:space="preserve">”</w:t>
      </w:r>
      <w:r>
        <w:rPr>
          <w:iCs/>
          <w:i/>
        </w:rPr>
        <w:t xml:space="preserve">.</w:t>
      </w:r>
    </w:p>
    <w:p>
      <w:pPr>
        <w:pStyle w:val="FirstParagraph"/>
      </w:pPr>
      <w:r>
        <w:t xml:space="preserve">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5.16</w:t>
      </w:r>
      <w:r>
        <w:t xml:space="preserve"> </w:t>
      </w:r>
      <w:r>
        <w:t xml:space="preserve">se observa que todos los departamentos han implementado algún tipo de medida de seguridad para el control de los recetarios.</w:t>
      </w:r>
    </w:p>
    <w:p>
      <w:pPr>
        <w:pStyle w:val="CaptionedFigure"/>
      </w:pPr>
      <w:r>
        <w:drawing>
          <wp:inline>
            <wp:extent cx="5334000" cy="3809999"/>
            <wp:effectExtent b="0" l="0" r="0" t="0"/>
            <wp:docPr descr="Figura 5.16: Proporción de FRE con medidas de seguridad implementada en almacenamiento de recetarios."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7" w:name="fig26"/>
      <w:r>
        <w:t xml:space="preserve">Figure </w:t>
      </w:r>
      <w:fldSimple w:instr="SEQ Figure \* ARABIC ">
        <w:r>
          <w:t>26</w:t>
        </w:r>
      </w:fldSimple>
      <w:r>
        <w:t xml:space="preserve">:</w:t>
      </w:r>
      <w:r>
        <w:t xml:space="preserve"> </w:t>
      </w:r>
      <w:bookmarkEnd w:id="97"/>
      <w:r>
        <w:t xml:space="preserve">Figura 5.16: Proporción de FRE con medidas de seguridad implementada en almacenamiento de recetarios.</w:t>
      </w:r>
    </w:p>
    <w:p>
      <w:pPr>
        <w:pStyle w:val="BodyText"/>
      </w:pPr>
      <w:r>
        <w:t xml:space="preserve">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recetarios. 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w:t>
      </w:r>
    </w:p>
    <w:p>
      <w:pPr>
        <w:pStyle w:val="BodyText"/>
      </w:pPr>
      <w:r>
        <w:t xml:space="preserve">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Por último, sólo 3 departamentos realizan un inventario físico diario, asegurando que los recetarios estén completos. Esta actividad suele hacerse revisando las cajas donde son traídos los recetarios, observando que la cantidad de estas no estén alteradas.</w:t>
      </w:r>
    </w:p>
    <w:bookmarkEnd w:id="98"/>
    <w:bookmarkEnd w:id="99"/>
    <w:bookmarkStart w:id="108" w:name="características-de-los-recetarios"/>
    <w:p>
      <w:pPr>
        <w:pStyle w:val="Heading2"/>
      </w:pPr>
      <w:r>
        <w:rPr>
          <w:rStyle w:val="SectionNumber"/>
        </w:rPr>
        <w:t xml:space="preserve">5.5</w:t>
      </w:r>
      <w:r>
        <w:tab/>
      </w:r>
      <w:r>
        <w:t xml:space="preserve">Características de los recetarios</w:t>
      </w:r>
    </w:p>
    <w:bookmarkStart w:id="102" w:name="número-de-prescripciones-por-recetario"/>
    <w:p>
      <w:pPr>
        <w:pStyle w:val="Heading3"/>
      </w:pPr>
      <w:r>
        <w:rPr>
          <w:rStyle w:val="SectionNumber"/>
        </w:rPr>
        <w:t xml:space="preserve">5.5.1</w:t>
      </w:r>
      <w:r>
        <w:tab/>
      </w:r>
      <w:r>
        <w:t xml:space="preserve">Número de prescripciones por recetario</w:t>
      </w:r>
    </w:p>
    <w:p>
      <w:pPr>
        <w:pStyle w:val="FirstParagraph"/>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5.17</w:t>
      </w:r>
      <w:r>
        <w:t xml:space="preserve">. Cabe aclarar que según las normas de regulación de MME y recetarios oficiales, como los son las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17: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10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1" w:name="fig27"/>
      <w:r>
        <w:t xml:space="preserve">Figure </w:t>
      </w:r>
      <w:fldSimple w:instr="SEQ Figure \* ARABIC ">
        <w:r>
          <w:t>27</w:t>
        </w:r>
      </w:fldSimple>
      <w:r>
        <w:t xml:space="preserve">:</w:t>
      </w:r>
      <w:r>
        <w:t xml:space="preserve"> </w:t>
      </w:r>
      <w:bookmarkEnd w:id="101"/>
      <w:r>
        <w:t xml:space="preserve">Figura 5.17: N.° de prescripciones por recetario.</w:t>
      </w:r>
    </w:p>
    <w:bookmarkEnd w:id="102"/>
    <w:bookmarkStart w:id="107" w:name="medidas-de-seguridad"/>
    <w:p>
      <w:pPr>
        <w:pStyle w:val="Heading3"/>
      </w:pPr>
      <w:r>
        <w:rPr>
          <w:rStyle w:val="SectionNumber"/>
        </w:rPr>
        <w:t xml:space="preserve">5.5.2</w:t>
      </w:r>
      <w:r>
        <w:tab/>
      </w:r>
      <w:r>
        <w:t xml:space="preserve">Medidas de seguridad</w:t>
      </w:r>
    </w:p>
    <w:p>
      <w:pPr>
        <w:pStyle w:val="FirstParagraph"/>
      </w:pPr>
      <w:r>
        <w:t xml:space="preserve">Uno de los puntos de acompañamiento del proyecto Misión PRI 1901 era conocer tanto en las visitas presenciales como virtuales, los tipos de medidas de seguridad que se implementan en los recetarios. La Figura</w:t>
      </w:r>
      <w:r>
        <w:t xml:space="preserve"> </w:t>
      </w:r>
      <w:r>
        <w:t xml:space="preserve">5.18</w:t>
      </w:r>
      <w:r>
        <w:t xml:space="preserve"> </w:t>
      </w:r>
      <w:r>
        <w:t xml:space="preserve">contempló lo mencionado anteriormente, en la cual se observa que existe una gran variedad de medidas consideradas de seguridad en los recetarios, y que existen y existirán tantas como proponentes se tengan. Así mismo, se catalogaron las medidas de seguridad en baja y alta complejidad, teniendo como base lo difícil que pueden llegar a ser falsificados. Se reconoce que todos los departamentos implementaron la codificación en los recetarios oficiales tal y como se menciona en la Resolución 1478 de 2008</w:t>
      </w:r>
      <w:hyperlink w:anchor="ref-MSPS1478-2006">
        <w:r>
          <w:rPr>
            <w:rStyle w:val="Hyperlink"/>
            <w:vertAlign w:val="superscript"/>
          </w:rPr>
          <w:t xml:space="preserve">1</w:t>
        </w:r>
      </w:hyperlink>
      <w:r>
        <w:t xml:space="preserve"> </w:t>
      </w:r>
      <w:r>
        <w:t xml:space="preserve">en el Artículo 89 y dicha codificación desarrollada para cada talonario está pensada para ser una identificación única de los mismos.</w:t>
      </w:r>
      <w:r>
        <w:t xml:space="preserve"> </w:t>
      </w:r>
      <w:r>
        <w:t xml:space="preserve">Tanto como la codificación como las marcas de agua, sellos y escudos se catalogaron como medidas de seguridad de baja complejidad, teniendo en cuenta que hay un riesgo latente de falsificación debido a que las marcas de agua corresponden a figuras particulares o al escudo de la gobernación y/o secretaria de salud, al igual que los sellos y escudos. Sumado a lo anterior, los recetarios están elaborados en papel común y corriente, lo que podría aumentar la probabilidad de ser falsificados.</w:t>
      </w:r>
    </w:p>
    <w:p>
      <w:pPr>
        <w:pStyle w:val="CaptionedFigure"/>
      </w:pPr>
      <w:r>
        <w:drawing>
          <wp:inline>
            <wp:extent cx="5334000" cy="3809999"/>
            <wp:effectExtent b="0" l="0" r="0" t="0"/>
            <wp:docPr descr="Figura 5.18: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10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04" w:name="fig28"/>
      <w:r>
        <w:t xml:space="preserve">Figure </w:t>
      </w:r>
      <w:fldSimple w:instr="SEQ Figure \* ARABIC ">
        <w:r>
          <w:t>28</w:t>
        </w:r>
      </w:fldSimple>
      <w:r>
        <w:t xml:space="preserve">:</w:t>
      </w:r>
      <w:r>
        <w:t xml:space="preserve"> </w:t>
      </w:r>
      <w:bookmarkEnd w:id="104"/>
      <w:r>
        <w:t xml:space="preserve">Figura 5.18: Medidas de seguridad en los recetarios.</w:t>
      </w:r>
    </w:p>
    <w:p>
      <w:pPr>
        <w:pStyle w:val="BodyText"/>
      </w:pPr>
      <w:r>
        <w:t xml:space="preserve">Considerando lo anterior, los FRE han optado por implementar niveles de seguridad mayores y elevar la confianza en el manejo de los recetarios, entre estas medidas se observan las siguientes:</w:t>
      </w:r>
    </w:p>
    <w:p>
      <w:pPr>
        <w:numPr>
          <w:ilvl w:val="0"/>
          <w:numId w:val="1018"/>
        </w:numPr>
      </w:pPr>
      <w:r>
        <w:t xml:space="preserve">Tintas invisibles o fluorescentes que brillan al estar frente a la luz UV.</w:t>
      </w:r>
    </w:p>
    <w:p>
      <w:pPr>
        <w:numPr>
          <w:ilvl w:val="0"/>
          <w:numId w:val="1018"/>
        </w:numPr>
      </w:pPr>
      <w:r>
        <w:t xml:space="preserve">Microletras/microtextos, los cuales están inmersos en cada folio del recetario donde se describe para quien va cada copia.</w:t>
      </w:r>
    </w:p>
    <w:p>
      <w:pPr>
        <w:numPr>
          <w:ilvl w:val="0"/>
          <w:numId w:val="1018"/>
        </w:numPr>
      </w:pPr>
      <w:r>
        <w:t xml:space="preserve">Relieves o laminados observados en la copia original de los recetarios.</w:t>
      </w:r>
    </w:p>
    <w:p>
      <w:pPr>
        <w:numPr>
          <w:ilvl w:val="0"/>
          <w:numId w:val="1018"/>
        </w:numPr>
      </w:pPr>
      <w:r>
        <w:t xml:space="preserve">Filamentos o bandas de seguridad tecnología similar a los billetes.</w:t>
      </w:r>
    </w:p>
    <w:p>
      <w:pPr>
        <w:numPr>
          <w:ilvl w:val="0"/>
          <w:numId w:val="1018"/>
        </w:numPr>
      </w:pPr>
      <w:r>
        <w:t xml:space="preserve">Pruebas reactivo metal, que consisten en raspar un espacio determinado del recetario con un metal o moneda desde la página original del mismo y automáticamente los folios continuos se marcarán.</w:t>
      </w:r>
    </w:p>
    <w:p>
      <w:pPr>
        <w:numPr>
          <w:ilvl w:val="0"/>
          <w:numId w:val="1018"/>
        </w:numPr>
      </w:pPr>
      <w:r>
        <w:t xml:space="preserve">Códigos QR que codifican información del año en el cual fue distribuido el talonario.</w:t>
      </w:r>
    </w:p>
    <w:p>
      <w:pPr>
        <w:pStyle w:val="FirstParagraph"/>
      </w:pPr>
      <w:r>
        <w:t xml:space="preserve">Menos del 40% de los FRE han implementado medidas de alta seguridad en sus recetarios debido a la capacidad de manufactura de los proveedores departamentales. Dicha limitante se identificó en especial en las regiones alejadas del centro del país, donde en términos de los FRE, los proveedores departamentales no tienen la capacidad o la tecnología suficiente para elaborar un talonario con características de alta seguridad. Además, adquirir contratos con proveedores externos al departamento dificulta el seguimiento o alarga los procesos de compra, por lo que supone superar las barreras geográficas y/o sociales de algunos departamentos.</w:t>
      </w:r>
    </w:p>
    <w:p>
      <w:pPr>
        <w:pStyle w:val="BodyText"/>
      </w:pPr>
      <w:r>
        <w:t xml:space="preserve">Al inicio del proyecto de inversión, se estimaba que los recetarios oficiales con más características de seguridad (independiente de su nivel de complejidad) aumentarían de forma proporcional su costo de adquisición y del mismo modo su precio de venta, sin embargo, se evidenció una tendencia totalmente diferente que se puede observar en la Figura</w:t>
      </w:r>
      <w:r>
        <w:t xml:space="preserve"> </w:t>
      </w:r>
      <w:r>
        <w:t xml:space="preserve">5.19</w:t>
      </w:r>
      <w:r>
        <w:t xml:space="preserve"> </w:t>
      </w:r>
      <w:r>
        <w:t xml:space="preserve">y Figura</w:t>
      </w:r>
      <w:r>
        <w:t xml:space="preserve"> </w:t>
      </w:r>
      <w:r>
        <w:t xml:space="preserve">5.5</w:t>
      </w:r>
      <w:r>
        <w:t xml:space="preserve">, entre más características de seguridad implementadas en un recetario, éste tiende a ser más económico en su costo de adquisición.</w:t>
      </w:r>
    </w:p>
    <w:p>
      <w:pPr>
        <w:pStyle w:val="CaptionedFigure"/>
      </w:pPr>
      <w:r>
        <w:drawing>
          <wp:inline>
            <wp:extent cx="5334000" cy="2667000"/>
            <wp:effectExtent b="0" l="0" r="0" t="0"/>
            <wp:docPr descr="Figura 5.19: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06" w:name="fig29"/>
      <w:r>
        <w:t xml:space="preserve">Figure </w:t>
      </w:r>
      <w:fldSimple w:instr="SEQ Figure \* ARABIC ">
        <w:r>
          <w:t>29</w:t>
        </w:r>
      </w:fldSimple>
      <w:r>
        <w:t xml:space="preserve">:</w:t>
      </w:r>
      <w:r>
        <w:t xml:space="preserve"> </w:t>
      </w:r>
      <w:bookmarkEnd w:id="106"/>
      <w:r>
        <w:t xml:space="preserve">Figura 5.19: Comparativo de márgen de ganancia de recetarios.</w:t>
      </w:r>
    </w:p>
    <w:p>
      <w:pPr>
        <w:pStyle w:val="BodyText"/>
      </w:pPr>
      <w:r>
        <w:t xml:space="preserve">Por otro lado, se observa el margen de ganancia obtenido mediante la venta de recetarios en los fondos rotatorios, este ítem ya se analizó anteriormente con la Figura</w:t>
      </w:r>
      <w:r>
        <w:t xml:space="preserve"> </w:t>
      </w:r>
      <w:r>
        <w:t xml:space="preserve">5.4</w:t>
      </w:r>
      <w:r>
        <w:t xml:space="preserve">. Sin embargo, no se encuentra una relación entre este margen de ganancia con el número de personas que trabajan dentro del FRE.</w:t>
      </w:r>
    </w:p>
    <w:p>
      <w:pPr>
        <w:pStyle w:val="BodyText"/>
      </w:pPr>
      <w:r>
        <w:t xml:space="preserve">Si bien las ganancias obtenidas por las ventas de recetarios son unas de las fuentes principales de ingresos en los entes territoriales, no hay claridad de cómo se manejan estos valores debido a que departamentos con los mismos márgenes de ganancia tienen condiciones distintas, tanto en personal como en infraestructura tecnológica y estructural.</w:t>
      </w:r>
    </w:p>
    <w:bookmarkEnd w:id="107"/>
    <w:bookmarkEnd w:id="108"/>
    <w:bookmarkStart w:id="112" w:name="recetario-oficial-electrónico"/>
    <w:p>
      <w:pPr>
        <w:pStyle w:val="Heading2"/>
      </w:pPr>
      <w:r>
        <w:rPr>
          <w:rStyle w:val="SectionNumber"/>
        </w:rPr>
        <w:t xml:space="preserve">5.6</w:t>
      </w:r>
      <w:r>
        <w:tab/>
      </w:r>
      <w:r>
        <w:t xml:space="preserve">Recetario Oficial Electrónico</w:t>
      </w:r>
    </w:p>
    <w:p>
      <w:pPr>
        <w:pStyle w:val="FirstParagraph"/>
      </w:pPr>
      <w:r>
        <w:t xml:space="preserve">El recetario oficial electrónico (ROE) es una herramienta que busca generar un mecanismo de prescripción estandarizado en el territorio nacional para los medicamentos de control especial (MCE) donde se reúna tanto las prescripciones de uso humano como veterinario. Se espera que constituya un mecanismo integrado a una plataforma como lo es MIPRES (ya implementada y con amplio acceso), permitiendo un mayor seguimiento y control sobre los regímenes actualmente cubiertos por el aplicativo, incluyendo los procesos de información sobre la dispensación de estos productos farmacéuticos y generando la información necesaria para tener un seguimiento y análisis de prescripciones y dispensaciones de MCE en el territorio nacional</w:t>
      </w:r>
      <w:hyperlink w:anchor="ref-CuervoBustamante2021">
        <w:r>
          <w:rPr>
            <w:rStyle w:val="Hyperlink"/>
            <w:vertAlign w:val="superscript"/>
          </w:rPr>
          <w:t xml:space="preserve">13</w:t>
        </w:r>
      </w:hyperlink>
      <w:r>
        <w:t xml:space="preserve">.</w:t>
      </w:r>
    </w:p>
    <w:bookmarkStart w:id="111" w:name="opiniones-sobre-el-roe"/>
    <w:p>
      <w:pPr>
        <w:pStyle w:val="Heading3"/>
      </w:pPr>
      <w:r>
        <w:rPr>
          <w:rStyle w:val="SectionNumber"/>
        </w:rPr>
        <w:t xml:space="preserve">5.6.1</w:t>
      </w:r>
      <w:r>
        <w:tab/>
      </w:r>
      <w:r>
        <w:t xml:space="preserve">Opiniones sobre el ROE</w:t>
      </w:r>
    </w:p>
    <w:p>
      <w:pPr>
        <w:pStyle w:val="CaptionedFigure"/>
      </w:pPr>
      <w:r>
        <w:drawing>
          <wp:inline>
            <wp:extent cx="5334000" cy="3556000"/>
            <wp:effectExtent b="0" l="0" r="0" t="0"/>
            <wp:docPr descr="Figura 5.20: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0"/>
      <w:r>
        <w:t xml:space="preserve">Figure </w:t>
      </w:r>
      <w:fldSimple w:instr="SEQ Figure \* ARABIC ">
        <w:r>
          <w:t>30</w:t>
        </w:r>
      </w:fldSimple>
      <w:r>
        <w:t xml:space="preserve">:</w:t>
      </w:r>
      <w:r>
        <w:t xml:space="preserve"> </w:t>
      </w:r>
      <w:bookmarkEnd w:id="110"/>
      <w:r>
        <w:t xml:space="preserve">Figura 5.20: Opinión sobre la implementación del Recetario Oficial Electrónico (ROE).</w:t>
      </w:r>
    </w:p>
    <w:p>
      <w:pPr>
        <w:pStyle w:val="BodyText"/>
      </w:pPr>
      <w:r>
        <w:t xml:space="preserve">Como se observa en la Figura</w:t>
      </w:r>
      <w:r>
        <w:t xml:space="preserve"> </w:t>
      </w:r>
      <w:r>
        <w:t xml:space="preserve">5.20</w:t>
      </w:r>
      <w:r>
        <w:t xml:space="preserve">, el 58% de los FRE del país tienen una opinión favorable acerca del ROE, ya que, según la información recopilada, los encargados de los diferentes FRE piensan que podría ser una herramienta que brinde mayor seguimiento, trazabilidad y seguridad a las prescripciones de MME, además del ahorro de papel y de espacio de almacenamiento en las bodegas que sería liberado. Como ejemplo de opinión positiva respecto a la implementación del FRE se tiene:</w:t>
      </w:r>
    </w:p>
    <w:p>
      <w:pPr>
        <w:pStyle w:val="BlockText"/>
      </w:pPr>
      <w:r>
        <w:rPr>
          <w:iCs/>
          <w:i/>
        </w:rPr>
        <w:t xml:space="preserve">“</w:t>
      </w:r>
      <w:r>
        <w:rPr>
          <w:iCs/>
          <w:i/>
        </w:rPr>
        <w:t xml:space="preserve">… puede ser un proceso interesante para llevar trazabilidad de los recetarios oficiales. El recetario oficial actual es insuficiente para hacer el respectivo seguimiento y control. Igualmente, el ROE podría mejorar la accesibilidad de medicamentos.</w:t>
      </w:r>
      <w:r>
        <w:rPr>
          <w:iCs/>
          <w:i/>
        </w:rPr>
        <w:t xml:space="preserve">”</w:t>
      </w:r>
    </w:p>
    <w:p>
      <w:pPr>
        <w:pStyle w:val="FirstParagraph"/>
      </w:pPr>
      <w:r>
        <w:t xml:space="preserve">Por otro lado, 29%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Como ejemplo de opinión negativa se tiene:</w:t>
      </w:r>
    </w:p>
    <w:p>
      <w:pPr>
        <w:pStyle w:val="BlockText"/>
      </w:pPr>
      <w:r>
        <w:rPr>
          <w:iCs/>
          <w:i/>
        </w:rPr>
        <w:t xml:space="preserve">“</w:t>
      </w:r>
      <w:r>
        <w:rPr>
          <w:iCs/>
          <w:i/>
        </w:rPr>
        <w:t xml:space="preserve">La razón principal es el factor financiero. El FRE necesita los ingresos generados por los recetarios oficiales propios, para su sostenimiento. Igualmente, es difícil continuar con las actividades de seguimiento y control para los recetarios oficiales. Así mismo, podría prestarse para un manejo inadecuado de los MME, contemplando fraude y desvíos en los recetarios oficiales electrónicos.</w:t>
      </w:r>
      <w:r>
        <w:rPr>
          <w:iCs/>
          <w:i/>
        </w:rPr>
        <w:t xml:space="preserve">”</w:t>
      </w:r>
    </w:p>
    <w:bookmarkEnd w:id="111"/>
    <w:bookmarkEnd w:id="112"/>
    <w:bookmarkEnd w:id="113"/>
    <w:bookmarkStart w:id="173" w:name="manejo-de-medicamentos"/>
    <w:p>
      <w:pPr>
        <w:pStyle w:val="Heading1"/>
      </w:pPr>
      <w:r>
        <w:rPr>
          <w:rStyle w:val="SectionNumber"/>
        </w:rPr>
        <w:t xml:space="preserve">6</w:t>
      </w:r>
      <w:r>
        <w:tab/>
      </w:r>
      <w:r>
        <w:t xml:space="preserve">Manejo de Medicamentos</w:t>
      </w:r>
    </w:p>
    <w:p>
      <w:pPr>
        <w:pStyle w:val="FirstParagraph"/>
      </w:pPr>
      <w:r>
        <w:t xml:space="preserve">El artículo 6 de la Resolución 1478 de 2006</w:t>
      </w:r>
      <w:hyperlink w:anchor="ref-MSPS1478-2006">
        <w:r>
          <w:rPr>
            <w:rStyle w:val="Hyperlink"/>
            <w:vertAlign w:val="superscript"/>
          </w:rPr>
          <w:t xml:space="preserve">1</w:t>
        </w:r>
      </w:hyperlink>
      <w:r>
        <w:t xml:space="preserve"> </w:t>
      </w:r>
      <w:r>
        <w:t xml:space="preserve">refiere las sustancias y los medicamentos fabricados con las mismas que pertenece al monopolio del Estado. Este listado de sustancias se ha modificado mediante la Resolución 262 de 2009</w:t>
      </w:r>
      <w:hyperlink w:anchor="ref-MSPS262-2009">
        <w:r>
          <w:rPr>
            <w:rStyle w:val="Hyperlink"/>
            <w:vertAlign w:val="superscript"/>
          </w:rPr>
          <w:t xml:space="preserve">14</w:t>
        </w:r>
      </w:hyperlink>
      <w:r>
        <w:t xml:space="preserve"> </w:t>
      </w:r>
      <w:r>
        <w:t xml:space="preserve">y la Resolución 940 de 2007</w:t>
      </w:r>
      <w:hyperlink w:anchor="ref-MSPS940-2007">
        <w:r>
          <w:rPr>
            <w:rStyle w:val="Hyperlink"/>
            <w:vertAlign w:val="superscript"/>
          </w:rPr>
          <w:t xml:space="preserve">15</w:t>
        </w:r>
      </w:hyperlink>
      <w:r>
        <w:t xml:space="preserve">, en el sentido de modificar las hojas de coca por cocaína con fines terapéuticos, e incluir a la primidona en todas sus presentaciones de manera respectiva.</w:t>
      </w:r>
    </w:p>
    <w:p>
      <w:pPr>
        <w:pStyle w:val="BodyText"/>
      </w:pPr>
      <w:r>
        <w:t xml:space="preserve">Es así, que el FNE cuenta con el Grupo Interno de Trabajo de Medicamentos del Estado que tiene como objetivo Garantizar la disponibilidad de los medicamentos del Estado de manera oportuna y eficiente en todo el territorio Nacional.</w:t>
      </w:r>
    </w:p>
    <w:p>
      <w:pPr>
        <w:pStyle w:val="BodyText"/>
      </w:pPr>
      <w:r>
        <w:t xml:space="preserve">Actualmente, el FNE ofrece un portafolio de medicamentos monopolio del Estado (MME) como se muestra en la Tabla</w:t>
      </w:r>
      <w:r>
        <w:t xml:space="preserve"> </w:t>
      </w:r>
      <w:r>
        <w:t xml:space="preserve">6.1</w:t>
      </w:r>
      <w:hyperlink w:anchor="ref-ColombiaCompraEficiente2021">
        <w:r>
          <w:rPr>
            <w:rStyle w:val="Hyperlink"/>
            <w:vertAlign w:val="superscript"/>
          </w:rPr>
          <w:t xml:space="preserve">16</w:t>
        </w:r>
      </w:hyperlink>
      <w:r>
        <w:t xml:space="preserve">.</w:t>
      </w:r>
    </w:p>
    <w:p>
      <w:pPr>
        <w:pStyle w:val="BodyText"/>
      </w:pPr>
      <w:r>
        <w:t xml:space="preserve">Tabla 6.1: Portafolio de Medicamentos Monopolio del Estado.</w:t>
      </w:r>
    </w:p>
    <w:p>
      <w:pPr>
        <w:pStyle w:val="BodyText"/>
      </w:pPr>
      <w:r>
        <w:t xml:space="preserve">Producto</w:t>
      </w:r>
    </w:p>
    <w:p>
      <w:pPr>
        <w:pStyle w:val="BodyText"/>
      </w:pPr>
      <w:r>
        <w:t xml:space="preserve">Presentación</w:t>
      </w:r>
    </w:p>
    <w:p>
      <w:pPr>
        <w:pStyle w:val="BodyText"/>
      </w:pPr>
      <w:r>
        <w:t xml:space="preserve">Observaciones</w:t>
      </w:r>
    </w:p>
    <w:p>
      <w:pPr>
        <w:pStyle w:val="BodyText"/>
      </w:pPr>
      <w:r>
        <w:t xml:space="preserve">Fenobarbital Sol Oral 0,4%</w:t>
      </w:r>
    </w:p>
    <w:p>
      <w:pPr>
        <w:pStyle w:val="BodyText"/>
      </w:pPr>
      <w:r>
        <w:t xml:space="preserve">Frasco</w:t>
      </w:r>
    </w:p>
    <w:p>
      <w:pPr>
        <w:pStyle w:val="BodyText"/>
      </w:pPr>
      <w:r>
        <w:t xml:space="preserve">Disponible</w:t>
      </w:r>
    </w:p>
    <w:p>
      <w:pPr>
        <w:pStyle w:val="BodyText"/>
      </w:pPr>
      <w:r>
        <w:t xml:space="preserve">Fenobarbital 10 mg</w:t>
      </w:r>
    </w:p>
    <w:p>
      <w:pPr>
        <w:pStyle w:val="BodyText"/>
      </w:pPr>
      <w:r>
        <w:t xml:space="preserve">Caja 30 tabletas</w:t>
      </w:r>
    </w:p>
    <w:p>
      <w:pPr>
        <w:pStyle w:val="BodyText"/>
      </w:pPr>
      <w:r>
        <w:t xml:space="preserve">Disponible</w:t>
      </w:r>
    </w:p>
    <w:p>
      <w:pPr>
        <w:pStyle w:val="BodyText"/>
      </w:pPr>
      <w:r>
        <w:t xml:space="preserve">Fenobarbital 50 mg</w:t>
      </w:r>
    </w:p>
    <w:p>
      <w:pPr>
        <w:pStyle w:val="BodyText"/>
      </w:pPr>
      <w:r>
        <w:t xml:space="preserve">Caja 30 tabletas</w:t>
      </w:r>
    </w:p>
    <w:p>
      <w:pPr>
        <w:pStyle w:val="BodyText"/>
      </w:pPr>
      <w:r>
        <w:t xml:space="preserve">Disponible</w:t>
      </w:r>
    </w:p>
    <w:p>
      <w:pPr>
        <w:pStyle w:val="BodyText"/>
      </w:pPr>
      <w:r>
        <w:t xml:space="preserve">Fenobarbital 100 mg</w:t>
      </w:r>
    </w:p>
    <w:p>
      <w:pPr>
        <w:pStyle w:val="BodyText"/>
      </w:pPr>
      <w:r>
        <w:t xml:space="preserve">Caja 30 tabletas</w:t>
      </w:r>
    </w:p>
    <w:p>
      <w:pPr>
        <w:pStyle w:val="BodyText"/>
      </w:pPr>
      <w:r>
        <w:t xml:space="preserve">Disponible</w:t>
      </w:r>
    </w:p>
    <w:p>
      <w:pPr>
        <w:pStyle w:val="BodyText"/>
      </w:pPr>
      <w:r>
        <w:t xml:space="preserve">Fenobarbital 40 mg</w:t>
      </w:r>
    </w:p>
    <w:p>
      <w:pPr>
        <w:pStyle w:val="BodyText"/>
      </w:pPr>
      <w:r>
        <w:t xml:space="preserve">Caja 10 ampollas</w:t>
      </w:r>
    </w:p>
    <w:p>
      <w:pPr>
        <w:pStyle w:val="BodyText"/>
      </w:pPr>
      <w:r>
        <w:t xml:space="preserve">Disponible</w:t>
      </w:r>
    </w:p>
    <w:p>
      <w:pPr>
        <w:pStyle w:val="BodyText"/>
      </w:pPr>
      <w:r>
        <w:t xml:space="preserve">Fenobarbital 200 mg</w:t>
      </w:r>
    </w:p>
    <w:p>
      <w:pPr>
        <w:pStyle w:val="BodyText"/>
      </w:pPr>
      <w:r>
        <w:t xml:space="preserve">Caja 10 ampollas</w:t>
      </w:r>
    </w:p>
    <w:p>
      <w:pPr>
        <w:pStyle w:val="BodyText"/>
      </w:pPr>
      <w:r>
        <w:t xml:space="preserve">Disponible</w:t>
      </w:r>
    </w:p>
    <w:p>
      <w:pPr>
        <w:pStyle w:val="BodyText"/>
      </w:pPr>
      <w:r>
        <w:t xml:space="preserve">Hidromorfona HCL 2 mg</w:t>
      </w:r>
    </w:p>
    <w:p>
      <w:pPr>
        <w:pStyle w:val="BodyText"/>
      </w:pPr>
      <w:r>
        <w:t xml:space="preserve">Caja 10 ampollas</w:t>
      </w:r>
    </w:p>
    <w:p>
      <w:pPr>
        <w:pStyle w:val="BodyText"/>
      </w:pPr>
      <w:r>
        <w:t xml:space="preserve">Disponible</w:t>
      </w:r>
    </w:p>
    <w:p>
      <w:pPr>
        <w:pStyle w:val="BodyText"/>
      </w:pPr>
      <w:r>
        <w:t xml:space="preserve">Hidromorfona HCL 2.5 mg</w:t>
      </w:r>
    </w:p>
    <w:p>
      <w:pPr>
        <w:pStyle w:val="BodyText"/>
      </w:pPr>
      <w:r>
        <w:t xml:space="preserve">Caja 20 tabletas</w:t>
      </w:r>
    </w:p>
    <w:p>
      <w:pPr>
        <w:pStyle w:val="BodyText"/>
      </w:pPr>
      <w:r>
        <w:t xml:space="preserve">Disponible</w:t>
      </w:r>
    </w:p>
    <w:p>
      <w:pPr>
        <w:pStyle w:val="BodyText"/>
      </w:pPr>
      <w:r>
        <w:t xml:space="preserve">Meperidina HCL 100 mg</w:t>
      </w:r>
    </w:p>
    <w:p>
      <w:pPr>
        <w:pStyle w:val="BodyText"/>
      </w:pPr>
      <w:r>
        <w:t xml:space="preserve">Caja 10 ampollas</w:t>
      </w:r>
    </w:p>
    <w:p>
      <w:pPr>
        <w:pStyle w:val="BodyText"/>
      </w:pPr>
      <w:r>
        <w:t xml:space="preserve">Disponible</w:t>
      </w:r>
    </w:p>
    <w:p>
      <w:pPr>
        <w:pStyle w:val="BodyText"/>
      </w:pPr>
      <w:r>
        <w:t xml:space="preserve">Morfina HCL 10 mg</w:t>
      </w:r>
    </w:p>
    <w:p>
      <w:pPr>
        <w:pStyle w:val="BodyText"/>
      </w:pPr>
      <w:r>
        <w:t xml:space="preserve">Caja 10 ampollas</w:t>
      </w:r>
    </w:p>
    <w:p>
      <w:pPr>
        <w:pStyle w:val="BodyText"/>
      </w:pPr>
      <w:r>
        <w:t xml:space="preserve">Disponible</w:t>
      </w:r>
    </w:p>
    <w:p>
      <w:pPr>
        <w:pStyle w:val="BodyText"/>
      </w:pPr>
      <w:r>
        <w:t xml:space="preserve">Morfina Solución Oral</w:t>
      </w:r>
    </w:p>
    <w:p>
      <w:pPr>
        <w:pStyle w:val="BodyText"/>
      </w:pPr>
      <w:r>
        <w:t xml:space="preserve">Frasco</w:t>
      </w:r>
    </w:p>
    <w:p>
      <w:pPr>
        <w:pStyle w:val="BodyText"/>
      </w:pPr>
      <w:r>
        <w:t xml:space="preserve">Disponible</w:t>
      </w:r>
    </w:p>
    <w:p>
      <w:pPr>
        <w:pStyle w:val="BodyText"/>
      </w:pPr>
      <w:r>
        <w:t xml:space="preserve">Morfina Solución Vial</w:t>
      </w:r>
    </w:p>
    <w:p>
      <w:pPr>
        <w:pStyle w:val="BodyText"/>
      </w:pPr>
      <w:r>
        <w:t xml:space="preserve">Frasco</w:t>
      </w:r>
    </w:p>
    <w:p>
      <w:pPr>
        <w:pStyle w:val="BodyText"/>
      </w:pPr>
      <w:r>
        <w:t xml:space="preserve">Sin unidades disponibles</w:t>
      </w:r>
    </w:p>
    <w:p>
      <w:pPr>
        <w:pStyle w:val="BodyText"/>
      </w:pPr>
      <w:r>
        <w:t xml:space="preserve">Primidona 250 mg</w:t>
      </w:r>
    </w:p>
    <w:p>
      <w:pPr>
        <w:pStyle w:val="BodyText"/>
      </w:pPr>
      <w:r>
        <w:t xml:space="preserve">Caja 50 tabletas</w:t>
      </w:r>
    </w:p>
    <w:p>
      <w:pPr>
        <w:pStyle w:val="BodyText"/>
      </w:pPr>
      <w:r>
        <w:t xml:space="preserve">Sin unidades disponibles</w:t>
      </w:r>
    </w:p>
    <w:p>
      <w:pPr>
        <w:pStyle w:val="BodyText"/>
      </w:pPr>
      <w:r>
        <w:t xml:space="preserve">Primidona 250 mg Tabletas</w:t>
      </w:r>
    </w:p>
    <w:p>
      <w:pPr>
        <w:pStyle w:val="BodyText"/>
      </w:pPr>
      <w:r>
        <w:t xml:space="preserve">Caja x 30 Tabletas</w:t>
      </w:r>
    </w:p>
    <w:p>
      <w:pPr>
        <w:pStyle w:val="BodyText"/>
      </w:pPr>
      <w:r>
        <w:t xml:space="preserve">Disponible</w:t>
      </w:r>
    </w:p>
    <w:p>
      <w:pPr>
        <w:pStyle w:val="BodyText"/>
      </w:pPr>
      <w:r>
        <w:t xml:space="preserve">Metadona HCL 10 mg</w:t>
      </w:r>
    </w:p>
    <w:p>
      <w:pPr>
        <w:pStyle w:val="BodyText"/>
      </w:pPr>
      <w:r>
        <w:t xml:space="preserve">Frasco 20 tabletas</w:t>
      </w:r>
    </w:p>
    <w:p>
      <w:pPr>
        <w:pStyle w:val="BodyText"/>
      </w:pPr>
      <w:r>
        <w:t xml:space="preserve">Disponible</w:t>
      </w:r>
    </w:p>
    <w:p>
      <w:pPr>
        <w:pStyle w:val="BodyText"/>
      </w:pPr>
      <w:r>
        <w:t xml:space="preserve">Metadona HCL 10 mg</w:t>
      </w:r>
    </w:p>
    <w:p>
      <w:pPr>
        <w:pStyle w:val="BodyText"/>
      </w:pPr>
      <w:r>
        <w:t xml:space="preserve">Caja 30 tabletas</w:t>
      </w:r>
    </w:p>
    <w:p>
      <w:pPr>
        <w:pStyle w:val="BodyText"/>
      </w:pPr>
      <w:r>
        <w:t xml:space="preserve">Disponible</w:t>
      </w:r>
    </w:p>
    <w:p>
      <w:pPr>
        <w:pStyle w:val="BodyText"/>
      </w:pPr>
      <w:r>
        <w:t xml:space="preserve">Metadona HCL 40 mg</w:t>
      </w:r>
    </w:p>
    <w:p>
      <w:pPr>
        <w:pStyle w:val="BodyText"/>
      </w:pPr>
      <w:r>
        <w:t xml:space="preserve">Frasco 20 tabletas</w:t>
      </w:r>
    </w:p>
    <w:p>
      <w:pPr>
        <w:pStyle w:val="BodyText"/>
      </w:pPr>
      <w:r>
        <w:t xml:space="preserve">Disponible</w:t>
      </w:r>
    </w:p>
    <w:p>
      <w:pPr>
        <w:pStyle w:val="BodyText"/>
      </w:pPr>
      <w:r>
        <w:t xml:space="preserve">Metadona HCL 40 mg</w:t>
      </w:r>
    </w:p>
    <w:p>
      <w:pPr>
        <w:pStyle w:val="BodyText"/>
      </w:pPr>
      <w:r>
        <w:t xml:space="preserve">Caja x 30 tab</w:t>
      </w:r>
    </w:p>
    <w:p>
      <w:pPr>
        <w:pStyle w:val="BodyText"/>
      </w:pPr>
      <w:r>
        <w:t xml:space="preserve">Disponible</w:t>
      </w:r>
    </w:p>
    <w:p>
      <w:pPr>
        <w:pStyle w:val="BodyText"/>
      </w:pPr>
      <w:r>
        <w:t xml:space="preserve">Metilfenidato HCL 10 mg</w:t>
      </w:r>
    </w:p>
    <w:p>
      <w:pPr>
        <w:pStyle w:val="BodyText"/>
      </w:pPr>
      <w:r>
        <w:t xml:space="preserve">Caja 30 tabletas</w:t>
      </w:r>
    </w:p>
    <w:p>
      <w:pPr>
        <w:pStyle w:val="BodyText"/>
      </w:pPr>
      <w:r>
        <w:t xml:space="preserve">Disponible</w:t>
      </w:r>
    </w:p>
    <w:p>
      <w:pPr>
        <w:pStyle w:val="BodyText"/>
      </w:pPr>
      <w:r>
        <w:t xml:space="preserve">Metilfenidato LA 30 mg</w:t>
      </w:r>
    </w:p>
    <w:p>
      <w:pPr>
        <w:pStyle w:val="BodyText"/>
      </w:pPr>
      <w:r>
        <w:t xml:space="preserve">Frasco 30 capsulas</w:t>
      </w:r>
    </w:p>
    <w:p>
      <w:pPr>
        <w:pStyle w:val="BodyText"/>
      </w:pPr>
      <w:r>
        <w:t xml:space="preserve">Disponible</w:t>
      </w:r>
    </w:p>
    <w:p>
      <w:pPr>
        <w:pStyle w:val="BodyText"/>
      </w:pPr>
      <w:r>
        <w:t xml:space="preserve">Metilfenidato 18 mg</w:t>
      </w:r>
    </w:p>
    <w:p>
      <w:pPr>
        <w:pStyle w:val="BodyText"/>
      </w:pPr>
      <w:r>
        <w:t xml:space="preserve">Frasco 30 tabletas</w:t>
      </w:r>
    </w:p>
    <w:p>
      <w:pPr>
        <w:pStyle w:val="BodyText"/>
      </w:pPr>
      <w:r>
        <w:t xml:space="preserve">Disponible</w:t>
      </w:r>
    </w:p>
    <w:p>
      <w:pPr>
        <w:pStyle w:val="BodyText"/>
      </w:pPr>
      <w:r>
        <w:t xml:space="preserve">Metilfenidato 36 mg</w:t>
      </w:r>
    </w:p>
    <w:p>
      <w:pPr>
        <w:pStyle w:val="BodyText"/>
      </w:pPr>
      <w:r>
        <w:t xml:space="preserve">Frasco 30 tabletas</w:t>
      </w:r>
    </w:p>
    <w:p>
      <w:pPr>
        <w:pStyle w:val="BodyText"/>
      </w:pPr>
      <w:r>
        <w:t xml:space="preserve">Disponible</w:t>
      </w:r>
    </w:p>
    <w:p>
      <w:pPr>
        <w:pStyle w:val="BodyText"/>
      </w:pPr>
      <w:r>
        <w:t xml:space="preserve">Hidrato de Cloral 10% Solución oral</w:t>
      </w:r>
    </w:p>
    <w:p>
      <w:pPr>
        <w:pStyle w:val="BodyText"/>
      </w:pPr>
      <w:r>
        <w:t xml:space="preserve">Frasco</w:t>
      </w:r>
    </w:p>
    <w:p>
      <w:pPr>
        <w:pStyle w:val="BodyText"/>
      </w:pPr>
      <w:r>
        <w:t xml:space="preserve">Disponible</w:t>
      </w:r>
    </w:p>
    <w:p>
      <w:pPr>
        <w:pStyle w:val="BodyText"/>
      </w:pPr>
      <w:r>
        <w:t xml:space="preserve">Morfina HCL 10 mg ampolla x 5 mL</w:t>
      </w:r>
    </w:p>
    <w:p>
      <w:pPr>
        <w:pStyle w:val="BodyText"/>
      </w:pPr>
      <w:r>
        <w:t xml:space="preserve">Caja 5 ampollas</w:t>
      </w:r>
    </w:p>
    <w:p>
      <w:pPr>
        <w:pStyle w:val="BodyText"/>
      </w:pPr>
      <w:r>
        <w:t xml:space="preserve">Disponible</w:t>
      </w:r>
    </w:p>
    <w:p>
      <w:pPr>
        <w:pStyle w:val="BodyText"/>
      </w:pPr>
      <w:r>
        <w:t xml:space="preserve">Los medicamentos incluidos en el portafolio de medicamentos del Estado son importantes en el tratamiento de diversas enfermedades de alto impacto en la salud de la población colombiana. En el área de cuidados paliativos se tienen a los medicamentos con morfina, metadona, meperidina e hidromorfona como parte importante del tratamiento del dolor crónico. Algunas sociedades científicas relacionadas a esta área han encontrado barreras en la entrega efectiva de medicamentos opioides, así como una distribución inequitativa en el territorio nacional de los mismos</w:t>
      </w:r>
      <w:hyperlink w:anchor="ref-LeonDelgado2018">
        <w:r>
          <w:rPr>
            <w:rStyle w:val="Hyperlink"/>
            <w:vertAlign w:val="superscript"/>
          </w:rPr>
          <w:t xml:space="preserve">17</w:t>
        </w:r>
      </w:hyperlink>
      <w:r>
        <w:t xml:space="preserve">.</w:t>
      </w:r>
    </w:p>
    <w:p>
      <w:pPr>
        <w:pStyle w:val="BodyText"/>
      </w:pPr>
      <w:r>
        <w:t xml:space="preserve">Pese a todo esto, Colombia tiene una puntuación de 4 de 5 en la escala de colaboración entre prescriptores y reguladores de analgésicos opioides (para Latinoamérica), lo que resulta de la existencia de mecanismos de colaboración pese a que todavía se pueden realizar mejoras en los mismos</w:t>
      </w:r>
      <w:hyperlink w:anchor="ref-Pastrana2020">
        <w:r>
          <w:rPr>
            <w:rStyle w:val="Hyperlink"/>
            <w:vertAlign w:val="superscript"/>
          </w:rPr>
          <w:t xml:space="preserve">18</w:t>
        </w:r>
      </w:hyperlink>
      <w:r>
        <w:t xml:space="preserve">.</w:t>
      </w:r>
    </w:p>
    <w:p>
      <w:pPr>
        <w:pStyle w:val="BodyText"/>
      </w:pPr>
      <w:r>
        <w:t xml:space="preserve">Así mismo el fenobarbital se considera una alternativa terapéutica útil en el tratamiento de epilepsia refractaria</w:t>
      </w:r>
      <w:hyperlink w:anchor="ref-WatsonLewis2014">
        <w:r>
          <w:rPr>
            <w:rStyle w:val="Hyperlink"/>
            <w:vertAlign w:val="superscript"/>
          </w:rPr>
          <w:t xml:space="preserve">19</w:t>
        </w:r>
      </w:hyperlink>
      <w:r>
        <w:t xml:space="preserve">, o estatus convulsivo</w:t>
      </w:r>
      <w:hyperlink w:anchor="ref-VergaraAguilar2019">
        <w:r>
          <w:rPr>
            <w:rStyle w:val="Hyperlink"/>
            <w:vertAlign w:val="superscript"/>
          </w:rPr>
          <w:t xml:space="preserve">20</w:t>
        </w:r>
      </w:hyperlink>
      <w:r>
        <w:t xml:space="preserve">. La primidona cuenta con un espacio limitado en la terapia moderna de la epilepsia</w:t>
      </w:r>
      <w:hyperlink w:anchor="ref-Johannessen2020">
        <w:r>
          <w:rPr>
            <w:rStyle w:val="Hyperlink"/>
            <w:vertAlign w:val="superscript"/>
          </w:rPr>
          <w:t xml:space="preserve">21</w:t>
        </w:r>
      </w:hyperlink>
      <w:r>
        <w:t xml:space="preserve">, y algunos pacientes todavía requieren un suministro ininterrupido de la misma. Por otra parte, el metilfenidato es un componente importante en el tratamiento farmacológico de los trastornos por deficit de atención, los cuales tienen una prevalencia en la población colombiana</w:t>
      </w:r>
      <w:hyperlink w:anchor="ref-Pineda2001">
        <w:r>
          <w:rPr>
            <w:rStyle w:val="Hyperlink"/>
            <w:vertAlign w:val="superscript"/>
          </w:rPr>
          <w:t xml:space="preserve">22</w:t>
        </w:r>
      </w:hyperlink>
      <w:r>
        <w:rPr>
          <w:vertAlign w:val="superscript"/>
        </w:rPr>
        <w:t xml:space="preserve">,</w:t>
      </w:r>
      <w:hyperlink w:anchor="ref-Llanos-Lizcanoa2019">
        <w:r>
          <w:rPr>
            <w:rStyle w:val="Hyperlink"/>
            <w:vertAlign w:val="superscript"/>
          </w:rPr>
          <w:t xml:space="preserve">23</w:t>
        </w:r>
      </w:hyperlink>
      <w:r>
        <w:t xml:space="preserve">.</w:t>
      </w:r>
    </w:p>
    <w:p>
      <w:pPr>
        <w:pStyle w:val="BodyText"/>
      </w:pPr>
      <w:r>
        <w:t xml:space="preserve">Sí bien el establecimiento de un monopolio del Estado con estos medicamentos ha permitido el suministro de los mismos debido a que pueden ser poco atractivos por ser medicamentos menos rentables, la restricción de un mercado de libre competencia puede resultar en el surgimiento frecuente de eventos de desabastecimiento</w:t>
      </w:r>
      <w:hyperlink w:anchor="ref-LopezLopez2021">
        <w:r>
          <w:rPr>
            <w:rStyle w:val="Hyperlink"/>
            <w:vertAlign w:val="superscript"/>
          </w:rPr>
          <w:t xml:space="preserve">24</w:t>
        </w:r>
      </w:hyperlink>
      <w:r>
        <w:rPr>
          <w:vertAlign w:val="superscript"/>
        </w:rPr>
        <w:t xml:space="preserve">,</w:t>
      </w:r>
      <w:hyperlink w:anchor="ref-INVIMA2018-Desabast">
        <w:r>
          <w:rPr>
            <w:rStyle w:val="Hyperlink"/>
            <w:vertAlign w:val="superscript"/>
          </w:rPr>
          <w:t xml:space="preserve">25</w:t>
        </w:r>
      </w:hyperlink>
      <w:r>
        <w:t xml:space="preserve">.</w:t>
      </w:r>
    </w:p>
    <w:p>
      <w:pPr>
        <w:pStyle w:val="BodyText"/>
      </w:pPr>
      <w:r>
        <w:t xml:space="preserve">Los desabastecimientos son situaciones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pStyle w:val="BodyText"/>
      </w:pPr>
      <w:r>
        <w:t xml:space="preserve">Por lo general, los desabastecimientos se ven precedidos por disrupciones en la cadena de suministro</w:t>
      </w:r>
      <w:hyperlink w:anchor="ref-FDA2014">
        <w:r>
          <w:rPr>
            <w:rStyle w:val="Hyperlink"/>
            <w:vertAlign w:val="superscript"/>
          </w:rPr>
          <w:t xml:space="preserve">26</w:t>
        </w:r>
      </w:hyperlink>
      <w:r>
        <w:t xml:space="preserve">. Las</w:t>
      </w:r>
      <w:r>
        <w:t xml:space="preserve"> </w:t>
      </w:r>
      <w:r>
        <w:rPr>
          <w:iCs/>
          <w:i/>
        </w:rPr>
        <w:t xml:space="preserve">disrupciones en la cadena de suministro</w:t>
      </w:r>
      <w:r>
        <w:t xml:space="preserve"> </w:t>
      </w:r>
      <w:r>
        <w:t xml:space="preserve">se definen como eventos aleatorios que causan que un fabricante u otro elemento de la cadena de suministro pare de funcionar de forma completa o parcial por una cantidad de tiempo (aleatoria)</w:t>
      </w:r>
      <w:hyperlink w:anchor="ref-Barbosa-Povoa2019">
        <w:r>
          <w:rPr>
            <w:rStyle w:val="Hyperlink"/>
            <w:vertAlign w:val="superscript"/>
          </w:rPr>
          <w:t xml:space="preserve">27</w:t>
        </w:r>
      </w:hyperlink>
      <w:r>
        <w:t xml:space="preserve">. Las instituciones deben establecer programas de gestión del riesgo también aplicadas a la cadena de suministro, en estas se busca mitigar riesgo de suministro/demanda y disrupción. Por otra parte, la</w:t>
      </w:r>
      <w:r>
        <w:t xml:space="preserve"> </w:t>
      </w:r>
      <w:r>
        <w:rPr>
          <w:bCs/>
          <w:b/>
        </w:rPr>
        <w:t xml:space="preserve">resiliencia</w:t>
      </w:r>
      <w:r>
        <w:t xml:space="preserve"> </w:t>
      </w:r>
      <w:r>
        <w:t xml:space="preserve">se puede definir como la habilidad de sobrevivir, adaptarse y crecer tras un cambio turbulento. La implementación de programas de gestión de resiliencia en la cadena de suministro se centra en la habilidad de aprender y crecer tras las disrupciones de la cadena de suministro</w:t>
      </w:r>
      <w:hyperlink w:anchor="ref-Barbosa-Povoa2019">
        <w:r>
          <w:rPr>
            <w:rStyle w:val="Hyperlink"/>
            <w:vertAlign w:val="superscript"/>
          </w:rPr>
          <w:t xml:space="preserve">27</w:t>
        </w:r>
      </w:hyperlink>
      <w:r>
        <w:t xml:space="preserve">.</w:t>
      </w:r>
    </w:p>
    <w:p>
      <w:pPr>
        <w:pStyle w:val="BodyText"/>
      </w:pPr>
      <w:r>
        <w:t xml:space="preserve">La resiliencia de una cadena de suministro, como lo es la distribución de MME, se puede mejorar mediante la construcción de capacidades teniendo en cuenta vulnerabilidades</w:t>
      </w:r>
      <w:hyperlink w:anchor="ref-Pettit2013">
        <w:r>
          <w:rPr>
            <w:rStyle w:val="Hyperlink"/>
            <w:vertAlign w:val="superscript"/>
          </w:rPr>
          <w:t xml:space="preserve">28</w:t>
        </w:r>
      </w:hyperlink>
      <w:r>
        <w:t xml:space="preserve">. Una de estas capacidades es la visibilidad referida al conocimiento del estado operativo de la cadena y su medio circundante</w:t>
      </w:r>
      <w:hyperlink w:anchor="ref-Pettit2013">
        <w:r>
          <w:rPr>
            <w:rStyle w:val="Hyperlink"/>
            <w:vertAlign w:val="superscript"/>
          </w:rPr>
          <w:t xml:space="preserve">28</w:t>
        </w:r>
      </w:hyperlink>
      <w:r>
        <w:t xml:space="preserve">. El</w:t>
      </w:r>
      <w:r>
        <w:t xml:space="preserve"> </w:t>
      </w:r>
      <w:r>
        <w:rPr>
          <w:iCs/>
          <w:i/>
        </w:rPr>
        <w:t xml:space="preserve">intercambio de información</w:t>
      </w:r>
      <w:r>
        <w:t xml:space="preserve"> </w:t>
      </w:r>
      <w:r>
        <w:t xml:space="preserve">es una de las áreas en las que se pueden realizar mejoras para potenciar la coordinación en una cadena de suministro</w:t>
      </w:r>
      <w:hyperlink w:anchor="ref-Silver2017">
        <w:r>
          <w:rPr>
            <w:rStyle w:val="Hyperlink"/>
            <w:vertAlign w:val="superscript"/>
          </w:rPr>
          <w:t xml:space="preserve">29</w:t>
        </w:r>
      </w:hyperlink>
      <w:r>
        <w:t xml:space="preserve">.</w:t>
      </w:r>
    </w:p>
    <w:p>
      <w:pPr>
        <w:pStyle w:val="BodyText"/>
      </w:pPr>
      <w:r>
        <w:t xml:space="preserve">La falta de transparencia y visibilidad en una cadena de suministro puede causar el efecto látigo (en inglés,</w:t>
      </w:r>
      <w:r>
        <w:t xml:space="preserve"> </w:t>
      </w:r>
      <w:r>
        <w:rPr>
          <w:iCs/>
          <w:i/>
        </w:rPr>
        <w:t xml:space="preserve">Bullwhip effect</w:t>
      </w:r>
      <w:r>
        <w:t xml:space="preserve">) que consiste en un aumento de la variabilidad en la demanda de un sitio corriente abajo de la cadena a un sitio corriente arriba de la misma</w:t>
      </w:r>
      <w:hyperlink w:anchor="ref-Cachon2007">
        <w:r>
          <w:rPr>
            <w:rStyle w:val="Hyperlink"/>
            <w:vertAlign w:val="superscript"/>
          </w:rPr>
          <w:t xml:space="preserve">30</w:t>
        </w:r>
      </w:hyperlink>
      <w:r>
        <w:t xml:space="preserve">. Este efecto implica que se pueden generar condiciones de alta incertidumbre que llevan a una mala planeación y esto a desabastecimientos o pérdidas por vencimiento de MME tanto para el FNE como para los FRE.</w:t>
      </w:r>
    </w:p>
    <w:p>
      <w:pPr>
        <w:pStyle w:val="BodyText"/>
      </w:pPr>
      <w:r>
        <w:t xml:space="preserve">Es por esto, que tanto el FNE como los FRE - en conjunto - deberían implementar, por ejemplo, un sistema de Planeamiento Participativo, Pronóstico y Reabastecimiento (CPFR,</w:t>
      </w:r>
      <w:r>
        <w:t xml:space="preserve"> </w:t>
      </w:r>
      <w:r>
        <w:rPr>
          <w:iCs/>
          <w:i/>
        </w:rPr>
        <w:t xml:space="preserve">Collaborative Planning Forecasting and Replenishment</w:t>
      </w:r>
      <w:r>
        <w:t xml:space="preserve">) de manera que exista una colaboración más robusta y visible de la cadena de suministro de medicamentos Monopolio del Estado</w:t>
      </w:r>
      <w:hyperlink w:anchor="ref-Hollmann2015">
        <w:r>
          <w:rPr>
            <w:rStyle w:val="Hyperlink"/>
            <w:vertAlign w:val="superscript"/>
          </w:rPr>
          <w:t xml:space="preserve">31</w:t>
        </w:r>
      </w:hyperlink>
      <w:r>
        <w:t xml:space="preserve">.</w:t>
      </w:r>
    </w:p>
    <w:p>
      <w:pPr>
        <w:pStyle w:val="BodyText"/>
      </w:pPr>
      <w:r>
        <w:t xml:space="preserve">Debido a la necesidad de fortalecer la cadena de suministro de MME, en este capítulo se muestran los resultados relacionados a medicamentos obtenidos en la encuestas aplicadas, con el fin de evidenciar algunos aspectos operativos relacionados al manejo de medicamentos en los FRE.</w:t>
      </w:r>
    </w:p>
    <w:bookmarkStart w:id="125" w:name="inventarios"/>
    <w:p>
      <w:pPr>
        <w:pStyle w:val="Heading2"/>
      </w:pPr>
      <w:r>
        <w:rPr>
          <w:rStyle w:val="SectionNumber"/>
        </w:rPr>
        <w:t xml:space="preserve">6.1</w:t>
      </w:r>
      <w:r>
        <w:tab/>
      </w:r>
      <w:r>
        <w:t xml:space="preserve">Inventarios</w:t>
      </w:r>
    </w:p>
    <w:p>
      <w:pPr>
        <w:pStyle w:val="FirstParagraph"/>
      </w:pPr>
      <w:r>
        <w:t xml:space="preserve">El manejo de inventarios es de gran relevancia para las organizaciones que tienen bienes tangibles dispuestos a la venta como lo son los FRE. Los inventarios son necesarios debido a la presencia de incertidumbres relacionadas a la demanda de los productos, tiempos de demora en el reabastecimiento, suministro por parte de los proveedores (p.ej. FNE), precio de los medicamentos, cambios en el personal, tiempos de tránsito, entre otros factores</w:t>
      </w:r>
      <w:hyperlink w:anchor="ref-Nahmias2007">
        <w:r>
          <w:rPr>
            <w:rStyle w:val="Hyperlink"/>
            <w:vertAlign w:val="superscript"/>
          </w:rPr>
          <w:t xml:space="preserve">32</w:t>
        </w:r>
      </w:hyperlink>
      <w:r>
        <w:t xml:space="preserve">.</w:t>
      </w:r>
    </w:p>
    <w:p>
      <w:pPr>
        <w:pStyle w:val="BodyText"/>
      </w:pPr>
      <w:r>
        <w:t xml:space="preserve">En la selección del tamaño de inventario a mantener se contraponen varios tipos de costos</w:t>
      </w:r>
      <w:hyperlink w:anchor="ref-Krajewski2016">
        <w:r>
          <w:rPr>
            <w:rStyle w:val="Hyperlink"/>
            <w:vertAlign w:val="superscript"/>
          </w:rPr>
          <w:t xml:space="preserve">33</w:t>
        </w:r>
      </w:hyperlink>
      <w:r>
        <w:t xml:space="preserve">:</w:t>
      </w:r>
    </w:p>
    <w:p>
      <w:pPr>
        <w:numPr>
          <w:ilvl w:val="0"/>
          <w:numId w:val="1019"/>
        </w:numPr>
      </w:pPr>
      <w:r>
        <w:t xml:space="preserve">Costo de mantenimiento de inventario (lleva a reducir el inventario): compuesto por el costo de capital (relacionado a la pérdida de oportunidad de invertir dinero en inventario en vez de una alternativa con más rentabilidad), costos por almacenamiento (p.ej. arriendo, servicios públicos, o seguros), costos de empleados (p.ej. mantenimiento, administración, alistamiento o auditoría), costos por servicios (seguros, seguridad privada, software de administración de inventario), costos de riesgo de inventario (depreciación, vencimientos, contracción de la demanda).</w:t>
      </w:r>
    </w:p>
    <w:p>
      <w:pPr>
        <w:numPr>
          <w:ilvl w:val="0"/>
          <w:numId w:val="1019"/>
        </w:numPr>
      </w:pPr>
      <w:r>
        <w:t xml:space="preserve">Costo de pedido (lleva a aumentar el inventario): costos por ordenes de compra (relacionados a la cotización, preparación de órden de compra, tiempo de recepción técnica, pagos), y costos por personal relacionado a la compra.</w:t>
      </w:r>
    </w:p>
    <w:p>
      <w:pPr>
        <w:numPr>
          <w:ilvl w:val="0"/>
          <w:numId w:val="1019"/>
        </w:numPr>
      </w:pPr>
      <w:r>
        <w:t xml:space="preserve">Costos por desabastecimiento (lleva a aumentar el inventario): relacionado al</w:t>
      </w:r>
      <w:r>
        <w:t xml:space="preserve"> </w:t>
      </w:r>
      <w:r>
        <w:rPr>
          <w:bCs/>
          <w:b/>
        </w:rPr>
        <w:t xml:space="preserve">nivel de servicio</w:t>
      </w:r>
      <w:r>
        <w:t xml:space="preserve">, entendido como la probabilidad deseada de no tener un desabastecimiento durante el reabastecimiento de los productos (de manera que se pueda cumplir con las demandas de los usuarios en todo momento)</w:t>
      </w:r>
      <w:hyperlink w:anchor="ref-Krajewski2016">
        <w:r>
          <w:rPr>
            <w:rStyle w:val="Hyperlink"/>
            <w:vertAlign w:val="superscript"/>
          </w:rPr>
          <w:t xml:space="preserve">33</w:t>
        </w:r>
      </w:hyperlink>
      <w:r>
        <w:t xml:space="preserve">.</w:t>
      </w:r>
    </w:p>
    <w:bookmarkStart w:id="116" w:name="control-de-inventarios"/>
    <w:p>
      <w:pPr>
        <w:pStyle w:val="Heading3"/>
      </w:pPr>
      <w:r>
        <w:rPr>
          <w:rStyle w:val="SectionNumber"/>
        </w:rPr>
        <w:t xml:space="preserve">6.1.1</w:t>
      </w:r>
      <w:r>
        <w:tab/>
      </w:r>
      <w:r>
        <w:t xml:space="preserve">Control de inventarios</w:t>
      </w:r>
    </w:p>
    <w:p>
      <w:pPr>
        <w:pStyle w:val="FirstParagraph"/>
      </w:pPr>
      <w:r>
        <w:t xml:space="preserve">La implementación de un software de manejo de inventarios o en el mejor de los casos de un ERP (</w:t>
      </w:r>
      <w:r>
        <w:rPr>
          <w:iCs/>
          <w:i/>
        </w:rPr>
        <w:t xml:space="preserve">Enterprise Resource Planning</w:t>
      </w:r>
      <w:r>
        <w:t xml:space="preserve">) mejora la capacidad de manejar los inventarios, disminuye costos relacionados a inventario y brinda oportunidad para la coordinación</w:t>
      </w:r>
      <w:hyperlink w:anchor="ref-Silver2017">
        <w:r>
          <w:rPr>
            <w:rStyle w:val="Hyperlink"/>
            <w:vertAlign w:val="superscript"/>
          </w:rPr>
          <w:t xml:space="preserve">29</w:t>
        </w:r>
      </w:hyperlink>
      <w:r>
        <w:t xml:space="preserve">. Se indago a los FRE sobre las herramientas que tienen a disposición para el manejo de inventarios de MME. La mayoría de los FRE realizan el seguimiento de inventarios mediante un paquete ofimático con una proporción de 45.2% (ver Figura</w:t>
      </w:r>
      <w:r>
        <w:t xml:space="preserve"> </w:t>
      </w:r>
      <w:r>
        <w:t xml:space="preserve">6.1</w:t>
      </w:r>
      <w:r>
        <w:t xml:space="preserve">), siendo la herramienta principal Excel, con uso especial de hojas estandarizadas, como en el caso de los FRE Boyacá, Cauca, Sucre, entre otros.</w:t>
      </w:r>
    </w:p>
    <w:p>
      <w:pPr>
        <w:pStyle w:val="CaptionedFigure"/>
      </w:pPr>
      <w:r>
        <w:drawing>
          <wp:inline>
            <wp:extent cx="5334000" cy="2396132"/>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114"/>
                    <a:stretch>
                      <a:fillRect/>
                    </a:stretch>
                  </pic:blipFill>
                  <pic:spPr bwMode="auto">
                    <a:xfrm>
                      <a:off x="0" y="0"/>
                      <a:ext cx="5334000" cy="2396132"/>
                    </a:xfrm>
                    <a:prstGeom prst="rect">
                      <a:avLst/>
                    </a:prstGeom>
                    <a:noFill/>
                    <a:ln w="9525">
                      <a:noFill/>
                      <a:headEnd/>
                      <a:tailEnd/>
                    </a:ln>
                  </pic:spPr>
                </pic:pic>
              </a:graphicData>
            </a:graphic>
          </wp:inline>
        </w:drawing>
      </w:r>
    </w:p>
    <w:p>
      <w:pPr>
        <w:pStyle w:val="ImageCaption"/>
      </w:pPr>
      <w:bookmarkStart w:id="115" w:name="fig31"/>
      <w:r>
        <w:t xml:space="preserve">Figure </w:t>
      </w:r>
      <w:fldSimple w:instr="SEQ Figure \* ARABIC ">
        <w:r>
          <w:t>31</w:t>
        </w:r>
      </w:fldSimple>
      <w:r>
        <w:t xml:space="preserve">:</w:t>
      </w:r>
      <w:r>
        <w:t xml:space="preserve"> </w:t>
      </w:r>
      <w:bookmarkEnd w:id="115"/>
      <w:r>
        <w:t xml:space="preserve">Figura 6.1: Herramientas en el manejo de inventarios.</w:t>
      </w:r>
    </w:p>
    <w:p>
      <w:pPr>
        <w:pStyle w:val="BodyText"/>
      </w:pPr>
      <w:r>
        <w:t xml:space="preserve">Algunos FRE se apoyan en otras herramientas además del paquete ofimático para llevar a cabo la tarea del control de inventarios. En la segunda posición de la Figura</w:t>
      </w:r>
      <w:r>
        <w:t xml:space="preserve"> </w:t>
      </w:r>
      <w:r>
        <w:t xml:space="preserve">6.1</w:t>
      </w:r>
      <w:r>
        <w:t xml:space="preserve"> </w:t>
      </w:r>
      <w:r>
        <w:t xml:space="preserve">se observa el uso de software en una proporción del 38.7%. La elección del software se hace según los criterios de cada entidad territorial en la mayoría de los casos se utiliza un software interno de la gobernación del territorio para el desarrollo de estas actividades como es el caso de los FRE Atlántico, Cesar, Santander, entre otros.</w:t>
      </w:r>
    </w:p>
    <w:p>
      <w:pPr>
        <w:pStyle w:val="BodyText"/>
      </w:pPr>
      <w:r>
        <w:t xml:space="preserve">El alcance del software es distinto, por ejemplo, el caso del FRE Risaralda que hace uso del software SIMEC para soportar tanto el manejo de inventarios, como los procesos relacionados con el sistema de IVC en todo lo relacionado con MME. Este software funciona además como medio de comunicación entre el FRE y todos sus inscritos, mostrándose como una plataforma muy completa y eficiente, sin embargo, existe poca disponibilidad de equipos de cómputo en el FRE que impide que más personal pueda acceder al software y a sus herramientas por lo cual puede ser un recurso subutilizado.</w:t>
      </w:r>
    </w:p>
    <w:p>
      <w:pPr>
        <w:pStyle w:val="BodyText"/>
      </w:pPr>
      <w:r>
        <w:t xml:space="preserve">Se evidencia que algunos FRE poseen herramientas completas para el manejo de sus procesos, mientras que otros realizan el manejo de inventarios apoyándose en el uso de herramientas manuales (32.3%), como se indica en la Figura</w:t>
      </w:r>
      <w:r>
        <w:t xml:space="preserve"> </w:t>
      </w:r>
      <w:r>
        <w:t xml:space="preserve">6.1</w:t>
      </w:r>
      <w:r>
        <w:t xml:space="preserve"> </w:t>
      </w:r>
      <w:r>
        <w:t xml:space="preserve">En muchos FRE el control de inventarios de forma manual se realiza con apoyo de herramientas ofimáticas como Excel.</w:t>
      </w:r>
    </w:p>
    <w:p>
      <w:pPr>
        <w:pStyle w:val="BodyText"/>
      </w:pPr>
      <w:r>
        <w:t xml:space="preserve">Sólo en tres casos se encontró que el control de inventarios dependía exclusivamente de herramientas manuales como la revisión de libros contables. Pese a que no es el ideal algunos territorios, especialmente los menos centralizados (p.ej. Amazonas y La Guajira), se ven en la necesidad de llevar sus procesos de esta forma debido a la no disponibilidad de equipos de cómputo o que sí bien los hay, esto se encuentran obsoletos y no soportan el uso de tecnologías más recientes y apropiadas.</w:t>
      </w:r>
    </w:p>
    <w:p>
      <w:pPr>
        <w:pStyle w:val="BodyText"/>
      </w:pPr>
      <w:r>
        <w:t xml:space="preserve">Finalmente, el manejo de inventarios por parte de los FRE deja en evidencia las brechas tecnológicas importantes entre los territorios. Los FRE menos centralizados presentan menor acceso a tecnologías actualizadas y en estos fue común encontrar la necesidad de acceso a más equipos de cómputo que le permita al personal desarrollar las actividades para el funcionamiento del FRE.</w:t>
      </w:r>
    </w:p>
    <w:p>
      <w:pPr>
        <w:pStyle w:val="BodyText"/>
      </w:pPr>
      <w:r>
        <w:t xml:space="preserve">Por todo esto se recomienda el uso de herramientas informáticas para la trazabilidad del inventario.</w:t>
      </w:r>
    </w:p>
    <w:bookmarkEnd w:id="116"/>
    <w:bookmarkStart w:id="121" w:name="comportamiento-de-compra-de-fre"/>
    <w:p>
      <w:pPr>
        <w:pStyle w:val="Heading3"/>
      </w:pPr>
      <w:r>
        <w:rPr>
          <w:rStyle w:val="SectionNumber"/>
        </w:rPr>
        <w:t xml:space="preserve">6.1.2</w:t>
      </w:r>
      <w:r>
        <w:tab/>
      </w:r>
      <w:r>
        <w:t xml:space="preserve">Comportamiento de compra de FRE</w:t>
      </w:r>
    </w:p>
    <w:p>
      <w:pPr>
        <w:pStyle w:val="FirstParagraph"/>
      </w:pPr>
      <w:r>
        <w:t xml:space="preserve">De forma ideal se debería tener en cuenta el balance entre los costos de mantenimiento de inventario y los costos de realizar pedidos para encontrar una cantidad económica de pedido (</w:t>
      </w:r>
      <m:oMath>
        <m:r>
          <m:rPr>
            <m:sty m:val="p"/>
          </m:rPr>
          <m:t>E</m:t>
        </m:r>
        <m:r>
          <m:rPr>
            <m:sty m:val="p"/>
          </m:rPr>
          <m:t>O</m:t>
        </m:r>
        <m:r>
          <m:rPr>
            <m:sty m:val="p"/>
          </m:rPr>
          <m:t>Q</m:t>
        </m:r>
      </m:oMath>
      <w:r>
        <w:t xml:space="preserve">,</w:t>
      </w:r>
      <w:r>
        <w:t xml:space="preserve"> </w:t>
      </w:r>
      <w:r>
        <w:rPr>
          <w:iCs/>
          <w:i/>
        </w:rPr>
        <w:t xml:space="preserve">Economic Order Quantity</w:t>
      </w:r>
      <w:r>
        <w:t xml:space="preserve">). Para realizar una programación de compras anuales se debería tener en cuenta la demanda anual del producto y dividirla entre</w:t>
      </w:r>
      <w:r>
        <w:t xml:space="preserve"> </w:t>
      </w:r>
      <m:oMath>
        <m:r>
          <m:rPr>
            <m:sty m:val="p"/>
          </m:rPr>
          <m:t>E</m:t>
        </m:r>
        <m:r>
          <m:rPr>
            <m:sty m:val="p"/>
          </m:rPr>
          <m:t>O</m:t>
        </m:r>
        <m:r>
          <m:rPr>
            <m:sty m:val="p"/>
          </m:rPr>
          <m:t>Q</m:t>
        </m:r>
      </m:oMath>
      <w:r>
        <w:t xml:space="preserve">, de esta manera se puede encontrar el número de pedidos óptimos</w:t>
      </w:r>
      <w:hyperlink w:anchor="ref-Silver2017">
        <w:r>
          <w:rPr>
            <w:rStyle w:val="Hyperlink"/>
            <w:vertAlign w:val="superscript"/>
          </w:rPr>
          <w:t xml:space="preserve">29</w:t>
        </w:r>
      </w:hyperlink>
      <w:r>
        <w:t xml:space="preserve">.</w:t>
      </w:r>
    </w:p>
    <w:p>
      <w:pPr>
        <w:pStyle w:val="BodyText"/>
      </w:pPr>
      <w:r>
        <w:t xml:space="preserve">El número de pedidos (compras) de MME al FNE en el año también depende de varios factores como: (a) cantidad requerida de estos bienes por cada departamento (demanda), (b) presupuesto asignado por las gobernaciones a los FRE y (c) capacidad de satisfacer la demanda de los medicamentos por parte del FNE (ver Figura</w:t>
      </w:r>
      <w:r>
        <w:t xml:space="preserve"> </w:t>
      </w:r>
      <w:r>
        <w:t xml:space="preserve">6.2</w:t>
      </w:r>
      <w:r>
        <w:t xml:space="preserve">).</w:t>
      </w:r>
    </w:p>
    <w:p>
      <w:pPr>
        <w:pStyle w:val="BodyText"/>
      </w:pPr>
      <w:r>
        <w:t xml:space="preserve">Los FRE con demandas pequeñas de medicamentos, como es el caso de Choco, Guainía y Amazonas, la compra se hace una vez al año, a menos que enfrenten casos de desabastecimiento por causas fortuitas como lo fue la situación de Emergencia Sanitaria por la pandemia de coronavirus. Los departamentos con mayor población y necesidad de medicamentos se ven en la obligación de realizar varias compras en el año como es el caso del departamento de Antioquia cuya intención es realizar compras proyectando un abastecimiento de tres meses, sin embargo, manifiesta que el proceso se ve entorpecido por el bajo nivel de servicio relacionado a la disponibilidad de medicamentos en el FNE que le permitan satisfacer su demanda. Se presenta un caso similar para el FRE Santander, donde también afirman que la disponibilidad de medicamentos por parte del FNE es muy poca para cubrir la demanda de su departamento, por lo que obligatoriamente deben autorizar a las IPS y demás a hacer compras directas al FNE.</w:t>
      </w:r>
    </w:p>
    <w:p>
      <w:pPr>
        <w:pStyle w:val="BodyText"/>
      </w:pPr>
      <w:r>
        <w:t xml:space="preserve">Por otra parte, hay departamentos donde la frecuencia de las compras y las cantidades de esta depende del presupuesto asignado por la gobernación, como es el caso de Guainía y Putumayo, este último indica que la demanda de MME en su territorio es más alta de la que se puede cubrir por limitaciones presupuestales.</w:t>
      </w:r>
    </w:p>
    <w:p>
      <w:pPr>
        <w:pStyle w:val="BodyText"/>
      </w:pPr>
      <w:r>
        <w:t xml:space="preserve">Por su parte, otros territorios no pueden realizar las compras con las frecuencias que requieren por problemas administrativos o económicos de alguna índole que corresponden a la gobernación, como han manifestado los FRE de San Andrés, Atlántico y Huila.</w:t>
      </w:r>
    </w:p>
    <w:p>
      <w:pPr>
        <w:pStyle w:val="CaptionedFigure"/>
      </w:pPr>
      <w:r>
        <w:drawing>
          <wp:inline>
            <wp:extent cx="5334000" cy="3556000"/>
            <wp:effectExtent b="0" l="0" r="0" t="0"/>
            <wp:docPr descr="Figura 6.2: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1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8" w:name="fig32"/>
      <w:r>
        <w:t xml:space="preserve">Figure </w:t>
      </w:r>
      <w:fldSimple w:instr="SEQ Figure \* ARABIC ">
        <w:r>
          <w:t>32</w:t>
        </w:r>
      </w:fldSimple>
      <w:r>
        <w:t xml:space="preserve">:</w:t>
      </w:r>
      <w:r>
        <w:t xml:space="preserve"> </w:t>
      </w:r>
      <w:bookmarkEnd w:id="118"/>
      <w:r>
        <w:t xml:space="preserve">Figura 6.2: Frecuencia de compras de medicamentos por año al FNE.</w:t>
      </w:r>
    </w:p>
    <w:p>
      <w:pPr>
        <w:pStyle w:val="BodyText"/>
      </w:pPr>
      <w:r>
        <w:t xml:space="preserve">La venta de MME a instituciones en los departamentos se da según lo establecido por cada FRE y las necesidades de cada departamento, p.ej. en el departamento de Vaupés cuyo abastecimiento se enfoca en satisfacer la demanda del Hospital, no se realiza venta a otras IPS y por lo tanto ni si quiera tienen necesidad de almacenar los medicamentos en el FRE, las compras se destinan inmediatamente al Hospital. Se presenta un caso diferente en departamentos con mayor población y necesidad de medicamentos como Risaralda donde la venta de MME es frecuente, sin embargo, se ha establecido a las IPS que deben proyectar sus necesidades mensualmente.</w:t>
      </w:r>
    </w:p>
    <w:p>
      <w:pPr>
        <w:pStyle w:val="CaptionedFigure"/>
      </w:pPr>
      <w:r>
        <w:drawing>
          <wp:inline>
            <wp:extent cx="5334000" cy="3731947"/>
            <wp:effectExtent b="0" l="0" r="0" t="0"/>
            <wp:docPr descr="Figura 6.3: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19"/>
                    <a:stretch>
                      <a:fillRect/>
                    </a:stretch>
                  </pic:blipFill>
                  <pic:spPr bwMode="auto">
                    <a:xfrm>
                      <a:off x="0" y="0"/>
                      <a:ext cx="5334000" cy="3731947"/>
                    </a:xfrm>
                    <a:prstGeom prst="rect">
                      <a:avLst/>
                    </a:prstGeom>
                    <a:noFill/>
                    <a:ln w="9525">
                      <a:noFill/>
                      <a:headEnd/>
                      <a:tailEnd/>
                    </a:ln>
                  </pic:spPr>
                </pic:pic>
              </a:graphicData>
            </a:graphic>
          </wp:inline>
        </w:drawing>
      </w:r>
    </w:p>
    <w:p>
      <w:pPr>
        <w:pStyle w:val="ImageCaption"/>
      </w:pPr>
      <w:bookmarkStart w:id="120" w:name="fig33"/>
      <w:r>
        <w:t xml:space="preserve">Figure </w:t>
      </w:r>
      <w:fldSimple w:instr="SEQ Figure \* ARABIC ">
        <w:r>
          <w:t>33</w:t>
        </w:r>
      </w:fldSimple>
      <w:r>
        <w:t xml:space="preserve">:</w:t>
      </w:r>
      <w:r>
        <w:t xml:space="preserve"> </w:t>
      </w:r>
      <w:bookmarkEnd w:id="120"/>
      <w:r>
        <w:t xml:space="preserve">Figura 6.3: Frecuencia de venta de MME a instituciones en el departamento.</w:t>
      </w:r>
    </w:p>
    <w:p>
      <w:pPr>
        <w:pStyle w:val="BodyText"/>
      </w:pPr>
      <w:r>
        <w:t xml:space="preserve">En el departamento del Atlántico antes de la pandemia la venta de medicamentos se hacía diariamente, sin embargo, por la contingencia en salud se decidió que solo se despachan medicamentos dos días a la semana. Otro departamento que hace venta diaria de MME es Choco y afirma que las necesidades de MME pueden variar en el departamento gracias al traslado no esperado de pacientes de zonas muy distantes a las capitales de los departamentos de Antioquia y Valle del Cauca.</w:t>
      </w:r>
    </w:p>
    <w:bookmarkEnd w:id="121"/>
    <w:bookmarkStart w:id="124" w:name="niveles-de-seguridad"/>
    <w:p>
      <w:pPr>
        <w:pStyle w:val="Heading3"/>
      </w:pPr>
      <w:r>
        <w:rPr>
          <w:rStyle w:val="SectionNumber"/>
        </w:rPr>
        <w:t xml:space="preserve">6.1.3</w:t>
      </w:r>
      <w:r>
        <w:tab/>
      </w:r>
      <w:r>
        <w:t xml:space="preserve">Niveles de seguridad</w:t>
      </w:r>
    </w:p>
    <w:p>
      <w:pPr>
        <w:pStyle w:val="FirstParagraph"/>
      </w:pPr>
      <w:r>
        <w:t xml:space="preserve">Según la Resolución 1403 de 2007</w:t>
      </w:r>
      <w:hyperlink w:anchor="X4e956815ca1199d73a39485c932e7d8485463a0">
        <w:r>
          <w:rPr>
            <w:rStyle w:val="Hyperlink"/>
            <w:vertAlign w:val="superscript"/>
          </w:rPr>
          <w:t xml:space="preserve">34</w:t>
        </w:r>
      </w:hyperlink>
      <w:r>
        <w:t xml:space="preserve">, donde se menciona el control durante el proceso de almacenamiento se encuentra que:</w:t>
      </w:r>
    </w:p>
    <w:p>
      <w:pPr>
        <w:pStyle w:val="BlockText"/>
      </w:pPr>
      <w:r>
        <w:rPr>
          <w:iCs/>
          <w:i/>
        </w:rPr>
        <w:t xml:space="preserve">“</w:t>
      </w:r>
      <w:r>
        <w:rPr>
          <w:iCs/>
          <w:i/>
        </w:rPr>
        <w:t xml:space="preserve">El … establecimiento farmacéutico contará con criterios, procedimientos y recursos que permitan calcular las existencias necesarias para un período determinado, fijando los niveles mínimo y máximo de existencias, punto de reposición o punto de pedido y presupuesto necesario para cumplir con la prestación oportuna del servicio. Se podrán utilizar aquellos indicadores que vayan surgiendo y que permitan realizar un exacto control de existencias</w:t>
      </w:r>
      <w:r>
        <w:rPr>
          <w:iCs/>
          <w:i/>
        </w:rPr>
        <w:t xml:space="preserve">”</w:t>
      </w:r>
      <w:r>
        <w:rPr>
          <w:iCs/>
          <w:i/>
        </w:rPr>
        <w:t xml:space="preserve">.</w:t>
      </w:r>
      <w:hyperlink w:anchor="X4e956815ca1199d73a39485c932e7d8485463a0">
        <w:r>
          <w:rPr>
            <w:rStyle w:val="Hyperlink"/>
            <w:vertAlign w:val="superscript"/>
          </w:rPr>
          <w:t xml:space="preserve">34</w:t>
        </w:r>
      </w:hyperlink>
    </w:p>
    <w:p>
      <w:pPr>
        <w:pStyle w:val="FirstParagraph"/>
      </w:pPr>
      <w:r>
        <w:t xml:space="preserve">Con esto cabe aclarar que el control de existencias depende del criterio de cada organización, según como estas manejen sus productos. Se evalúo el uso de niveles de seguridad del inventario en los FRE. Un</w:t>
      </w:r>
      <w:r>
        <w:t xml:space="preserve"> </w:t>
      </w:r>
      <w:r>
        <w:rPr>
          <w:bCs/>
          <w:b/>
        </w:rPr>
        <w:t xml:space="preserve">inventario de seguridad</w:t>
      </w:r>
      <w:r>
        <w:t xml:space="preserve"> </w:t>
      </w:r>
      <w:r>
        <w:t xml:space="preserve">es una cantidad (nivel) almacenada adicional de producto que protege frente a incertidumbres en la demanda (</w:t>
      </w:r>
      <m:oMath>
        <m:r>
          <m:t>D</m:t>
        </m:r>
      </m:oMath>
      <w:r>
        <w:t xml:space="preserve">), tiempo de espera (</w:t>
      </w:r>
      <m:oMath>
        <m:r>
          <m:t>L</m:t>
        </m:r>
      </m:oMath>
      <w:r>
        <w:t xml:space="preserve">) o cambios en el suministro</w:t>
      </w:r>
      <w:hyperlink w:anchor="ref-Krajewski2016">
        <w:r>
          <w:rPr>
            <w:rStyle w:val="Hyperlink"/>
            <w:vertAlign w:val="superscript"/>
          </w:rPr>
          <w:t xml:space="preserve">33</w:t>
        </w:r>
      </w:hyperlink>
      <w:r>
        <w:t xml:space="preserve">. Los inventarios de seguridad se construyen basados en medidas de nivel de servicio que se encuentran relacionadas ya sea con costos de desabastecimiento o la probabilidad de desabastecerse</w:t>
      </w:r>
      <w:hyperlink w:anchor="ref-Silver2017">
        <w:r>
          <w:rPr>
            <w:rStyle w:val="Hyperlink"/>
            <w:vertAlign w:val="superscript"/>
          </w:rPr>
          <w:t xml:space="preserve">29</w:t>
        </w:r>
      </w:hyperlink>
      <w:r>
        <w:t xml:space="preserve">.</w:t>
      </w:r>
    </w:p>
    <w:p>
      <w:pPr>
        <w:pStyle w:val="CaptionedFigure"/>
      </w:pPr>
      <w:r>
        <w:drawing>
          <wp:inline>
            <wp:extent cx="5334000" cy="3556000"/>
            <wp:effectExtent b="0" l="0" r="0" t="0"/>
            <wp:docPr descr="Figura 6.4: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34"/>
      <w:r>
        <w:t xml:space="preserve">Figure </w:t>
      </w:r>
      <w:fldSimple w:instr="SEQ Figure \* ARABIC ">
        <w:r>
          <w:t>34</w:t>
        </w:r>
      </w:fldSimple>
      <w:r>
        <w:t xml:space="preserve">:</w:t>
      </w:r>
      <w:r>
        <w:t xml:space="preserve"> </w:t>
      </w:r>
      <w:bookmarkEnd w:id="123"/>
      <w:r>
        <w:t xml:space="preserve">Figura 6.4: Uso de niveles de seguridad del inventarios.</w:t>
      </w:r>
    </w:p>
    <w:p>
      <w:pPr>
        <w:pStyle w:val="BodyText"/>
      </w:pPr>
      <w:r>
        <w:t xml:space="preserve">Según los resultados obtenidos el 51.6% de los FREs si manejan niveles de seguridad en los inventarios, es decir que de los 31 FREs existentes solo 16 manejan esta práctica y los 15 restantes no la usan; entre las razones para el no uso de esta estrategia se encuentra que la cantidad de medicamentos que rotan en algunos territorios no es muy alto, por ende, con la experiencia adquirida se sabe en qué momento se debe empezar a realizar el proceso de pedido de medicamentos (como p.ej. Guainía o Guaviare).</w:t>
      </w:r>
    </w:p>
    <w:p>
      <w:pPr>
        <w:pStyle w:val="BodyText"/>
      </w:pPr>
      <w:r>
        <w:t xml:space="preserve">En otros casos se ve que el personal del FRE considera que su contacto directo con diario con los medicamentos, les permite verificar el comportamiento y determinar el momento indicado para tomar alguna acción. Se concluye entonces que 16 FREs usan estrategias de manejo óptimos de inventario y los 15 restantes lo hacen de una manera tradicional y dada por la experiencia adquirida con los años que llevan manejando el FRE en su región.</w:t>
      </w:r>
    </w:p>
    <w:bookmarkEnd w:id="124"/>
    <w:bookmarkEnd w:id="125"/>
    <w:bookmarkStart w:id="139" w:name="adquisición-de-mme"/>
    <w:p>
      <w:pPr>
        <w:pStyle w:val="Heading2"/>
      </w:pPr>
      <w:r>
        <w:rPr>
          <w:rStyle w:val="SectionNumber"/>
        </w:rPr>
        <w:t xml:space="preserve">6.2</w:t>
      </w:r>
      <w:r>
        <w:tab/>
      </w:r>
      <w:r>
        <w:t xml:space="preserve">Adquisición de MME</w:t>
      </w:r>
    </w:p>
    <w:bookmarkStart w:id="129" w:name="Xc45cd4a64f99073019fbd4f2b6fa0ebe3e64c13"/>
    <w:p>
      <w:pPr>
        <w:pStyle w:val="Heading3"/>
      </w:pPr>
      <w:r>
        <w:rPr>
          <w:rStyle w:val="SectionNumber"/>
        </w:rPr>
        <w:t xml:space="preserve">6.2.1</w:t>
      </w:r>
      <w:r>
        <w:tab/>
      </w:r>
      <w:r>
        <w:t xml:space="preserve">Tiempos de demora en el proceso de adquisición</w:t>
      </w:r>
    </w:p>
    <w:p>
      <w:pPr>
        <w:pStyle w:val="FirstParagraph"/>
      </w:pPr>
      <w:r>
        <w:t xml:space="preserve">El tiempo de demora para reabastecimiento (</w:t>
      </w:r>
      <m:oMath>
        <m:r>
          <m:t>L</m:t>
        </m:r>
      </m:oMath>
      <w:r>
        <w:t xml:space="preserve">) es el tiempo que pasa desde el momento en el que se decide generar un pedido hasta que está físicamente listo en el almacén para satisfacer la demanda de los clientes</w:t>
      </w:r>
      <w:hyperlink w:anchor="ref-Silver2017">
        <w:r>
          <w:rPr>
            <w:rStyle w:val="Hyperlink"/>
            <w:vertAlign w:val="superscript"/>
          </w:rPr>
          <w:t xml:space="preserve">29</w:t>
        </w:r>
      </w:hyperlink>
      <w:r>
        <w:t xml:space="preserve">. Para un manejo adecuado del inventario, se debe tener en cuenta este tiempo para realizar los pedidos con anticipación de manera que no se produzcan desabastecimientos de forma frecuente.</w:t>
      </w:r>
    </w:p>
    <w:p>
      <w:pPr>
        <w:pStyle w:val="BodyText"/>
      </w:pPr>
      <w:r>
        <w:t xml:space="preserve">Los tiempos de demora suelen tener varios componentes, en el diseño de la encuesta se tuvo en cuenta un proceso de adquisición de MME mediante etapas, de forma general se consideraron cinco etapas del proceso:</w:t>
      </w:r>
    </w:p>
    <w:p>
      <w:pPr>
        <w:numPr>
          <w:ilvl w:val="0"/>
          <w:numId w:val="1020"/>
        </w:numPr>
      </w:pPr>
      <w:r>
        <w:t xml:space="preserve">Estimación de necesidades</w:t>
      </w:r>
    </w:p>
    <w:p>
      <w:pPr>
        <w:numPr>
          <w:ilvl w:val="0"/>
          <w:numId w:val="1020"/>
        </w:numPr>
      </w:pPr>
      <w:r>
        <w:t xml:space="preserve">Precontractual</w:t>
      </w:r>
    </w:p>
    <w:p>
      <w:pPr>
        <w:numPr>
          <w:ilvl w:val="0"/>
          <w:numId w:val="1020"/>
        </w:numPr>
      </w:pPr>
      <w:r>
        <w:t xml:space="preserve">Contractual</w:t>
      </w:r>
    </w:p>
    <w:p>
      <w:pPr>
        <w:numPr>
          <w:ilvl w:val="0"/>
          <w:numId w:val="1020"/>
        </w:numPr>
      </w:pPr>
      <w:r>
        <w:t xml:space="preserve">Solicitud en la plataforma tecnológica</w:t>
      </w:r>
    </w:p>
    <w:p>
      <w:pPr>
        <w:numPr>
          <w:ilvl w:val="0"/>
          <w:numId w:val="1020"/>
        </w:numPr>
      </w:pPr>
      <w:r>
        <w:t xml:space="preserve">Despacho (tiempo de tránsito)</w:t>
      </w:r>
    </w:p>
    <w:p>
      <w:pPr>
        <w:pStyle w:val="FirstParagraph"/>
      </w:pPr>
      <w:r>
        <w:t xml:space="preserve">En este caso la plataforma tecnológica es la tienda virtual del Estado Colombia Compra Eficiente. El proceso puede cambiar de acuerdo con las particularidades de cada territorio, y el tiempo de demora para llevar a cabo estos procesos puede ser fijo o aleatorio.</w:t>
      </w:r>
    </w:p>
    <w:p>
      <w:pPr>
        <w:pStyle w:val="BodyText"/>
      </w:pPr>
      <w:r>
        <w:t xml:space="preserve">En la Figura</w:t>
      </w:r>
      <w:r>
        <w:t xml:space="preserve"> </w:t>
      </w:r>
      <w:r>
        <w:t xml:space="preserve">6.5</w:t>
      </w:r>
      <w:r>
        <w:t xml:space="preserve"> </w:t>
      </w:r>
      <w:r>
        <w:t xml:space="preserve">se muestran los departamentos en órden de acuerdo al tiempo total para la adquisición de MME. Se tiene que los departamentos de Putumayo (296 días), San Andrés (250 días), Caldas (238 días), Córdoba (181 días) y Boyacá (174 días) son los que más tiempo toman en los procesos de adquisición. Se tiene un promedio entre todos los departamentos de 90.9 días para el cumplimiento del proceso de adquisición.</w:t>
      </w:r>
    </w:p>
    <w:p>
      <w:pPr>
        <w:pStyle w:val="BodyText"/>
      </w:pPr>
      <w:r>
        <w:drawing>
          <wp:inline>
            <wp:extent cx="5334000" cy="3731947"/>
            <wp:effectExtent b="0" l="0" r="0" t="0"/>
            <wp:docPr descr="Figura 6.5: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126"/>
                    <a:stretch>
                      <a:fillRect/>
                    </a:stretch>
                  </pic:blipFill>
                  <pic:spPr bwMode="auto">
                    <a:xfrm>
                      <a:off x="0" y="0"/>
                      <a:ext cx="5334000" cy="3731947"/>
                    </a:xfrm>
                    <a:prstGeom prst="rect">
                      <a:avLst/>
                    </a:prstGeom>
                    <a:noFill/>
                    <a:ln w="9525">
                      <a:noFill/>
                      <a:headEnd/>
                      <a:tailEnd/>
                    </a:ln>
                  </pic:spPr>
                </pic:pic>
              </a:graphicData>
            </a:graphic>
          </wp:inline>
        </w:drawing>
      </w:r>
      <w:r>
        <w:t xml:space="preserve"> </w:t>
      </w:r>
      <w:r>
        <w:t xml:space="preserve">La diferencia en los tiempos para llevar a cabo los procesos de adquisición de MME (mostrados en la Figura</w:t>
      </w:r>
      <w:r>
        <w:t xml:space="preserve"> </w:t>
      </w:r>
      <w:r>
        <w:t xml:space="preserve">6.5</w:t>
      </w:r>
      <w:r>
        <w:t xml:space="preserve">) se puede explicar teniendo en cuenta factores como: (i) cantidad de medicamentos requeridos en cada departamento, (ii) herramientas usadas para el cálculo de la estimación de la necesidad, (iii) eficiencia u organización de los procesos contractuales de cada entidad y (iv) distancia física entre el FNE y la oficina del FRE. Este último factor puede afectar el tiempo de despacho de los MME de forma especial en las zonas más alejadas de la capital del país.</w:t>
      </w:r>
    </w:p>
    <w:p>
      <w:pPr>
        <w:pStyle w:val="BodyText"/>
      </w:pPr>
      <w:r>
        <w:t xml:space="preserve">El proceso de estimación de compra de MME es uno de los más cortos (en promedio 3.31 días) y por lo general se hace teniendo en cuenta el consumo histórico en el territorio. El consumo histórico de medicamentos no es el único factor para tener en cuenta, es así como en el departamento de Casanare, el FRE además de revisar sus consumos históricos, consulta a sus inscritos la proyección de consumo de cada inscrito, adicionalmente agrega un 20% a su proyección final para tener un inventario de seguridad que le permita evitar el desabastecimiento.</w:t>
      </w:r>
    </w:p>
    <w:p>
      <w:pPr>
        <w:pStyle w:val="BodyText"/>
      </w:pPr>
      <w:r>
        <w:t xml:space="preserve">Por otra parte hay territorios como Guaviare en el que la estimación de compra sólo se hace teniendo en cuenta el consumo histórico y cuidando de no sobrepasar el presupuesto que la gobernación ha asignado para esta tarea. El FRE de Guaviare en comparación con otros territorios es pequeño, evidenciando que las necesidades y capacidades de los FRE son diferentes de acuerdo con el territorio.</w:t>
      </w:r>
    </w:p>
    <w:p>
      <w:pPr>
        <w:pStyle w:val="BodyText"/>
      </w:pPr>
      <w:r>
        <w:t xml:space="preserve">Existen casos a exaltar como el FRE de Sucre que, a pesar de tener un tamaño relativamente pequeño a otros en la región, tiene un proceso de estimación de necesidades de MME está altamente estandarizado a través de una herramienta que facilita la toma de decisiones de compra de MME. El FRE afirma que el uso de este manual reduce el tiempo de estimación de compra a una semana, y esto indica que es un proceso eficiente en este departamento.</w:t>
      </w:r>
    </w:p>
    <w:p>
      <w:pPr>
        <w:pStyle w:val="BodyText"/>
      </w:pPr>
      <w:r>
        <w:t xml:space="preserve">Como se identifica en la Figura</w:t>
      </w:r>
      <w:r>
        <w:t xml:space="preserve"> </w:t>
      </w:r>
      <w:r>
        <w:t xml:space="preserve">6.6</w:t>
      </w:r>
      <w:r>
        <w:t xml:space="preserve">, la gran mayoría de territorios manifiesta que las actividades que más tiempos requieren son las etapas precontractuales (en promedio 36.4 días) y contractuales (en promedio 46 días), esto debido a los requisitos que establece la contratación pública</w:t>
      </w:r>
      <w:hyperlink w:anchor="ref-CongresodelaRepublicadeColombia1993">
        <w:r>
          <w:rPr>
            <w:rStyle w:val="Hyperlink"/>
            <w:vertAlign w:val="superscript"/>
          </w:rPr>
          <w:t xml:space="preserve">35</w:t>
        </w:r>
      </w:hyperlink>
      <w:r>
        <w:rPr>
          <w:vertAlign w:val="superscript"/>
        </w:rPr>
        <w:t xml:space="preserve">,</w:t>
      </w:r>
      <w:hyperlink w:anchor="ref-CongresodelaRepublicadeColombia2007">
        <w:r>
          <w:rPr>
            <w:rStyle w:val="Hyperlink"/>
            <w:vertAlign w:val="superscript"/>
          </w:rPr>
          <w:t xml:space="preserve">36</w:t>
        </w:r>
      </w:hyperlink>
      <w:r>
        <w:t xml:space="preserve">. Para que una institución estatal pueda realizar una compra debe tener en cuenta la modalidad de contratación y los documentos exigidos en la misma, p.ej. los estudios previos en los que la entidad debe tener claridad sobre las especificaciones técnicas mínimas del servicio o bien a adquirir (referencia).</w:t>
      </w:r>
    </w:p>
    <w:p>
      <w:pPr>
        <w:pStyle w:val="CaptionedFigure"/>
      </w:pPr>
      <w:r>
        <w:drawing>
          <wp:inline>
            <wp:extent cx="5334000" cy="3556000"/>
            <wp:effectExtent b="0" l="0" r="0" t="0"/>
            <wp:docPr descr="Figura 6.6: Histogramas de tiempos en el proceso de adquisición por departament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2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8" w:name="fig35"/>
      <w:r>
        <w:t xml:space="preserve">Figure </w:t>
      </w:r>
      <w:fldSimple w:instr="SEQ Figure \* ARABIC ">
        <w:r>
          <w:t>35</w:t>
        </w:r>
      </w:fldSimple>
      <w:r>
        <w:t xml:space="preserve">:</w:t>
      </w:r>
      <w:r>
        <w:t xml:space="preserve"> </w:t>
      </w:r>
      <w:bookmarkEnd w:id="128"/>
      <w:r>
        <w:t xml:space="preserve">Figura 6.6: Histogramas de tiempos en el proceso de adquisición por departamento.</w:t>
      </w:r>
    </w:p>
    <w:p>
      <w:pPr>
        <w:pStyle w:val="BodyText"/>
      </w:pPr>
      <w:r>
        <w:t xml:space="preserve">Por lo general, la documentación pertinente de la fase precontractual es revisada y corregida en varias ocasiones por diferentes áreas en una misma entidad, lo que conlleva a largos tiempos de espera en la fase precontractual. Estas demoras se dan especialmente cuando el área encargada de aprobar la documentación o de llevar a cabo el proceso contractual no pertenece a la secretaría de salud, como es el caso de Atlántico, pues los funcionarios de otras áreas de las gobernaciones no están inmersos en el contexto de las necesidades de salud pública y específicamente en la importancia que tiene el abastecimiento de MME para la población, por lo que muchas veces el proceso de adquisición de medicamentos queda a merced de la voluntad de otras áreas, propiciando incluso el desabastecimiento en los departamentos.</w:t>
      </w:r>
    </w:p>
    <w:p>
      <w:pPr>
        <w:pStyle w:val="BodyText"/>
      </w:pPr>
      <w:r>
        <w:t xml:space="preserve">La etapa de solicitud en la plataforma tecnológica toma en promedio 6 días (mediana de 4 días). Los departamentos que reportan las mayores demoras en esta etapa son Atlántico (30 días) y Valle del Cauca (21 días), estos departamentos describieron problemas durante el proceso de compra mediante la plataforma. El resto de departamentos presentaban tiempos menores a 7 días para esta etapa.</w:t>
      </w:r>
    </w:p>
    <w:p>
      <w:pPr>
        <w:pStyle w:val="BodyText"/>
      </w:pPr>
      <w:r>
        <w:t xml:space="preserve">La etapa de despacho tomó en promedio 10.4 días (mediana de 7 días). Los departamentos de Valle del Cauca (60 días), Quindío (52 días), y San Andrés (30 días) presentaron la mayor demora en esta etapa, estos tiempos reportados no parecen tener una relación cercana con la distancia física entre la oficina del FRE y el centro de despacho desde el FNE.</w:t>
      </w:r>
    </w:p>
    <w:p>
      <w:pPr>
        <w:pStyle w:val="BodyText"/>
      </w:pPr>
      <w:r>
        <w:t xml:space="preserve">Los procesos relacionados a medicamentos esenciales como los son muchos MME no deben tener barreras que aumenten el riesgo de desabastecimientos</w:t>
      </w:r>
      <w:hyperlink w:anchor="ref-OMS2021">
        <w:r>
          <w:rPr>
            <w:rStyle w:val="Hyperlink"/>
            <w:vertAlign w:val="superscript"/>
          </w:rPr>
          <w:t xml:space="preserve">37</w:t>
        </w:r>
      </w:hyperlink>
      <w:r>
        <w:t xml:space="preserve">, estas barreras pueden estar relacionadas con los tiempos de demora. De acuerdo con lo evaluado se tiene que las etapas precontractuales y contractuales son las que más toman tiempo.</w:t>
      </w:r>
    </w:p>
    <w:p>
      <w:pPr>
        <w:pStyle w:val="BodyText"/>
      </w:pPr>
      <w:r>
        <w:t xml:space="preserve">Los FRE deben propender por sensibilizar más a sus gobernaciones para que los procesos se realicen en tiempos más prudentes. Es deber de todos los actores relacionados a los procesos de medicamentos garantizar el acceso a los mismos por parte de la población, acorde a las políticas implementadas por el gobierno nacional</w:t>
      </w:r>
      <w:hyperlink w:anchor="ref-PDSPMinSalud2019">
        <w:r>
          <w:rPr>
            <w:rStyle w:val="Hyperlink"/>
            <w:vertAlign w:val="superscript"/>
          </w:rPr>
          <w:t xml:space="preserve">38</w:t>
        </w:r>
      </w:hyperlink>
      <w:r>
        <w:t xml:space="preserve">.</w:t>
      </w:r>
    </w:p>
    <w:bookmarkEnd w:id="129"/>
    <w:bookmarkStart w:id="132" w:name="plataforma-de-compra-estatal"/>
    <w:p>
      <w:pPr>
        <w:pStyle w:val="Heading3"/>
      </w:pPr>
      <w:r>
        <w:rPr>
          <w:rStyle w:val="SectionNumber"/>
        </w:rPr>
        <w:t xml:space="preserve">6.2.2</w:t>
      </w:r>
      <w:r>
        <w:tab/>
      </w:r>
      <w:r>
        <w:t xml:space="preserve">Plataforma de compra estatal</w:t>
      </w:r>
    </w:p>
    <w:p>
      <w:pPr>
        <w:pStyle w:val="FirstParagraph"/>
      </w:pPr>
      <w:r>
        <w:t xml:space="preserve">La plataforma Colombia Compra es el ente rector en materia de contratación pública y desde 2013 se puso en marcha la tienda virtual del Estado colombiano como herramienta en línea del sistema de compra pública. Esta plataforma permite hacer compras a través de acuerdos marco, instrumentos de agregación de demanda y catálogo de bienes de las grandes superficies. En concordancia con lo anterior, Colombia Compra Eficiente dispuso un documento en su plataforma denominado</w:t>
      </w:r>
      <w:r>
        <w:t xml:space="preserve"> </w:t>
      </w:r>
      <w:r>
        <w:rPr>
          <w:iCs/>
          <w:i/>
        </w:rPr>
        <w:t xml:space="preserve">“</w:t>
      </w:r>
      <w:r>
        <w:rPr>
          <w:iCs/>
          <w:i/>
        </w:rPr>
        <w:t xml:space="preserve">Estudios y Documentos Previos de la contratación con el Fondo Nacional de Estupefacientes para la adquisición de Medicamentos de Control Especial de Monopolio del Estado</w:t>
      </w:r>
      <w:r>
        <w:rPr>
          <w:iCs/>
          <w:i/>
        </w:rPr>
        <w:t xml:space="preserve">”</w:t>
      </w:r>
      <w:r>
        <w:t xml:space="preserve"> </w:t>
      </w:r>
      <w:r>
        <w:t xml:space="preserve">donde afirma que se promueve un Instrumento de Agregación de Demanda de Precios para la adquisición de MME mediante contratación directa con el FNE, con el objetivo de aumentar la eficiencia en los procesos de cada FRE y aprovechar las economías a escala. Pese a su implementación y sus objetivos algunos FRE no perciben su uso como una ventaja.</w:t>
      </w:r>
    </w:p>
    <w:p>
      <w:pPr>
        <w:pStyle w:val="BodyText"/>
      </w:pPr>
      <w:r>
        <w:t xml:space="preserve">De esta manera los FRE adquieren los MME a través de esta herramienta, por tal motivo se indagó sobre el uso de la plataforma y la opinión que tenían los FRE sobre la misma. Se encuentra que en términos generales (ver la Figura</w:t>
      </w:r>
      <w:r>
        <w:t xml:space="preserve"> </w:t>
      </w:r>
      <w:r>
        <w:t xml:space="preserve">6.6</w:t>
      </w:r>
      <w:r>
        <w:t xml:space="preserve">), que los FRE consideran que el tiempo invertido en el uso y trámite que se realiza a través de la plataforma, no es tan dispendioso como las etapas precontractuales y contractuales del proceso.</w:t>
      </w:r>
    </w:p>
    <w:p>
      <w:pPr>
        <w:pStyle w:val="BodyText"/>
      </w:pPr>
      <w:r>
        <w:t xml:space="preserve">La mayoría de los departamentos hace uso de esta plataforma, encontrándose diferentes percepciones sobre ella. Por ejemplo, el FRE del Cauca indica alta satisfacción con el uso de la plataforma al considerar que es muy organizada, por otra parte el FRE del Valle del Cauca que indica inconformidad en el uso porque consideran que el mismo implica un extenso proceso precontractual y esto puede ser ineficiente y poco intuitivo. El FRE Meta afirma que en la plataforma existen factores que tardan en actualizarse como por ejemplo firmas de la secretaría de salud o incongruencias en el despacho de medicamentos comprados, y el FRE de Santander menciona que los precios en la plataforma suelen encontrarse desactualizados respecto a los del FNE.</w:t>
      </w:r>
    </w:p>
    <w:p>
      <w:pPr>
        <w:pStyle w:val="BodyText"/>
      </w:pPr>
      <w:r>
        <w:t xml:space="preserve">Si bien el uso del Instrumento de Agregación de Demanda de precios dispuesto por Colombia Compra Eficiente para la adquisición de MME por parte de los FRE es de obligatoriedad, según la Circular Externa 005 de 2019 emitida por el FNE</w:t>
      </w:r>
      <w:hyperlink w:anchor="ref-FNE005-2019">
        <w:r>
          <w:rPr>
            <w:rStyle w:val="Hyperlink"/>
            <w:vertAlign w:val="superscript"/>
          </w:rPr>
          <w:t xml:space="preserve">39</w:t>
        </w:r>
      </w:hyperlink>
      <w:r>
        <w:t xml:space="preserve">, no todos llevan a cabo este proceso. Un caso podría ser el FRE Guainía que no ha utilizado la plataforma por falta de conocimiento sobre la misma y tiempo para capacitar a su personal respecto a ello, o el FRE Meta que expresa varias inconformidades sobre el uso de esta.</w:t>
      </w:r>
    </w:p>
    <w:p>
      <w:pPr>
        <w:pStyle w:val="BodyText"/>
      </w:pPr>
      <w:r>
        <w:t xml:space="preserve">De otra parte, es necesario mencionar que, si bien casi todos los departamentos hacen uso de la plataforma, este proceso no siempre está a cargo del FRE, como en el caso del departamento del Atlántico, donde el proceso se lleva a través de Secretaría General y por ello su percepción sobre la misma es</w:t>
      </w:r>
      <w:r>
        <w:t xml:space="preserve"> </w:t>
      </w:r>
      <w:r>
        <w:rPr>
          <w:iCs/>
          <w:i/>
        </w:rPr>
        <w:t xml:space="preserve">“</w:t>
      </w:r>
      <w:r>
        <w:rPr>
          <w:iCs/>
          <w:i/>
        </w:rPr>
        <w:t xml:space="preserve">ni conforme ni inconforme</w:t>
      </w:r>
      <w:r>
        <w:rPr>
          <w:iCs/>
          <w:i/>
        </w:rPr>
        <w:t xml:space="preserve">”</w:t>
      </w:r>
      <w:r>
        <w:t xml:space="preserve">. Es así como en la Figura</w:t>
      </w:r>
      <w:r>
        <w:t xml:space="preserve"> </w:t>
      </w:r>
      <w:r>
        <w:t xml:space="preserve">6.7</w:t>
      </w:r>
      <w:r>
        <w:t xml:space="preserve"> </w:t>
      </w:r>
      <w:r>
        <w:t xml:space="preserve">se identifica como la segunda respuesta más frecuente</w:t>
      </w:r>
      <w:r>
        <w:t xml:space="preserve"> </w:t>
      </w:r>
      <w:r>
        <w:rPr>
          <w:iCs/>
          <w:i/>
        </w:rPr>
        <w:t xml:space="preserve">“</w:t>
      </w:r>
      <w:r>
        <w:rPr>
          <w:iCs/>
          <w:i/>
        </w:rPr>
        <w:t xml:space="preserve">Ni conforme ni inconforme</w:t>
      </w:r>
      <w:r>
        <w:rPr>
          <w:iCs/>
          <w:i/>
        </w:rPr>
        <w:t xml:space="preserve">”</w:t>
      </w:r>
      <w:r>
        <w:t xml:space="preserve"> </w:t>
      </w:r>
      <w:r>
        <w:t xml:space="preserve">con el uso de esta plataforma. De otra parte, el FRE Putumayo comenta que el uso de la plataforma depende en gran medida de otras áreas de la gobernación, evidenciando varias dificultades en su uso y aumentando el tiempo en los procesos de contratación.</w:t>
      </w:r>
    </w:p>
    <w:p>
      <w:pPr>
        <w:pStyle w:val="CaptionedFigure"/>
      </w:pPr>
      <w:r>
        <w:drawing>
          <wp:inline>
            <wp:extent cx="5334000" cy="2555875"/>
            <wp:effectExtent b="0" l="0" r="0" t="0"/>
            <wp:docPr descr="Figura 6.7: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30"/>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31" w:name="fig36"/>
      <w:r>
        <w:t xml:space="preserve">Figure </w:t>
      </w:r>
      <w:fldSimple w:instr="SEQ Figure \* ARABIC ">
        <w:r>
          <w:t>36</w:t>
        </w:r>
      </w:fldSimple>
      <w:r>
        <w:t xml:space="preserve">:</w:t>
      </w:r>
      <w:r>
        <w:t xml:space="preserve"> </w:t>
      </w:r>
      <w:bookmarkEnd w:id="131"/>
      <w:r>
        <w:t xml:space="preserve">Figura 6.7: Opinión sobre la plataforma Colombia Compra Eficiente.</w:t>
      </w:r>
    </w:p>
    <w:p>
      <w:pPr>
        <w:pStyle w:val="BodyText"/>
      </w:pPr>
      <w:r>
        <w:t xml:space="preserve">En algunos casos, los FRE manifestaron la necesidad de recibir capacitación sobre el uso de esta herramienta, pues el desconocimiento sobre la misma por parte del personal puede ocasionar demoras en el proceso de compra de MME. Por ejemplo, como ocurre en el caso del FRE Sucre que si bien tienen un método eficiente para realizar la estimación de compra, se ve retrasado en la etapa que implica el uso de esta plataforma.</w:t>
      </w:r>
    </w:p>
    <w:p>
      <w:pPr>
        <w:pStyle w:val="BodyText"/>
      </w:pPr>
      <w:r>
        <w:t xml:space="preserve">Si bien la plataforma Colombia Compra Eficiente buscan hacer más eficiente el proceso de adquisición de bienes y servicios para entidades estatales se observa que en algunos territorios no hay adherencia al uso de la plataforma por desconocimiento de esta. Se recomienda que los FRE fortalezcan el conocimiento de uso de la plataforma.</w:t>
      </w:r>
    </w:p>
    <w:bookmarkEnd w:id="132"/>
    <w:bookmarkStart w:id="135" w:name="recepción-de-medicamentos"/>
    <w:p>
      <w:pPr>
        <w:pStyle w:val="Heading3"/>
      </w:pPr>
      <w:r>
        <w:rPr>
          <w:rStyle w:val="SectionNumber"/>
        </w:rPr>
        <w:t xml:space="preserve">6.2.3</w:t>
      </w:r>
      <w:r>
        <w:tab/>
      </w:r>
      <w:r>
        <w:t xml:space="preserve">Recepción de medicamentos</w:t>
      </w:r>
    </w:p>
    <w:p>
      <w:pPr>
        <w:pStyle w:val="FirstParagraph"/>
      </w:pPr>
      <w:r>
        <w:t xml:space="preserve">A nivel nacional se cuenta con el</w:t>
      </w:r>
      <w:r>
        <w:t xml:space="preserve"> </w:t>
      </w:r>
      <w:r>
        <w:rPr>
          <w:iCs/>
          <w:i/>
        </w:rPr>
        <w:t xml:space="preserve">“</w:t>
      </w:r>
      <w:r>
        <w:rPr>
          <w:iCs/>
          <w:i/>
        </w:rPr>
        <w:t xml:space="preserve">Manual de condiciones esenciales y procedimientos del Servicio Farmacéutico</w:t>
      </w:r>
      <w:r>
        <w:rPr>
          <w:iCs/>
          <w:i/>
        </w:rPr>
        <w:t xml:space="preserve">”</w:t>
      </w:r>
      <w:r>
        <w:t xml:space="preserve"> </w:t>
      </w:r>
      <w:r>
        <w:t xml:space="preserve">que está determinado por la Resolución 1403 del 2007</w:t>
      </w:r>
      <w:hyperlink w:anchor="X4e956815ca1199d73a39485c932e7d8485463a0">
        <w:r>
          <w:rPr>
            <w:rStyle w:val="Hyperlink"/>
            <w:vertAlign w:val="superscript"/>
          </w:rPr>
          <w:t xml:space="preserve">34</w:t>
        </w:r>
      </w:hyperlink>
      <w:r>
        <w:t xml:space="preserve"> </w:t>
      </w:r>
      <w:r>
        <w:t xml:space="preserve">emitida por el INVIMA, que en el título</w:t>
      </w:r>
      <w:r>
        <w:t xml:space="preserve"> </w:t>
      </w:r>
      <w:r>
        <w:t xml:space="preserve">“</w:t>
      </w:r>
      <w:r>
        <w:t xml:space="preserve">Recepción y Almacenamiento de Medicamentos y Dispositivos Médicos</w:t>
      </w:r>
      <w:r>
        <w:t xml:space="preserve">”</w:t>
      </w:r>
      <w:r>
        <w:t xml:space="preserve">, establece que la persona encargada de recibir los medicamentos en la institución debe realizar el siguiente procedimiento:</w:t>
      </w:r>
    </w:p>
    <w:p>
      <w:pPr>
        <w:numPr>
          <w:ilvl w:val="0"/>
          <w:numId w:val="1021"/>
        </w:numPr>
      </w:pPr>
      <w:r>
        <w:t xml:space="preserve">estudiar la documentación propia de la institución que realiza la recepción, con el fin de establecer los productos a recibir y qué condiciones requieren los mismos para su recepción.</w:t>
      </w:r>
    </w:p>
    <w:p>
      <w:pPr>
        <w:numPr>
          <w:ilvl w:val="0"/>
          <w:numId w:val="1021"/>
        </w:numPr>
      </w:pPr>
      <w:r>
        <w:t xml:space="preserve">verificar la documentación de quien hace la entrega, p.ej. guía de entrega. Las cantidades solicitadas deben corresponder con las aprobadas tras el pedido.</w:t>
      </w:r>
    </w:p>
    <w:p>
      <w:pPr>
        <w:numPr>
          <w:ilvl w:val="0"/>
          <w:numId w:val="1021"/>
        </w:numPr>
      </w:pPr>
      <w:r>
        <w:t xml:space="preserve">realizar una inspección de los medicamentos para verificar las (i) unidades, (ii) número de lote, (iii) fechas de vencimiento, (iv) registro sanitario, (v) laboratorio fabricante, (vi) condiciones de almacenamiento durante el transporte, (vii) manipulación, (viii) embalaje, (ix) material de empaque / envase y (x) condiciones administrativas y técnicas establecidas en la negociación.</w:t>
      </w:r>
    </w:p>
    <w:p>
      <w:pPr>
        <w:pStyle w:val="FirstParagraph"/>
      </w:pPr>
      <w:r>
        <w:t xml:space="preserve">Después de la inspección, se realiza un muestreo para determinar si los productos recibidos cumplen con especificaciones de calidad. Existen planes de muestreo de aceptación por atributos en el que se suele utilizar la Tabla Militar Estándar MIL-STD-105E</w:t>
      </w:r>
      <w:hyperlink w:anchor="X151870ab54b01afcd5b4b1f9212b983bdc4c06e">
        <w:r>
          <w:rPr>
            <w:rStyle w:val="Hyperlink"/>
            <w:vertAlign w:val="superscript"/>
          </w:rPr>
          <w:t xml:space="preserve">40</w:t>
        </w:r>
      </w:hyperlink>
      <w:r>
        <w:rPr>
          <w:vertAlign w:val="superscript"/>
        </w:rPr>
        <w:t xml:space="preserve">,</w:t>
      </w:r>
      <w:hyperlink w:anchor="ref-GutierrezPulido2008">
        <w:r>
          <w:rPr>
            <w:rStyle w:val="Hyperlink"/>
            <w:vertAlign w:val="superscript"/>
          </w:rPr>
          <w:t xml:space="preserve">41</w:t>
        </w:r>
      </w:hyperlink>
      <w:r>
        <w:t xml:space="preserve">, con el fin de seleccionar el tamaño de una muestra aleatoria de acuerdo al tamaño total del pedido, nivel de inspección requerido y otros factores. En casos con un tamaño total de lote pequeño y altos niveles de inspección se suele realiza una inspección completa de los productos recibidos.</w:t>
      </w:r>
    </w:p>
    <w:p>
      <w:pPr>
        <w:pStyle w:val="BodyText"/>
      </w:pPr>
      <w:r>
        <w:t xml:space="preserve">Al terminar la inspección se pasa a documentar la recepción y se procede a realizar un</w:t>
      </w:r>
      <w:r>
        <w:t xml:space="preserve"> </w:t>
      </w:r>
      <w:r>
        <w:t xml:space="preserve">“</w:t>
      </w:r>
      <w:r>
        <w:t xml:space="preserve">acta de recepción</w:t>
      </w:r>
      <w:r>
        <w:t xml:space="preserve">”</w:t>
      </w:r>
      <w:r>
        <w:t xml:space="preserve"> </w:t>
      </w:r>
      <w:r>
        <w:t xml:space="preserve">donde se detalla la información del procedimiento como:</w:t>
      </w:r>
    </w:p>
    <w:p>
      <w:pPr>
        <w:numPr>
          <w:ilvl w:val="0"/>
          <w:numId w:val="1022"/>
        </w:numPr>
      </w:pPr>
      <w:r>
        <w:t xml:space="preserve">fecha y hora de entrega</w:t>
      </w:r>
    </w:p>
    <w:p>
      <w:pPr>
        <w:numPr>
          <w:ilvl w:val="0"/>
          <w:numId w:val="1022"/>
        </w:numPr>
      </w:pPr>
      <w:r>
        <w:t xml:space="preserve">cantidad de unidades</w:t>
      </w:r>
    </w:p>
    <w:p>
      <w:pPr>
        <w:numPr>
          <w:ilvl w:val="0"/>
          <w:numId w:val="1022"/>
        </w:numPr>
      </w:pPr>
      <w:r>
        <w:t xml:space="preserve">número de lote</w:t>
      </w:r>
    </w:p>
    <w:p>
      <w:pPr>
        <w:numPr>
          <w:ilvl w:val="0"/>
          <w:numId w:val="1022"/>
        </w:numPr>
      </w:pPr>
      <w:r>
        <w:t xml:space="preserve">registro sanitario</w:t>
      </w:r>
    </w:p>
    <w:p>
      <w:pPr>
        <w:numPr>
          <w:ilvl w:val="0"/>
          <w:numId w:val="1022"/>
        </w:numPr>
      </w:pPr>
      <w:r>
        <w:t xml:space="preserve">fechas de vencimiento</w:t>
      </w:r>
    </w:p>
    <w:p>
      <w:pPr>
        <w:numPr>
          <w:ilvl w:val="0"/>
          <w:numId w:val="1022"/>
        </w:numPr>
      </w:pPr>
      <w:r>
        <w:t xml:space="preserve">condiciones de trasporte, manipulación y embalaje</w:t>
      </w:r>
    </w:p>
    <w:p>
      <w:pPr>
        <w:numPr>
          <w:ilvl w:val="0"/>
          <w:numId w:val="1022"/>
        </w:numPr>
      </w:pPr>
      <w:r>
        <w:t xml:space="preserve">material de empaque y envase</w:t>
      </w:r>
    </w:p>
    <w:p>
      <w:pPr>
        <w:numPr>
          <w:ilvl w:val="0"/>
          <w:numId w:val="1022"/>
        </w:numPr>
      </w:pPr>
      <w:r>
        <w:t xml:space="preserve">condiciones administrativas y técnicas establecidas en la negociación así como la trazabilidad</w:t>
      </w:r>
    </w:p>
    <w:p>
      <w:pPr>
        <w:pStyle w:val="FirstParagraph"/>
      </w:pPr>
      <w:r>
        <w:t xml:space="preserve">El acta es firmada por las persona que reciben y entregan para ser archivada. Como parte final se ingresan como parte del inventario a todos los productos pedidos que cumplan con las especificaciones de calidad.</w:t>
      </w:r>
    </w:p>
    <w:p>
      <w:pPr>
        <w:pStyle w:val="BodyText"/>
      </w:pPr>
      <w:r>
        <w:t xml:space="preserve">En el caso de los distintos FRE a nivel nacional (ver Figura</w:t>
      </w:r>
      <w:r>
        <w:t xml:space="preserve"> </w:t>
      </w:r>
      <w:r>
        <w:t xml:space="preserve">6.8</w:t>
      </w:r>
      <w:r>
        <w:t xml:space="preserve">), se observa que el FRE Antioquia es el que más días invierte en realizar el proceso de recepción, esto se debe a que sus pedidos son de gran tamaño para cubrir la demanda, lo que conlleva a que deba dispensarse 5 días en todo el proceso de recepción técnica, desde el momento de recepción del producto proveniente del FNE, hasta el ingreso de la misma al sistema, incluyendo la realización del acta.</w:t>
      </w:r>
    </w:p>
    <w:p>
      <w:pPr>
        <w:pStyle w:val="CaptionedFigure"/>
      </w:pPr>
      <w:r>
        <w:drawing>
          <wp:inline>
            <wp:extent cx="5334000" cy="2400300"/>
            <wp:effectExtent b="0" l="0" r="0" t="0"/>
            <wp:docPr descr="Figura 6.8: Tiempos en la recepción técnica y almacenamiento de MME. (A) Gráfico de barras con frecuencia. (B) Mapa con tiempos para la recepción técnica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33"/>
                    <a:stretch>
                      <a:fillRect/>
                    </a:stretch>
                  </pic:blipFill>
                  <pic:spPr bwMode="auto">
                    <a:xfrm>
                      <a:off x="0" y="0"/>
                      <a:ext cx="5334000" cy="2400300"/>
                    </a:xfrm>
                    <a:prstGeom prst="rect">
                      <a:avLst/>
                    </a:prstGeom>
                    <a:noFill/>
                    <a:ln w="9525">
                      <a:noFill/>
                      <a:headEnd/>
                      <a:tailEnd/>
                    </a:ln>
                  </pic:spPr>
                </pic:pic>
              </a:graphicData>
            </a:graphic>
          </wp:inline>
        </w:drawing>
      </w:r>
    </w:p>
    <w:p>
      <w:pPr>
        <w:pStyle w:val="ImageCaption"/>
      </w:pPr>
      <w:bookmarkStart w:id="134" w:name="fig37"/>
      <w:r>
        <w:t xml:space="preserve">Figure </w:t>
      </w:r>
      <w:fldSimple w:instr="SEQ Figure \* ARABIC ">
        <w:r>
          <w:t>37</w:t>
        </w:r>
      </w:fldSimple>
      <w:r>
        <w:t xml:space="preserve">:</w:t>
      </w:r>
      <w:r>
        <w:t xml:space="preserve"> </w:t>
      </w:r>
      <w:bookmarkEnd w:id="134"/>
      <w:r>
        <w:t xml:space="preserve">Figura 6.8: Tiempos en la recepción técnica y almacenamiento de MME. (A) Gráfico de barras con frecuencia. (B) Mapa con tiempos para la recepción técnica de MME.</w:t>
      </w:r>
    </w:p>
    <w:p>
      <w:pPr>
        <w:pStyle w:val="BodyText"/>
      </w:pPr>
      <w:r>
        <w:t xml:space="preserve">En segundo lugar se encuentra el FRE Boyacá, el cual presenta un uso de 3 días en todo el proceso, se observa que el volumen de inscritos es alto y que en este caso lo llevan dos regentes de farmacia dando paso a la realización de acta con el transportador y luego una revisión completa de cada medicamentos y correcto almacenamiento con su acta correspondiente.</w:t>
      </w:r>
    </w:p>
    <w:p>
      <w:pPr>
        <w:pStyle w:val="BodyText"/>
      </w:pPr>
      <w:r>
        <w:t xml:space="preserve">Como otro atributo que se puede resaltar en la Figura</w:t>
      </w:r>
      <w:r>
        <w:t xml:space="preserve"> </w:t>
      </w:r>
      <w:r>
        <w:t xml:space="preserve">6.8</w:t>
      </w:r>
      <w:r>
        <w:t xml:space="preserve">, es que cinco territorios Atlántico, Quindío, Sucre, Tolima y Bolívar se demoran entre 2-2.5 días para la recepción técnica, debido a su tamaño y a la cantidad de personas disponibles para llevar a cabo este proceso y como ultima observación, se puede ver que 24 de los 31 FRE realizan la recepción técnica durante un día y por máximo un día y medio, debido a que los pedidos realizados no son muy grandes, o como en el caso del Valle del cauca, Cauca y Santander, que son territorios grandes con bastantes inscritos, se determina la prioridad de esta acción donde se establece las personas que llevan a cabo este procedimiento y se ha observado que no sobrepasa un día y medio en esta labor.</w:t>
      </w:r>
    </w:p>
    <w:bookmarkEnd w:id="135"/>
    <w:bookmarkStart w:id="138" w:name="traslados-interdepartamentales"/>
    <w:p>
      <w:pPr>
        <w:pStyle w:val="Heading3"/>
      </w:pPr>
      <w:r>
        <w:rPr>
          <w:rStyle w:val="SectionNumber"/>
        </w:rPr>
        <w:t xml:space="preserve">6.2.4</w:t>
      </w:r>
      <w:r>
        <w:tab/>
      </w:r>
      <w:r>
        <w:t xml:space="preserve">Traslados interdepartamentales</w:t>
      </w:r>
    </w:p>
    <w:p>
      <w:pPr>
        <w:pStyle w:val="FirstParagraph"/>
      </w:pPr>
      <w:r>
        <w:t xml:space="preserve">La cadena de suministro de MME está planteada de manera que los FRE realizan compras de MME al FNE, y los establecimientos en los departamentos realizan compras al FRE, en ambos casos sin intermediaciones</w:t>
      </w:r>
      <w:hyperlink w:anchor="ref-MSPS1478-2006">
        <w:r>
          <w:rPr>
            <w:rStyle w:val="Hyperlink"/>
            <w:vertAlign w:val="superscript"/>
          </w:rPr>
          <w:t xml:space="preserve">1</w:t>
        </w:r>
      </w:hyperlink>
      <w:r>
        <w:t xml:space="preserve">. Sin embargo, existe un mecanismo conocido como</w:t>
      </w:r>
      <w:r>
        <w:t xml:space="preserve"> </w:t>
      </w:r>
      <w:r>
        <w:rPr>
          <w:bCs/>
          <w:b/>
        </w:rPr>
        <w:t xml:space="preserve">traslado interdepartamental</w:t>
      </w:r>
      <w:r>
        <w:t xml:space="preserve"> </w:t>
      </w:r>
      <w:r>
        <w:t xml:space="preserve">mediante el cual un departamento puede realizar la compra de MME a otro departamento. En logística, se le conoce a este tipo de transacciones como</w:t>
      </w:r>
      <w:r>
        <w:t xml:space="preserve"> </w:t>
      </w:r>
      <w:r>
        <w:rPr>
          <w:bCs/>
          <w:b/>
        </w:rPr>
        <w:t xml:space="preserve">transbordos laterales</w:t>
      </w:r>
      <w:hyperlink w:anchor="ref-Silver2017">
        <w:r>
          <w:rPr>
            <w:rStyle w:val="Hyperlink"/>
            <w:vertAlign w:val="superscript"/>
          </w:rPr>
          <w:t xml:space="preserve">29</w:t>
        </w:r>
      </w:hyperlink>
      <w:r>
        <w:t xml:space="preserve">.</w:t>
      </w:r>
    </w:p>
    <w:p>
      <w:pPr>
        <w:pStyle w:val="BodyText"/>
      </w:pPr>
      <w:r>
        <w:t xml:space="preserve">Los traslado interdepartamental/transbordos laterales en su modalidad reactiva se utilizan cuando existe un riesgo de desabastecimiento inminente y se hace un pedido de medicamentos al FRE de un departamento cercano</w:t>
      </w:r>
      <w:hyperlink w:anchor="ref-Paterson2011">
        <w:r>
          <w:rPr>
            <w:rStyle w:val="Hyperlink"/>
            <w:vertAlign w:val="superscript"/>
          </w:rPr>
          <w:t xml:space="preserve">42</w:t>
        </w:r>
      </w:hyperlink>
      <w:r>
        <w:t xml:space="preserve">, esto puede reducir los costos sí se utiliza en emergencias, o aumentarlos sí se utiliza de forma excesiva</w:t>
      </w:r>
      <w:hyperlink w:anchor="ref-Silver2017">
        <w:r>
          <w:rPr>
            <w:rStyle w:val="Hyperlink"/>
            <w:vertAlign w:val="superscript"/>
          </w:rPr>
          <w:t xml:space="preserve">29</w:t>
        </w:r>
      </w:hyperlink>
      <w:r>
        <w:t xml:space="preserve">. Es importante mencionar que los traslados interdepartamentales sólo se pueden llevar a cabo previa autorización del FNE.</w:t>
      </w:r>
    </w:p>
    <w:p>
      <w:pPr>
        <w:pStyle w:val="BodyText"/>
      </w:pPr>
      <w:r>
        <w:t xml:space="preserve">En el traslado interdepartamental de medicamentos se observa que los territorios más descentralizados son los que presentan mayor demora para recibir los traslados de MME, siendo los casos más demorados San Andrés y Amazonas. Como se observa en la Figura</w:t>
      </w:r>
      <w:r>
        <w:t xml:space="preserve"> </w:t>
      </w:r>
      <w:r>
        <w:t xml:space="preserve">6.9</w:t>
      </w:r>
      <w:r>
        <w:t xml:space="preserve"> </w:t>
      </w:r>
      <w:r>
        <w:t xml:space="preserve">las regiones más afectadas son Amazonía, Orinoquía, Pacífico a excepción del Valle del Cauca y algunos departamentos del Caribe. Sin embargo, el departamento que más demora presenta es San Andrés, pues al estar alejado de la zona continental del país, tiene un tiempo de traslado de medicamentos más largo.</w:t>
      </w:r>
    </w:p>
    <w:p>
      <w:pPr>
        <w:pStyle w:val="CaptionedFigure"/>
      </w:pPr>
      <w:r>
        <w:drawing>
          <wp:inline>
            <wp:extent cx="5334000" cy="2182090"/>
            <wp:effectExtent b="0" l="0" r="0" t="0"/>
            <wp:docPr descr="Figura 6.9: Caracterización en demoras de traslados interdepartamentales. (A) Gráfico de tiempos de traslados interdepartamentales reportados para los departamentos. (B) Mapa de tiempo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36"/>
                    <a:stretch>
                      <a:fillRect/>
                    </a:stretch>
                  </pic:blipFill>
                  <pic:spPr bwMode="auto">
                    <a:xfrm>
                      <a:off x="0" y="0"/>
                      <a:ext cx="5334000" cy="2182090"/>
                    </a:xfrm>
                    <a:prstGeom prst="rect">
                      <a:avLst/>
                    </a:prstGeom>
                    <a:noFill/>
                    <a:ln w="9525">
                      <a:noFill/>
                      <a:headEnd/>
                      <a:tailEnd/>
                    </a:ln>
                  </pic:spPr>
                </pic:pic>
              </a:graphicData>
            </a:graphic>
          </wp:inline>
        </w:drawing>
      </w:r>
    </w:p>
    <w:p>
      <w:pPr>
        <w:pStyle w:val="ImageCaption"/>
      </w:pPr>
      <w:bookmarkStart w:id="137" w:name="fig38"/>
      <w:r>
        <w:t xml:space="preserve">Figure </w:t>
      </w:r>
      <w:fldSimple w:instr="SEQ Figure \* ARABIC ">
        <w:r>
          <w:t>38</w:t>
        </w:r>
      </w:fldSimple>
      <w:r>
        <w:t xml:space="preserve">:</w:t>
      </w:r>
      <w:r>
        <w:t xml:space="preserve"> </w:t>
      </w:r>
      <w:bookmarkEnd w:id="137"/>
      <w:r>
        <w:t xml:space="preserve">Figura 6.9: Caracterización en demoras de traslados interdepartamentales. (A) Gráfico de tiempos de traslados interdepartamentales reportados para los departamentos. (B) Mapa de tiempos de traslados interdepartamentales.</w:t>
      </w:r>
    </w:p>
    <w:bookmarkEnd w:id="138"/>
    <w:bookmarkEnd w:id="139"/>
    <w:bookmarkStart w:id="145" w:name="venta-de-mme"/>
    <w:p>
      <w:pPr>
        <w:pStyle w:val="Heading2"/>
      </w:pPr>
      <w:r>
        <w:rPr>
          <w:rStyle w:val="SectionNumber"/>
        </w:rPr>
        <w:t xml:space="preserve">6.3</w:t>
      </w:r>
      <w:r>
        <w:tab/>
      </w:r>
      <w:r>
        <w:t xml:space="preserve">Venta de MME</w:t>
      </w:r>
    </w:p>
    <w:bookmarkStart w:id="144" w:name="controles-en-venta-directa-a-paciente"/>
    <w:p>
      <w:pPr>
        <w:pStyle w:val="Heading3"/>
      </w:pPr>
      <w:r>
        <w:rPr>
          <w:rStyle w:val="SectionNumber"/>
        </w:rPr>
        <w:t xml:space="preserve">6.3.1</w:t>
      </w:r>
      <w:r>
        <w:tab/>
      </w:r>
      <w:r>
        <w:t xml:space="preserve">Controles en Venta Directa a Paciente</w:t>
      </w:r>
    </w:p>
    <w:p>
      <w:pPr>
        <w:pStyle w:val="FirstParagraph"/>
      </w:pPr>
      <w:r>
        <w:t xml:space="preserve">En la Figura</w:t>
      </w:r>
      <w:r>
        <w:t xml:space="preserve"> </w:t>
      </w:r>
      <w:r>
        <w:t xml:space="preserve">6.10</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6.10: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4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1" w:name="fig39"/>
      <w:r>
        <w:t xml:space="preserve">Figure </w:t>
      </w:r>
      <w:fldSimple w:instr="SEQ Figure \* ARABIC ">
        <w:r>
          <w:t>39</w:t>
        </w:r>
      </w:fldSimple>
      <w:r>
        <w:t xml:space="preserve">:</w:t>
      </w:r>
      <w:r>
        <w:t xml:space="preserve"> </w:t>
      </w:r>
      <w:bookmarkEnd w:id="141"/>
      <w:r>
        <w:t xml:space="preserve">Figura 6.10: Controles en las ventas directas a pacientes.</w:t>
      </w:r>
    </w:p>
    <w:p>
      <w:pPr>
        <w:pStyle w:val="BodyText"/>
      </w:pPr>
      <w:r>
        <w:t xml:space="preserve">En la Figura</w:t>
      </w:r>
      <w:r>
        <w:t xml:space="preserve"> </w:t>
      </w:r>
      <w:r>
        <w:t xml:space="preserve">6.11</w:t>
      </w:r>
      <w:r>
        <w:t xml:space="preserve"> </w:t>
      </w:r>
      <w:r>
        <w:t xml:space="preserve">se muestra sí en el departamento existen otras instituciones que realicen ventas de MME a instituciones a parte del FRE. Se observa que len la mayoría de departamentos sólo el FRE vende MME, la venta por parte de otras instituciones ocurre en los departamentos de Antioquía, Atlántico, Santander, Caldas, Quindío, Nariño, y San Andrés, Providencia y Santa Catalina. La mayoría de los establecimientos autorizados son mayoristas, aunque en algunos casos estos establecimientos tienen autorización para cubrir horarios en que el FRE no se encuentra activo.</w:t>
      </w:r>
    </w:p>
    <w:p>
      <w:pPr>
        <w:pStyle w:val="CaptionedFigure"/>
      </w:pPr>
      <w:r>
        <w:drawing>
          <wp:inline>
            <wp:extent cx="5334000" cy="3556000"/>
            <wp:effectExtent b="0" l="0" r="0" t="0"/>
            <wp:docPr descr="Figura 6.11: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4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3" w:name="fig40"/>
      <w:r>
        <w:t xml:space="preserve">Figure </w:t>
      </w:r>
      <w:fldSimple w:instr="SEQ Figure \* ARABIC ">
        <w:r>
          <w:t>40</w:t>
        </w:r>
      </w:fldSimple>
      <w:r>
        <w:t xml:space="preserve">:</w:t>
      </w:r>
      <w:r>
        <w:t xml:space="preserve"> </w:t>
      </w:r>
      <w:bookmarkEnd w:id="143"/>
      <w:r>
        <w:t xml:space="preserve">Figura 6.11: Existencia de otras instituciones que realizan ventas a instituciones a MME.</w:t>
      </w:r>
    </w:p>
    <w:bookmarkEnd w:id="144"/>
    <w:bookmarkEnd w:id="145"/>
    <w:bookmarkStart w:id="162" w:name="almacenamiento"/>
    <w:p>
      <w:pPr>
        <w:pStyle w:val="Heading2"/>
      </w:pPr>
      <w:r>
        <w:rPr>
          <w:rStyle w:val="SectionNumber"/>
        </w:rPr>
        <w:t xml:space="preserve">6.4</w:t>
      </w:r>
      <w:r>
        <w:tab/>
      </w:r>
      <w:r>
        <w:t xml:space="preserve">Almacenamiento</w:t>
      </w:r>
    </w:p>
    <w:bookmarkStart w:id="148" w:name="Xa9baf659ea1be69c2d279b5cca6283251b5fdeb"/>
    <w:p>
      <w:pPr>
        <w:pStyle w:val="Heading3"/>
      </w:pPr>
      <w:r>
        <w:rPr>
          <w:rStyle w:val="SectionNumber"/>
        </w:rPr>
        <w:t xml:space="preserve">6.4.1</w:t>
      </w:r>
      <w:r>
        <w:tab/>
      </w:r>
      <w:r>
        <w:t xml:space="preserve">Medidas de seguridad para el almacenamiento</w:t>
      </w:r>
    </w:p>
    <w:p>
      <w:pPr>
        <w:pStyle w:val="FirstParagraph"/>
      </w:pPr>
      <w:r>
        <w:t xml:space="preserve">En la Figura</w:t>
      </w:r>
      <w:r>
        <w:t xml:space="preserve"> </w:t>
      </w:r>
      <w:r>
        <w:t xml:space="preserve">6.12</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2: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4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7" w:name="fig41"/>
      <w:r>
        <w:t xml:space="preserve">Figure </w:t>
      </w:r>
      <w:fldSimple w:instr="SEQ Figure \* ARABIC ">
        <w:r>
          <w:t>41</w:t>
        </w:r>
      </w:fldSimple>
      <w:r>
        <w:t xml:space="preserve">:</w:t>
      </w:r>
      <w:r>
        <w:t xml:space="preserve"> </w:t>
      </w:r>
      <w:bookmarkEnd w:id="147"/>
      <w:r>
        <w:t xml:space="preserve">Figura 6.12: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48"/>
    <w:bookmarkStart w:id="152" w:name="revisión-de-condiciones-ambientales"/>
    <w:p>
      <w:pPr>
        <w:pStyle w:val="Heading3"/>
      </w:pPr>
      <w:r>
        <w:rPr>
          <w:rStyle w:val="SectionNumber"/>
        </w:rPr>
        <w:t xml:space="preserve">6.4.2</w:t>
      </w:r>
      <w:r>
        <w:tab/>
      </w:r>
      <w:r>
        <w:t xml:space="preserve">Revisión de condiciones ambientales</w:t>
      </w:r>
    </w:p>
    <w:p>
      <w:pPr>
        <w:pStyle w:val="FirstParagraph"/>
      </w:pPr>
      <w:r>
        <w:t xml:space="preserve">En la Figura</w:t>
      </w:r>
      <w:r>
        <w:t xml:space="preserve"> </w:t>
      </w:r>
      <w:r>
        <w:t xml:space="preserve">6.13</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3: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4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50" w:name="fig42"/>
      <w:r>
        <w:t xml:space="preserve">Figure </w:t>
      </w:r>
      <w:fldSimple w:instr="SEQ Figure \* ARABIC ">
        <w:r>
          <w:t>42</w:t>
        </w:r>
      </w:fldSimple>
      <w:r>
        <w:t xml:space="preserve">:</w:t>
      </w:r>
      <w:r>
        <w:t xml:space="preserve"> </w:t>
      </w:r>
      <w:bookmarkEnd w:id="150"/>
      <w:r>
        <w:t xml:space="preserve">Figura 6.13: Frecuencia de revisión de condiciones ambientales.</w:t>
      </w:r>
    </w:p>
    <w:p>
      <w:pPr>
        <w:pStyle w:val="BodyText"/>
      </w:pPr>
      <w:r>
        <w:t xml:space="preserve">En el panel izquierdo de la Figura</w:t>
      </w:r>
      <w:r>
        <w:t xml:space="preserve"> </w:t>
      </w:r>
      <w:r>
        <w:t xml:space="preserve">6.14</w:t>
      </w:r>
      <w:r>
        <w:t xml:space="preserve"> </w:t>
      </w:r>
      <w:r>
        <w:t xml:space="preserve">se presentan los métodos o tecnologías utilizadas en la monitorización de los medicamentos. En la Figura</w:t>
      </w:r>
      <w:r>
        <w:t xml:space="preserve"> </w:t>
      </w:r>
      <w:r>
        <w:t xml:space="preserve">6.14</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4: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51"/>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6.14</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52"/>
    <w:bookmarkStart w:id="158" w:name="espacio-de-almacenamiento"/>
    <w:p>
      <w:pPr>
        <w:pStyle w:val="Heading3"/>
      </w:pPr>
      <w:r>
        <w:rPr>
          <w:rStyle w:val="SectionNumber"/>
        </w:rPr>
        <w:t xml:space="preserve">6.4.3</w:t>
      </w:r>
      <w:r>
        <w:tab/>
      </w:r>
      <w:r>
        <w:t xml:space="preserve">Espacio de almacenamiento</w:t>
      </w:r>
    </w:p>
    <w:p>
      <w:pPr>
        <w:pStyle w:val="FirstParagraph"/>
      </w:pPr>
      <w:r>
        <w:t xml:space="preserve">En la Figura</w:t>
      </w:r>
      <w:r>
        <w:t xml:space="preserve"> </w:t>
      </w:r>
      <w:r>
        <w:t xml:space="preserve">6.15</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5: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53"/>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6.16</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2667000"/>
            <wp:effectExtent b="0" l="0" r="0" t="0"/>
            <wp:docPr descr="Figura 6.16: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55" w:name="fig43"/>
      <w:r>
        <w:t xml:space="preserve">Figure </w:t>
      </w:r>
      <w:fldSimple w:instr="SEQ Figure \* ARABIC ">
        <w:r>
          <w:t>43</w:t>
        </w:r>
      </w:fldSimple>
      <w:r>
        <w:t xml:space="preserve">:</w:t>
      </w:r>
      <w:r>
        <w:t xml:space="preserve"> </w:t>
      </w:r>
      <w:bookmarkEnd w:id="155"/>
      <w:r>
        <w:t xml:space="preserve">Figura 6.16: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29</w:t>
        </w:r>
      </w:hyperlink>
      <w:r>
        <w:t xml:space="preserve">.</w:t>
      </w:r>
      <w:r>
        <w:t xml:space="preserve"> </w:t>
      </w:r>
      <w:r>
        <w:t xml:space="preserve">En la Figura</w:t>
      </w:r>
      <w:r>
        <w:t xml:space="preserve"> </w:t>
      </w:r>
      <w:r>
        <w:t xml:space="preserve">6.17</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17: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5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57" w:name="fig44"/>
      <w:r>
        <w:t xml:space="preserve">Figure </w:t>
      </w:r>
      <w:fldSimple w:instr="SEQ Figure \* ARABIC ">
        <w:r>
          <w:t>44</w:t>
        </w:r>
      </w:fldSimple>
      <w:r>
        <w:t xml:space="preserve">:</w:t>
      </w:r>
      <w:r>
        <w:t xml:space="preserve"> </w:t>
      </w:r>
      <w:bookmarkEnd w:id="157"/>
      <w:r>
        <w:t xml:space="preserve">Figura 6.17: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58"/>
    <w:bookmarkStart w:id="161" w:name="control-de-fechas-de-vencimiento"/>
    <w:p>
      <w:pPr>
        <w:pStyle w:val="Heading3"/>
      </w:pPr>
      <w:r>
        <w:rPr>
          <w:rStyle w:val="SectionNumber"/>
        </w:rPr>
        <w:t xml:space="preserve">6.4.4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34</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34</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43</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23"/>
        </w:numPr>
      </w:pPr>
      <w:r>
        <w:t xml:space="preserve">Rojo: medicamento que se encuentra próximo a vencer.</w:t>
      </w:r>
    </w:p>
    <w:p>
      <w:pPr>
        <w:numPr>
          <w:ilvl w:val="0"/>
          <w:numId w:val="1023"/>
        </w:numPr>
      </w:pPr>
      <w:r>
        <w:t xml:space="preserve">Amarillo: medicamento que se encuentra en riesgo moderado de vencimiento.</w:t>
      </w:r>
    </w:p>
    <w:p>
      <w:pPr>
        <w:numPr>
          <w:ilvl w:val="0"/>
          <w:numId w:val="1023"/>
        </w:numPr>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BodyText"/>
      </w:pPr>
      <w:r>
        <w:t xml:space="preserve">En la Figura</w:t>
      </w:r>
      <w:r>
        <w:t xml:space="preserve"> </w:t>
      </w:r>
      <w:r>
        <w:t xml:space="preserve">6.18</w:t>
      </w:r>
      <w:r>
        <w:t xml:space="preserve">A se observa que el 71% de los FRE han presentado casos de medicamentos vencidos lo que constituye a 22 de 31 FRE existentes en el país, y esto indica que los vencimientos son una situación frecuente para los FRE. En la Figura</w:t>
      </w:r>
      <w:r>
        <w:t xml:space="preserve"> </w:t>
      </w:r>
      <w:r>
        <w:t xml:space="preserve">6.18</w:t>
      </w:r>
      <w:r>
        <w:t xml:space="preserve">B se muestran los medicamentos más involucrados en casos de vencimientos. En primer lugar, se tiene al Metilfenidato Tableta x 10 mg ya que 13 de los 31 FRE han presentado vencimientos relacionados a este producto. La razón para estos vencimientos podría deberse a varios factores como:</w:t>
      </w:r>
    </w:p>
    <w:p>
      <w:pPr>
        <w:numPr>
          <w:ilvl w:val="0"/>
          <w:numId w:val="1024"/>
        </w:numPr>
      </w:pPr>
      <w:r>
        <w:t xml:space="preserve">El producto cuenta con una vida útil de 18 meses.</w:t>
      </w:r>
    </w:p>
    <w:p>
      <w:pPr>
        <w:numPr>
          <w:ilvl w:val="0"/>
          <w:numId w:val="1024"/>
        </w:numPr>
      </w:pPr>
      <w:r>
        <w:t xml:space="preserve">Este medicamento es importado y en ocasiones la casa matriz entrega el producto con una vida útil efectiva menor a los 18 meses mencionados.</w:t>
      </w:r>
    </w:p>
    <w:p>
      <w:pPr>
        <w:numPr>
          <w:ilvl w:val="0"/>
          <w:numId w:val="1024"/>
        </w:numPr>
      </w:pPr>
      <w:r>
        <w:t xml:space="preserve">Debido a la emergencia sanitaria producida por el coronavirus se ha presentado una contracción importante de la demanda que se encuentra posiblemente relacionada a los cambios en la movilidad de los ciudadanos y las restricciones de presencialidad en instituciones escolares.</w:t>
      </w:r>
    </w:p>
    <w:p>
      <w:pPr>
        <w:pStyle w:val="FirstParagraph"/>
      </w:pPr>
      <w:r>
        <w:t xml:space="preserve">El segundo medicamento más involucrado en casos de vencimiento es Primidona Tableta x 250 mg debido a que 4 de los 31 FRE reportan casos de vencimientos, seguido de los vencimientos de Meperidina de 100mg/2mL, Fenobarbital Solución inyectable x 40 mg/mL y Fenobarbital Solución inyectable x 200 mg/mL que fueron reportados por 3 de 31 FREs a nivel nacional que se puede explicar debido a que son productos de baja rotación, y es posible que los FRE no hayan recibido una adecuada asistencia por parte del FNE para el manejo de ítems de este tipo.</w:t>
      </w:r>
    </w:p>
    <w:p>
      <w:pPr>
        <w:pStyle w:val="CaptionedFigure"/>
      </w:pPr>
      <w:r>
        <w:drawing>
          <wp:inline>
            <wp:extent cx="5334000" cy="2133600"/>
            <wp:effectExtent b="0" l="0" r="0" t="0"/>
            <wp:docPr descr="Figura 6.18: Vencimiento de medicamentos. (A) Presentación de casos de vencimiento de MME. (B) Medicamentos implicados en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59"/>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60" w:name="fig45"/>
      <w:r>
        <w:t xml:space="preserve">Figure </w:t>
      </w:r>
      <w:fldSimple w:instr="SEQ Figure \* ARABIC ">
        <w:r>
          <w:t>45</w:t>
        </w:r>
      </w:fldSimple>
      <w:r>
        <w:t xml:space="preserve">:</w:t>
      </w:r>
      <w:r>
        <w:t xml:space="preserve"> </w:t>
      </w:r>
      <w:bookmarkEnd w:id="160"/>
      <w:r>
        <w:t xml:space="preserve">Figura 6.18: Vencimiento de medicamentos. (A) Presentación de casos de vencimiento de MME. (B) Medicamentos implicados en casos de vencimiento de MME.</w:t>
      </w:r>
    </w:p>
    <w:bookmarkEnd w:id="161"/>
    <w:bookmarkEnd w:id="162"/>
    <w:bookmarkStart w:id="165" w:name="transporte"/>
    <w:p>
      <w:pPr>
        <w:pStyle w:val="Heading2"/>
      </w:pPr>
      <w:r>
        <w:rPr>
          <w:rStyle w:val="SectionNumber"/>
        </w:rPr>
        <w:t xml:space="preserve">6.5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para la distribución mediante el canal FRE. El FNE contrata a una empresa especializada en distribución logística de mercancías y bienes para la entrega del producto a nivel nacional.</w:t>
      </w:r>
    </w:p>
    <w:p>
      <w:pPr>
        <w:pStyle w:val="BodyText"/>
      </w:pPr>
      <w:r>
        <w:t xml:space="preserve">En la Figura</w:t>
      </w:r>
      <w:r>
        <w:t xml:space="preserve"> </w:t>
      </w:r>
      <w:r>
        <w:t xml:space="preserve">6.19</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2555875"/>
            <wp:effectExtent b="0" l="0" r="0" t="0"/>
            <wp:docPr descr="Figura 6.19: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63"/>
                    <a:stretch>
                      <a:fillRect/>
                    </a:stretch>
                  </pic:blipFill>
                  <pic:spPr bwMode="auto">
                    <a:xfrm>
                      <a:off x="0" y="0"/>
                      <a:ext cx="5334000" cy="2555875"/>
                    </a:xfrm>
                    <a:prstGeom prst="rect">
                      <a:avLst/>
                    </a:prstGeom>
                    <a:noFill/>
                    <a:ln w="9525">
                      <a:noFill/>
                      <a:headEnd/>
                      <a:tailEnd/>
                    </a:ln>
                  </pic:spPr>
                </pic:pic>
              </a:graphicData>
            </a:graphic>
          </wp:inline>
        </w:drawing>
      </w:r>
    </w:p>
    <w:p>
      <w:pPr>
        <w:pStyle w:val="ImageCaption"/>
      </w:pPr>
      <w:bookmarkStart w:id="164" w:name="fig46"/>
      <w:r>
        <w:t xml:space="preserve">Figure </w:t>
      </w:r>
      <w:fldSimple w:instr="SEQ Figure \* ARABIC ">
        <w:r>
          <w:t>46</w:t>
        </w:r>
      </w:fldSimple>
      <w:r>
        <w:t xml:space="preserve">:</w:t>
      </w:r>
      <w:r>
        <w:t xml:space="preserve"> </w:t>
      </w:r>
      <w:bookmarkEnd w:id="164"/>
      <w:r>
        <w:t xml:space="preserve">Figura 6.19: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65"/>
    <w:bookmarkStart w:id="172" w:name="precioMedicamentos"/>
    <w:p>
      <w:pPr>
        <w:pStyle w:val="Heading2"/>
      </w:pPr>
      <w:r>
        <w:rPr>
          <w:rStyle w:val="SectionNumber"/>
        </w:rPr>
        <w:t xml:space="preserve">6.6</w:t>
      </w:r>
      <w:r>
        <w:tab/>
      </w:r>
      <w:r>
        <w:t xml:space="preserve">Precio de medicamentos</w:t>
      </w:r>
    </w:p>
    <w:p>
      <w:pPr>
        <w:pStyle w:val="FirstParagraph"/>
      </w:pPr>
      <w:r>
        <w:t xml:space="preserve">El gasto farmacéutico es una parte importante del gasto público en salud, y por esto se vuelve importante su control. Por otra parte, la definición de los precios de los medicamentos genera tensiones entre la libertad económica de los laboratorios, distribuidores y comercializadores de medicamentos frente al derecho a la salud de los pacientes que requieren de los beneficios de las tecnologías en salud</w:t>
      </w:r>
      <w:hyperlink w:anchor="ref-AvilaRoncancio2019">
        <w:r>
          <w:rPr>
            <w:rStyle w:val="Hyperlink"/>
            <w:vertAlign w:val="superscript"/>
          </w:rPr>
          <w:t xml:space="preserve">44</w:t>
        </w:r>
      </w:hyperlink>
      <w:r>
        <w:t xml:space="preserve">.</w:t>
      </w:r>
    </w:p>
    <w:p>
      <w:pPr>
        <w:pStyle w:val="BodyText"/>
      </w:pPr>
      <w:r>
        <w:t xml:space="preserve">En Colombia se ha establecido un modelo de regulación de precios de medicamentos por lo cual existen tres regímenes de regulación: (i) Libertad regulada, (ii) Libertad vigilada y (iii) Control directo</w:t>
      </w:r>
      <w:hyperlink w:anchor="ref-CongresodelaRepublicadeColombia1988">
        <w:r>
          <w:rPr>
            <w:rStyle w:val="Hyperlink"/>
            <w:vertAlign w:val="superscript"/>
          </w:rPr>
          <w:t xml:space="preserve">45</w:t>
        </w:r>
      </w:hyperlink>
      <w:r>
        <w:t xml:space="preserve">. De estos se tiene que la Comisión Nacional de Precios de Medicamentos y Dispositivos Médicos (CNPMDM) sólo utiliza la Libertad Vigilada y el Control Directo</w:t>
      </w:r>
      <w:hyperlink w:anchor="ref-SecretariaTecnicaCNPDM-2019">
        <w:r>
          <w:rPr>
            <w:rStyle w:val="Hyperlink"/>
            <w:vertAlign w:val="superscript"/>
          </w:rPr>
          <w:t xml:space="preserve">46</w:t>
        </w:r>
      </w:hyperlink>
      <w:r>
        <w:t xml:space="preserve">.</w:t>
      </w:r>
    </w:p>
    <w:p>
      <w:pPr>
        <w:pStyle w:val="BodyText"/>
      </w:pPr>
      <w:r>
        <w:t xml:space="preserve">De acuerdo al ABC de la Regulación de Precios de Medicamentos, se ha observado un margen entre el precio ex-fábrica y el precio de distribuidor de aproximadamente el 7% teniendo en cuenta los datos internacionales, y se sugiere este márgen para referencia en el mercado colombiano</w:t>
      </w:r>
      <w:hyperlink w:anchor="ref-SecretariaTecnicaCNPDM-2019">
        <w:r>
          <w:rPr>
            <w:rStyle w:val="Hyperlink"/>
            <w:vertAlign w:val="superscript"/>
          </w:rPr>
          <w:t xml:space="preserve">46</w:t>
        </w:r>
      </w:hyperlink>
      <w:r>
        <w:t xml:space="preserve">.</w:t>
      </w:r>
    </w:p>
    <w:p>
      <w:pPr>
        <w:pStyle w:val="BodyText"/>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6.20</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w:t>
      </w:r>
      <w:r>
        <w:t xml:space="preserve"> </w:t>
      </w:r>
      <w:r>
        <w:t xml:space="preserve">6.20</w:t>
      </w:r>
      <w:r>
        <w:t xml:space="preserve"> </w:t>
      </w:r>
      <w:r>
        <w:t xml:space="preserve">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0: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6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67" w:name="fig47"/>
      <w:r>
        <w:t xml:space="preserve">Figure </w:t>
      </w:r>
      <w:fldSimple w:instr="SEQ Figure \* ARABIC ">
        <w:r>
          <w:t>47</w:t>
        </w:r>
      </w:fldSimple>
      <w:r>
        <w:t xml:space="preserve">:</w:t>
      </w:r>
      <w:r>
        <w:t xml:space="preserve"> </w:t>
      </w:r>
      <w:bookmarkEnd w:id="167"/>
      <w:r>
        <w:t xml:space="preserve">Figura 6.20: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75.000</m:t>
        </m:r>
      </m:oMath>
      <w:r>
        <w:t xml:space="preserve"> </w:t>
      </w:r>
      <w:r>
        <w:t xml:space="preserve">a</w:t>
      </w:r>
      <w:r>
        <w:t xml:space="preserve"> </w:t>
      </w:r>
      <m:oMath>
        <m:r>
          <m:rPr>
            <m:sty m:val="p"/>
          </m:rPr>
          <m:t>$</m:t>
        </m:r>
        <m:r>
          <m:t>150.000</m:t>
        </m:r>
      </m:oMath>
      <w:r>
        <w:t xml:space="preserve">, mientras que en la línea de narcóticos se tiene al producto importado de Metadona tabletas 40mg como el más costoso (con precios que rondan</w:t>
      </w:r>
      <w:r>
        <w:t xml:space="preserve"> </w:t>
      </w:r>
      <m:oMath>
        <m:r>
          <m:rPr>
            <m:sty m:val="p"/>
          </m:rPr>
          <m:t>$</m:t>
        </m:r>
        <m:r>
          <m:t>100.000</m:t>
        </m:r>
      </m:oMath>
      <w:r>
        <w:t xml:space="preserve"> </w:t>
      </w:r>
      <w:r>
        <w:t xml:space="preserve">y</w:t>
      </w:r>
      <w:r>
        <w:t xml:space="preserve"> </w:t>
      </w:r>
      <m:oMath>
        <m:r>
          <m:rPr>
            <m:sty m:val="p"/>
          </m:rPr>
          <m:t>$</m:t>
        </m:r>
        <m:r>
          <m:t>200.000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r>
            <m:t> </m:t>
          </m:r>
          <m:d>
            <m:dPr>
              <m:begChr m:val="("/>
              <m:endChr m:val=")"/>
              <m:sepChr m:val=""/>
              <m:grow/>
            </m:dPr>
            <m:e>
              <m:r>
                <m:rPr>
                  <m:sty m:val="p"/>
                </m:rPr>
                <m:t>%</m:t>
              </m:r>
            </m:e>
          </m:d>
          <m:r>
            <m:rPr>
              <m:sty m:val="p"/>
            </m:rPr>
            <m:t>=</m:t>
          </m:r>
          <m:f>
            <m:fPr>
              <m:type m:val="bar"/>
            </m:fPr>
            <m:num>
              <m:r>
                <m:t>p</m:t>
              </m:r>
            </m:num>
            <m:den>
              <m:r>
                <m:t>v</m:t>
              </m:r>
            </m:den>
          </m:f>
          <m:r>
            <m:rPr>
              <m:sty m:val="p"/>
            </m:rPr>
            <m:t>⋅</m:t>
          </m:r>
          <m:r>
            <m:t>100</m:t>
          </m:r>
          <m:r>
            <m:rPr>
              <m:sty m:val="p"/>
            </m:rPr>
            <m:t>%</m:t>
          </m:r>
        </m:oMath>
      </m:oMathPara>
    </w:p>
    <w:p>
      <w:pPr>
        <w:pStyle w:val="FirstParagraph"/>
      </w:pPr>
      <w:r>
        <w:t xml:space="preserve">Donde,</w:t>
      </w:r>
      <w:r>
        <w:t xml:space="preserve"> </w:t>
      </w:r>
      <m:oMath>
        <m:r>
          <m:rPr>
            <m:sty m:val="p"/>
          </m:rPr>
          <m:t>M</m:t>
        </m:r>
      </m:oMath>
      <w:r>
        <w:t xml:space="preserve"> </w:t>
      </w:r>
      <w:r>
        <w:t xml:space="preserve">es el márgen de beneficio sobre el costo de adquisición</w:t>
      </w:r>
      <w:r>
        <w:t xml:space="preserve"> </w:t>
      </w:r>
      <m:oMath>
        <m:r>
          <m:t>v</m:t>
        </m:r>
      </m:oMath>
      <w:r>
        <w:t xml:space="preserve"> </w:t>
      </w:r>
      <w:r>
        <w:t xml:space="preserve">por parte del FRE (precio de venta del FNE), y</w:t>
      </w:r>
      <w:r>
        <w:t xml:space="preserve"> </w:t>
      </w:r>
      <m:oMath>
        <m:r>
          <m:t>p</m:t>
        </m:r>
      </m:oMath>
      <w:r>
        <w:t xml:space="preserve"> </w:t>
      </w:r>
      <w:r>
        <w:t xml:space="preserve">es el precio de venta desde el FRE. En el panel A de la Figura</w:t>
      </w:r>
      <w:r>
        <w:t xml:space="preserve"> </w:t>
      </w:r>
      <w:r>
        <w:t xml:space="preserve">6.21</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1: Comparativo de márgenes de precio de venta para: (A) Medicamentos y (B)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68"/>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69" w:name="fig48"/>
      <w:r>
        <w:t xml:space="preserve">Figure </w:t>
      </w:r>
      <w:fldSimple w:instr="SEQ Figure \* ARABIC ">
        <w:r>
          <w:t>48</w:t>
        </w:r>
      </w:fldSimple>
      <w:r>
        <w:t xml:space="preserve">:</w:t>
      </w:r>
      <w:r>
        <w:t xml:space="preserve"> </w:t>
      </w:r>
      <w:bookmarkEnd w:id="169"/>
      <w:r>
        <w:t xml:space="preserve">Figura 6.21: Comparativo de márgenes de precio de venta para: (A) Medicamentos y (B)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6.21</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6.22</w:t>
      </w:r>
      <w:r>
        <w:t xml:space="preserve">) mediante regresión lineal. Parece existir una relación entre las dos variables, sin embargo la presencia de casos anómalos que se muestran como etiquetas en la figura impiden que se puede establecer una relación con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 (ver paneles B y C de la Figura</w:t>
      </w:r>
      <w:r>
        <w:t xml:space="preserve"> </w:t>
      </w:r>
      <w:r>
        <w:t xml:space="preserve">6.22</w:t>
      </w:r>
      <w:r>
        <w:t xml:space="preserve">.</w:t>
      </w:r>
    </w:p>
    <w:p>
      <w:pPr>
        <w:pStyle w:val="CaptionedFigure"/>
      </w:pPr>
      <w:r>
        <w:drawing>
          <wp:inline>
            <wp:extent cx="5334000" cy="2933700"/>
            <wp:effectExtent b="0" l="0" r="0" t="0"/>
            <wp:docPr descr="Figura 6.22: Relación de márgen de ganancia y otras variables. (A) Distancia física en Km, (B) N.° de entidades que realizado compras al FRE durante el último año, y (C) Proporción de ingreso correspondiente a ventas de medicamento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70"/>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71" w:name="fig49"/>
      <w:r>
        <w:t xml:space="preserve">Figure </w:t>
      </w:r>
      <w:fldSimple w:instr="SEQ Figure \* ARABIC ">
        <w:r>
          <w:t>49</w:t>
        </w:r>
      </w:fldSimple>
      <w:r>
        <w:t xml:space="preserve">:</w:t>
      </w:r>
      <w:r>
        <w:t xml:space="preserve"> </w:t>
      </w:r>
      <w:bookmarkEnd w:id="171"/>
      <w:r>
        <w:t xml:space="preserve">Figura 6.22: Relación de márgen de ganancia y otras variables. (A) Distancia física en Km, (B) N.° de entidades que realizado compras al FRE durante el último año, y (C) Proporción de ingreso correspondiente a ventas de medicamentos.</w:t>
      </w:r>
    </w:p>
    <w:p>
      <w:pPr>
        <w:pStyle w:val="BodyText"/>
      </w:pPr>
      <w:r>
        <w:t xml:space="preserve">Se debe reconocer que un mal control de precios a nivel de laboratorio y distribuidores puede ocasionar distorsiones importantes en la cadena de suministro de manera que no se produce un beneficio óptimo al considerar toda la cadena. En este caso se podría esperar que precios de venta no competitivos a nivel de FRE generen un aumento en la proporción de compra directa por parte de instituciones en el territorio correspondiente.</w:t>
      </w:r>
    </w:p>
    <w:p>
      <w:pPr>
        <w:pStyle w:val="BodyText"/>
      </w:pPr>
      <w:r>
        <w:t xml:space="preserve">Se debe tener en cuenta que un precio de venta alto no siempre garantiza un beneficio neto ya que este depende de la demanda así como las cantidades adquiridas y el nivel de desabastecimiento esperado</w:t>
      </w:r>
      <w:hyperlink w:anchor="ref-Silver2017">
        <w:r>
          <w:rPr>
            <w:rStyle w:val="Hyperlink"/>
            <w:vertAlign w:val="superscript"/>
          </w:rPr>
          <w:t xml:space="preserve">29</w:t>
        </w:r>
      </w:hyperlink>
      <w:r>
        <w:t xml:space="preserve">. Se deben revisar a profundidad los precios de los medicamentos en el territorio de manera que se articule una política de precios de medicamentos monopolio del Estado.</w:t>
      </w:r>
    </w:p>
    <w:bookmarkEnd w:id="172"/>
    <w:bookmarkEnd w:id="173"/>
    <w:bookmarkStart w:id="195" w:name="ruta-tecnológica"/>
    <w:p>
      <w:pPr>
        <w:pStyle w:val="Heading1"/>
      </w:pPr>
      <w:r>
        <w:rPr>
          <w:rStyle w:val="SectionNumber"/>
        </w:rPr>
        <w:t xml:space="preserve">7</w:t>
      </w:r>
      <w:r>
        <w:tab/>
      </w:r>
      <w:r>
        <w:t xml:space="preserve">Ruta Tecnológica</w:t>
      </w:r>
    </w:p>
    <w:p>
      <w:pPr>
        <w:pStyle w:val="FirstParagraph"/>
      </w:pPr>
      <w:r>
        <w:t xml:space="preserve">La infraestructura tecnológica de cada FRE es un elemento importante en el avance y cumplimiento de la mayoría de las funciones que tiene como ente territorial. La Figuras</w:t>
      </w:r>
      <w:r>
        <w:t xml:space="preserve"> </w:t>
      </w:r>
      <w:r>
        <w:t xml:space="preserve">7.1</w:t>
      </w:r>
      <w:r>
        <w:t xml:space="preserve"> </w:t>
      </w:r>
      <w:r>
        <w:t xml:space="preserve">muestra la proporción de herramientas en el manejo de inventarios a nivel nacional y herramientas que usa el FRE para consolidar los informes (Anexos) de la Resolución 1479 de 2006</w:t>
      </w:r>
      <w:hyperlink w:anchor="ref-MSPS1479-2006">
        <w:r>
          <w:rPr>
            <w:rStyle w:val="Hyperlink"/>
            <w:vertAlign w:val="superscript"/>
          </w:rPr>
          <w:t xml:space="preserve">2</w:t>
        </w:r>
      </w:hyperlink>
      <w:r>
        <w:t xml:space="preserve">. A partir de esta información se detalla el paquete ofimático Microsoft Excel, como la principal herramienta que emplea la mayoría de los FRE departamentales.</w:t>
      </w:r>
    </w:p>
    <w:p>
      <w:pPr>
        <w:pStyle w:val="CaptionedFigure"/>
      </w:pPr>
      <w:r>
        <w:drawing>
          <wp:inline>
            <wp:extent cx="5334000" cy="3556000"/>
            <wp:effectExtent b="0" l="0" r="0" t="0"/>
            <wp:docPr descr="Figura 7.1: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17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75" w:name="fig50"/>
      <w:r>
        <w:t xml:space="preserve">Figure </w:t>
      </w:r>
      <w:fldSimple w:instr="SEQ Figure \* ARABIC ">
        <w:r>
          <w:t>50</w:t>
        </w:r>
      </w:fldSimple>
      <w:r>
        <w:t xml:space="preserve">:</w:t>
      </w:r>
      <w:r>
        <w:t xml:space="preserve"> </w:t>
      </w:r>
      <w:bookmarkEnd w:id="175"/>
      <w:r>
        <w:t xml:space="preserve">Figura 7.1: Proporción de Herramientas en el manejo de inventarios.</w:t>
      </w:r>
    </w:p>
    <w:p>
      <w:pPr>
        <w:pStyle w:val="BodyText"/>
      </w:pPr>
      <w:r>
        <w:t xml:space="preserve">Así mismo, se encuentran diferentes soportes tecnológicos empleados por el personal de los FRE como Softwares, donde se adelantan estas actividades de inventario y consolidación de informes. Según el panorama, la mayoría de FRE departamentales cuentan con alguna percepción o conocimiento profundo de las herramientas digitales que abarca la infraestructura tecnológica adecuada para el desarrollo de sus principales actividades.</w:t>
      </w:r>
    </w:p>
    <w:p>
      <w:pPr>
        <w:pStyle w:val="BodyText"/>
      </w:pPr>
      <w:r>
        <w:t xml:space="preserve">No obstante, se mantiene un grupo numeroso de FRE que permanecen con su gestión manual y evitan la transición de sus procesos manuales a alguna herramienta digital tecnológica. En un mediano futuro, con la implementación del ROE, se deben contemplar estos FRE que se resisten al cambio y eluden su adaptación al mundo digital, en virtud de que el ROE será manejado desde una plataforma tecnológica y el personal del FRE deberá adoptar estos recursos tecnológicos de alguna manera.</w:t>
      </w:r>
    </w:p>
    <w:p>
      <w:pPr>
        <w:pStyle w:val="BodyText"/>
      </w:pPr>
      <w:r>
        <w:t xml:space="preserve">Las condiciones en la infraestructura tecnológica de cada FRE, logran evidenciar la capacidad operativa y técnica que tiene el ente territorial, en los procesos internos que realiza referente al manejo de los medicamentos de control especial, la consolidación y envío de informes de la Resolución 1478 de 2006</w:t>
      </w:r>
      <w:hyperlink w:anchor="ref-MSPS1478-2006">
        <w:r>
          <w:rPr>
            <w:rStyle w:val="Hyperlink"/>
            <w:vertAlign w:val="superscript"/>
          </w:rPr>
          <w:t xml:space="preserve">1</w:t>
        </w:r>
      </w:hyperlink>
      <w:r>
        <w:t xml:space="preserve"> </w:t>
      </w:r>
      <w:r>
        <w:t xml:space="preserve">y Resolución 1479 de 2006</w:t>
      </w:r>
      <w:hyperlink w:anchor="ref-MSPS1479-2006">
        <w:r>
          <w:rPr>
            <w:rStyle w:val="Hyperlink"/>
            <w:vertAlign w:val="superscript"/>
          </w:rPr>
          <w:t xml:space="preserve">2</w:t>
        </w:r>
      </w:hyperlink>
      <w:r>
        <w:t xml:space="preserve">. Este componente tecnológico es un elemento crítico para determinar las condiciones actuales de cada FRE. Inicialmente, el canal de comunicación que mantiene el FRE con los usuarios precisa que tan cercano se encuentra el FRE con la población del territorio.</w:t>
      </w:r>
    </w:p>
    <w:bookmarkStart w:id="180" w:name="canales-de-comunicación"/>
    <w:p>
      <w:pPr>
        <w:pStyle w:val="Heading2"/>
      </w:pPr>
      <w:r>
        <w:rPr>
          <w:rStyle w:val="SectionNumber"/>
        </w:rPr>
        <w:t xml:space="preserve">7.1</w:t>
      </w:r>
      <w:r>
        <w:tab/>
      </w:r>
      <w:r>
        <w:t xml:space="preserve">Canales de comunicación</w:t>
      </w:r>
    </w:p>
    <w:p>
      <w:pPr>
        <w:pStyle w:val="FirstParagraph"/>
      </w:pPr>
      <w:r>
        <w:t xml:space="preserve">De acuerdo con la Figura</w:t>
      </w:r>
      <w:r>
        <w:t xml:space="preserve"> </w:t>
      </w:r>
      <w:r>
        <w:t xml:space="preserve">7.2</w:t>
      </w:r>
      <w:r>
        <w:t xml:space="preserve">, se evidencia que los canales más frecuentes que manejan los FRE para comunicarse con los usuarios corresponden al teléfono y el correo electrónico. Incluso estos medios de comunicación toman mayor relevancia en estos tiempos actuales de distanciamiento social, a causa de la reciente pandemia referente a la COVID-19. En ese orden de ideas, cada vez son menos los FRE que mantienen la atención presencial en sus instalaciones, al igual que la correspondencia. Estos canales de comunicación fueron reemplazados por el mundo moderno y la digitalización, en función del uso correcto del correo electrónico. Este análisis permite demostrar cierta aceptabilidad por los medios digitales que han surgido en la actualidad, por parte del personal del FRE y los usuarios inscritos en el territorio.</w:t>
      </w:r>
    </w:p>
    <w:p>
      <w:pPr>
        <w:pStyle w:val="CaptionedFigure"/>
      </w:pPr>
      <w:r>
        <w:drawing>
          <wp:inline>
            <wp:extent cx="5334000" cy="4532312"/>
            <wp:effectExtent b="0" l="0" r="0" t="0"/>
            <wp:docPr descr="Figura 7.2: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76"/>
                    <a:stretch>
                      <a:fillRect/>
                    </a:stretch>
                  </pic:blipFill>
                  <pic:spPr bwMode="auto">
                    <a:xfrm>
                      <a:off x="0" y="0"/>
                      <a:ext cx="5334000" cy="4532312"/>
                    </a:xfrm>
                    <a:prstGeom prst="rect">
                      <a:avLst/>
                    </a:prstGeom>
                    <a:noFill/>
                    <a:ln w="9525">
                      <a:noFill/>
                      <a:headEnd/>
                      <a:tailEnd/>
                    </a:ln>
                  </pic:spPr>
                </pic:pic>
              </a:graphicData>
            </a:graphic>
          </wp:inline>
        </w:drawing>
      </w:r>
    </w:p>
    <w:p>
      <w:pPr>
        <w:pStyle w:val="ImageCaption"/>
      </w:pPr>
      <w:bookmarkStart w:id="177" w:name="fig51"/>
      <w:r>
        <w:t xml:space="preserve">Figure </w:t>
      </w:r>
      <w:fldSimple w:instr="SEQ Figure \* ARABIC ">
        <w:r>
          <w:t>51</w:t>
        </w:r>
      </w:fldSimple>
      <w:r>
        <w:t xml:space="preserve">:</w:t>
      </w:r>
      <w:r>
        <w:t xml:space="preserve"> </w:t>
      </w:r>
      <w:bookmarkEnd w:id="177"/>
      <w:r>
        <w:t xml:space="preserve">Figura 7.2: Canales de comunicación FRE con clientes.</w:t>
      </w:r>
    </w:p>
    <w:p>
      <w:pPr>
        <w:pStyle w:val="BodyText"/>
      </w:pPr>
      <w:r>
        <w:t xml:space="preserve">Por otro lado, la Figura</w:t>
      </w:r>
      <w:r>
        <w:t xml:space="preserve"> </w:t>
      </w:r>
      <w:r>
        <w:t xml:space="preserve">7.3</w:t>
      </w:r>
      <w:r>
        <w:t xml:space="preserve"> </w:t>
      </w:r>
      <w:r>
        <w:t xml:space="preserve">exhibe la velocidad de conexión a internet en cada zona del país, donde se encuentran ubicados los FRE de cada departamento.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departamentales.</w:t>
      </w:r>
    </w:p>
    <w:p>
      <w:pPr>
        <w:pStyle w:val="BodyText"/>
      </w:pPr>
      <w:r>
        <w:t xml:space="preserve">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principalmente, aquellos territorios que mantienen falencias en la conectividad a internet, con el fin de evitar barreras al acceso de medicamentos en estas zonas del país.</w:t>
      </w:r>
    </w:p>
    <w:p>
      <w:pPr>
        <w:pStyle w:val="CaptionedFigure"/>
      </w:pPr>
      <w:r>
        <w:drawing>
          <wp:inline>
            <wp:extent cx="5334000" cy="3809999"/>
            <wp:effectExtent b="0" l="0" r="0" t="0"/>
            <wp:docPr descr="Figura 7.3: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7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79" w:name="fig52"/>
      <w:r>
        <w:t xml:space="preserve">Figure </w:t>
      </w:r>
      <w:fldSimple w:instr="SEQ Figure \* ARABIC ">
        <w:r>
          <w:t>52</w:t>
        </w:r>
      </w:fldSimple>
      <w:r>
        <w:t xml:space="preserve">:</w:t>
      </w:r>
      <w:r>
        <w:t xml:space="preserve"> </w:t>
      </w:r>
      <w:bookmarkEnd w:id="179"/>
      <w:r>
        <w:t xml:space="preserve">Figura 7.3: Velocidad de conexión de internet.</w:t>
      </w:r>
    </w:p>
    <w:bookmarkEnd w:id="180"/>
    <w:bookmarkStart w:id="187" w:name="equipos-de-cómputo"/>
    <w:p>
      <w:pPr>
        <w:pStyle w:val="Heading2"/>
      </w:pPr>
      <w:r>
        <w:rPr>
          <w:rStyle w:val="SectionNumber"/>
        </w:rPr>
        <w:t xml:space="preserve">7.2</w:t>
      </w:r>
      <w:r>
        <w:tab/>
      </w:r>
      <w:r>
        <w:t xml:space="preserve">Equipos de cómputo</w:t>
      </w:r>
    </w:p>
    <w:p>
      <w:pPr>
        <w:pStyle w:val="FirstParagraph"/>
      </w:pPr>
      <w:r>
        <w:t xml:space="preserve">Según la Figura</w:t>
      </w:r>
      <w:r>
        <w:t xml:space="preserve"> </w:t>
      </w:r>
      <w:r>
        <w:t xml:space="preserve">7.4</w:t>
      </w:r>
      <w:r>
        <w:t xml:space="preserve">, más de la mitad de los FRE poseen únicamente hasta dos (2) computadores para el desarrollo de sus funciones como ente territorial. En dos casos particulares, FRE Guaviare y FRE San Andrés,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una limitante en las herramientas del trabajo, condicionado el adecuado desarrollo laboral. Sin contar que, en la mayoría de departamentos, los equipos de cómputo son insuficientes para el personal del FRE o deben ser cambiados por obsolescencia, según la Figura</w:t>
      </w:r>
      <w:r>
        <w:t xml:space="preserve"> </w:t>
      </w:r>
      <w:r>
        <w:t xml:space="preserve">7.6</w:t>
      </w:r>
      <w:r>
        <w:t xml:space="preserve">.</w:t>
      </w:r>
    </w:p>
    <w:p>
      <w:pPr>
        <w:pStyle w:val="CaptionedFigure"/>
      </w:pPr>
      <w:r>
        <w:drawing>
          <wp:inline>
            <wp:extent cx="5334000" cy="3556000"/>
            <wp:effectExtent b="0" l="0" r="0" t="0"/>
            <wp:docPr descr="Figura 7.4: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2" w:name="fig53"/>
      <w:r>
        <w:t xml:space="preserve">Figure </w:t>
      </w:r>
      <w:fldSimple w:instr="SEQ Figure \* ARABIC ">
        <w:r>
          <w:t>53</w:t>
        </w:r>
      </w:fldSimple>
      <w:r>
        <w:t xml:space="preserve">:</w:t>
      </w:r>
      <w:r>
        <w:t xml:space="preserve"> </w:t>
      </w:r>
      <w:bookmarkEnd w:id="182"/>
      <w:r>
        <w:t xml:space="preserve">Figura 7.4: N.° de equipos en el FRE.</w:t>
      </w:r>
    </w:p>
    <w:p>
      <w:pPr>
        <w:pStyle w:val="BodyText"/>
      </w:pPr>
      <w:r>
        <w:t xml:space="preserve">Únicamente 6 FRE a nivel nacional, cuentan con cuatro (4) o más computadores en su área de trabajo, cuya índole permite mejores condiciones laborales al personal de apoyo del FRE. Por consiguiente, estos 6 entes territoriales conservan excelentes condiciones de infraestructura tecnológica, cuyo factor facilita la atención de la necesidad de MME en su territorio y favorece en la proyección de la demanda de MME y recetarios oficiales. Si el personal del FRE cuenta con equipos de cómputo suficiente para la gestión apropiada de los MME y los recetarios oficiales, se puede afirmar que estos entes territoriales están sintonizados con la infraestructura tecnológica necesaria para cumplir las funciones de FRE.</w:t>
      </w:r>
    </w:p>
    <w:p>
      <w:pPr>
        <w:pStyle w:val="BodyText"/>
      </w:pPr>
      <w:r>
        <w:t xml:space="preserve">Adicionalmente en la Figura</w:t>
      </w:r>
      <w:r>
        <w:t xml:space="preserve"> </w:t>
      </w:r>
      <w:r>
        <w:t xml:space="preserve">7.5</w:t>
      </w:r>
      <w:r>
        <w:t xml:space="preserve"> </w:t>
      </w:r>
      <w:r>
        <w:t xml:space="preserve">se presenta la relación entre el requerimiento de equipos y el número de personas en cada FRE. La figura muestra una alta dispersión de los datos y por consiguiente se podría determinar que no hay alguna tendencia permanente entre el número de equipos y el personal vinculado por cada FRE. No obstante, es importante resaltar algunos casos particulares de los FRE que poseen notoriamente más personas vinculadas que equipos de cómputo, correspondiendo a los casos de los FRE Guaviare, Norte de Santander, Boyacá, Guainía, Meta, Risaralda y Tolima. Este factor tecnológico crítico representa gran importancia en estos territorios y se debe prestar mayor atención en la gestión de los MME y recetarios oficiales.</w:t>
      </w:r>
    </w:p>
    <w:p>
      <w:pPr>
        <w:pStyle w:val="CaptionedFigure"/>
      </w:pPr>
      <w:r>
        <w:drawing>
          <wp:inline>
            <wp:extent cx="5334000" cy="3556000"/>
            <wp:effectExtent b="0" l="0" r="0" t="0"/>
            <wp:docPr descr="Figura 7.5: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4" w:name="fig54"/>
      <w:r>
        <w:t xml:space="preserve">Figure </w:t>
      </w:r>
      <w:fldSimple w:instr="SEQ Figure \* ARABIC ">
        <w:r>
          <w:t>54</w:t>
        </w:r>
      </w:fldSimple>
      <w:r>
        <w:t xml:space="preserve">:</w:t>
      </w:r>
      <w:r>
        <w:t xml:space="preserve"> </w:t>
      </w:r>
      <w:bookmarkEnd w:id="184"/>
      <w:r>
        <w:t xml:space="preserve">Figura 7.5: Relación entre el requerimiento de equipos y el número de personas en el FRE.</w:t>
      </w:r>
    </w:p>
    <w:p>
      <w:pPr>
        <w:pStyle w:val="BodyText"/>
      </w:pPr>
      <w:r>
        <w:t xml:space="preserve">De acuerdo a la Figura</w:t>
      </w:r>
      <w:r>
        <w:t xml:space="preserve"> </w:t>
      </w:r>
      <w:r>
        <w:t xml:space="preserve">7.6</w:t>
      </w:r>
      <w:r>
        <w:t xml:space="preserve"> </w:t>
      </w:r>
      <w:r>
        <w:t xml:space="preserve">se puede evidenciar que aproximadamente la mitad de los FRE manifiestan que los equipos de cómputo de la entidad territorial son adecuados para las actividades y funciones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Como se mencionó anteriormente, la modernización en los procesos referentes al manejo de recetarios oficiales y MME, tendrá que considerar principalmente, aquellos FRE cuyos territorios muestran obstáculos en la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6: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8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6" w:name="fig55"/>
      <w:r>
        <w:t xml:space="preserve">Figure </w:t>
      </w:r>
      <w:fldSimple w:instr="SEQ Figure \* ARABIC ">
        <w:r>
          <w:t>55</w:t>
        </w:r>
      </w:fldSimple>
      <w:r>
        <w:t xml:space="preserve">:</w:t>
      </w:r>
      <w:r>
        <w:t xml:space="preserve"> </w:t>
      </w:r>
      <w:bookmarkEnd w:id="186"/>
      <w:r>
        <w:t xml:space="preserve">Figura 7.6: Opinión sobre los equipos de cómputo del FRE.</w:t>
      </w:r>
    </w:p>
    <w:p>
      <w:pPr>
        <w:pStyle w:val="BodyText"/>
      </w:pPr>
      <w:r>
        <w:t xml:space="preserve">Si los inconvenientes relacionados a la infraestructura tecnológica, se presentan actualmente en las zonas más alejadas del país, el escenario para la implementación del ROE no podría aspirar a grandes cambios en cada territorio. Lo anterior, podría originar una barrera al acceso de medicamentos desde cada Secretaria de Salud o Dirección departamental de salud. A continuación, se presenta una opinión obtenida durante las visitas técnicas a los FRE:</w:t>
      </w:r>
    </w:p>
    <w:p>
      <w:pPr>
        <w:pStyle w:val="BlockText"/>
      </w:pPr>
      <w:r>
        <w:rPr>
          <w:iCs/>
          <w:i/>
        </w:rPr>
        <w:t xml:space="preserve">“</w:t>
      </w:r>
      <w:r>
        <w:rPr>
          <w:iCs/>
          <w:i/>
        </w:rPr>
        <w:t xml:space="preserve">Actualmente el FRE … está en proceso de cotización y compra de computadores, para las funciones y actividades que debe cumplir el mismo. Se espera contar con 3 equipos de cómputo con funcionalidad completa.</w:t>
      </w:r>
      <w:r>
        <w:rPr>
          <w:iCs/>
          <w:i/>
        </w:rPr>
        <w:t xml:space="preserve">”</w:t>
      </w:r>
    </w:p>
    <w:bookmarkEnd w:id="187"/>
    <w:bookmarkStart w:id="194" w:name="control-de-la-información"/>
    <w:p>
      <w:pPr>
        <w:pStyle w:val="Heading2"/>
      </w:pPr>
      <w:r>
        <w:rPr>
          <w:rStyle w:val="SectionNumber"/>
        </w:rPr>
        <w:t xml:space="preserve">7.3</w:t>
      </w:r>
      <w:r>
        <w:tab/>
      </w:r>
      <w:r>
        <w:t xml:space="preserve">Control de la información</w:t>
      </w:r>
    </w:p>
    <w:bookmarkStart w:id="190" w:name="seguridad-de-la-información"/>
    <w:p>
      <w:pPr>
        <w:pStyle w:val="Heading3"/>
      </w:pPr>
      <w:r>
        <w:rPr>
          <w:rStyle w:val="SectionNumber"/>
        </w:rPr>
        <w:t xml:space="preserve">7.3.1</w:t>
      </w:r>
      <w:r>
        <w:tab/>
      </w:r>
      <w:r>
        <w:t xml:space="preserve">Seguridad de la información</w:t>
      </w:r>
    </w:p>
    <w:p>
      <w:pPr>
        <w:pStyle w:val="FirstParagraph"/>
      </w:pPr>
      <w:r>
        <w:t xml:space="preserve">La seguridad de la información que manejan los FRE a nivel nacional, es un tema de alta importancia a nivel interno, ya que comprende las medidas preventivas de la institución u organización, que permiten resguardar y proteger la información por medio de sistemas tecnológicos, buscando mantener la confidencialidad, disponibilidad e integridad de los datos. Adicionalmente, se debe contemplar que todos los FRE deben ser capaces de resguardar y proteger la información proveniente de todo el departamento, lo cual dispone un reto mayor referente a la seguridad de la información.</w:t>
      </w:r>
    </w:p>
    <w:p>
      <w:pPr>
        <w:pStyle w:val="BodyText"/>
      </w:pPr>
      <w:r>
        <w:t xml:space="preserve">La Figura</w:t>
      </w:r>
      <w:r>
        <w:t xml:space="preserve"> </w:t>
      </w:r>
      <w:r>
        <w:t xml:space="preserve">7.7</w:t>
      </w:r>
      <w:r>
        <w:t xml:space="preserve"> </w:t>
      </w:r>
      <w:r>
        <w:t xml:space="preserve">muestra la manera como se garantiza la seguridad de la información en los FRE departamentales. A partir de los datos de la figura, se puede evidenciar que medios emplea el personal del FRE para resguardar y proteger la información por medio de sistemas tecnológicos. La restricción de acceso es el principal recurso que tienen los FRE para mantener la confidencialidad, disponibilidad e integridad de los datos.</w:t>
      </w:r>
    </w:p>
    <w:p>
      <w:pPr>
        <w:pStyle w:val="CaptionedFigure"/>
      </w:pPr>
      <w:r>
        <w:drawing>
          <wp:inline>
            <wp:extent cx="5334000" cy="3556000"/>
            <wp:effectExtent b="0" l="0" r="0" t="0"/>
            <wp:docPr descr="Figura 7.7: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9" w:name="fig56"/>
      <w:r>
        <w:t xml:space="preserve">Figure </w:t>
      </w:r>
      <w:fldSimple w:instr="SEQ Figure \* ARABIC ">
        <w:r>
          <w:t>56</w:t>
        </w:r>
      </w:fldSimple>
      <w:r>
        <w:t xml:space="preserve">:</w:t>
      </w:r>
      <w:r>
        <w:t xml:space="preserve"> </w:t>
      </w:r>
      <w:bookmarkEnd w:id="189"/>
      <w:r>
        <w:t xml:space="preserve">Figura 7.7: Medidas para garantizar la seguridad de la información.</w:t>
      </w:r>
    </w:p>
    <w:p>
      <w:pPr>
        <w:pStyle w:val="BodyText"/>
      </w:pPr>
      <w:r>
        <w:t xml:space="preserve">Cabe resaltar que en la Figura</w:t>
      </w:r>
      <w:r>
        <w:t xml:space="preserve"> </w:t>
      </w:r>
      <w:r>
        <w:t xml:space="preserve">7.7</w:t>
      </w:r>
      <w:r>
        <w:t xml:space="preserve"> </w:t>
      </w:r>
      <w:r>
        <w:t xml:space="preserve">cuándo se habla de restricción de acceso, se refiere al restringido acceso que se tiene a estos informes, aunque particularmente algunos FRE cómo La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causa una trazabilidad fragmentada en la información del FRE, además de un re-proceso que tiene que asumir el personal del FRE, relacionado con la transcripción a medios digitales, contemplando los errores humanos de digitación.</w:t>
      </w:r>
    </w:p>
    <w:bookmarkEnd w:id="190"/>
    <w:bookmarkStart w:id="193" w:name="bases-de-datos"/>
    <w:p>
      <w:pPr>
        <w:pStyle w:val="Heading3"/>
      </w:pPr>
      <w:r>
        <w:rPr>
          <w:rStyle w:val="SectionNumber"/>
        </w:rPr>
        <w:t xml:space="preserve">7.3.2</w:t>
      </w:r>
      <w:r>
        <w:tab/>
      </w:r>
      <w:r>
        <w:t xml:space="preserve">Bases de datos</w:t>
      </w:r>
    </w:p>
    <w:p>
      <w:pPr>
        <w:pStyle w:val="FirstParagraph"/>
      </w:pPr>
      <w:r>
        <w:t xml:space="preserve">En la Figura</w:t>
      </w:r>
      <w:r>
        <w:t xml:space="preserve"> </w:t>
      </w:r>
      <w:r>
        <w:t xml:space="preserve">7.8</w:t>
      </w:r>
      <w:r>
        <w:t xml:space="preserve"> </w:t>
      </w:r>
      <w:r>
        <w:t xml:space="preserve">se muestra la proporción de FRE que cuentan con bases de datos de información de inscritos y pacientes a los cuales se les dispensa MME.</w:t>
      </w:r>
    </w:p>
    <w:p>
      <w:pPr>
        <w:pStyle w:val="CaptionedFigure"/>
      </w:pPr>
      <w:r>
        <w:drawing>
          <wp:inline>
            <wp:extent cx="5334000" cy="2133600"/>
            <wp:effectExtent b="0" l="0" r="0" t="0"/>
            <wp:docPr descr="Figura 7.8: Proporción de FRE que cuenta con: (A) bases de datos con información de inscritos, o (B) bases de datos con información de pacientes a los que se les dispensa MME."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91"/>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92" w:name="fig57"/>
      <w:r>
        <w:t xml:space="preserve">Figure </w:t>
      </w:r>
      <w:fldSimple w:instr="SEQ Figure \* ARABIC ">
        <w:r>
          <w:t>57</w:t>
        </w:r>
      </w:fldSimple>
      <w:r>
        <w:t xml:space="preserve">:</w:t>
      </w:r>
      <w:r>
        <w:t xml:space="preserve"> </w:t>
      </w:r>
      <w:bookmarkEnd w:id="192"/>
      <w:r>
        <w:t xml:space="preserve">Figura 7.8: Proporción de FRE que cuenta con: (A) bases de datos con información de inscritos, o (B) bases de datos con información de pacientes a los que se les dispensa MME.</w:t>
      </w:r>
    </w:p>
    <w:bookmarkEnd w:id="193"/>
    <w:bookmarkEnd w:id="194"/>
    <w:bookmarkEnd w:id="195"/>
    <w:bookmarkStart w:id="222"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2</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2</w:t>
        </w:r>
      </w:hyperlink>
      <w:r>
        <w:t xml:space="preserve">:</w:t>
      </w:r>
    </w:p>
    <w:p>
      <w:pPr>
        <w:numPr>
          <w:ilvl w:val="0"/>
          <w:numId w:val="1025"/>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25"/>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25"/>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25"/>
        </w:numPr>
      </w:pPr>
      <w:r>
        <w:t xml:space="preserve">Novedades sobre la inscripción de los Establecimientos Farmacéuticos e IPS autorizados, de acuerdo al formato (Anexo número 3) de la presente resolución.</w:t>
      </w:r>
    </w:p>
    <w:p>
      <w:pPr>
        <w:numPr>
          <w:ilvl w:val="0"/>
          <w:numId w:val="1025"/>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25"/>
        </w:numPr>
      </w:pPr>
      <w:r>
        <w:t xml:space="preserve">Informe mensual consolidado sobre las transformaciones realizadas en el mes inmediatamente anterior, dentro de los diez (10) primeros días calendarios de cada mes. (Anexo número 4)</w:t>
      </w:r>
    </w:p>
    <w:p>
      <w:pPr>
        <w:numPr>
          <w:ilvl w:val="0"/>
          <w:numId w:val="1025"/>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25"/>
        </w:numPr>
      </w:pPr>
      <w:r>
        <w:t xml:space="preserve">Informe trimestral de sanciones impuestas por infracciones administrativas en la fabricación, distribución y dispensación de medicamentos de Control Especial.</w:t>
      </w:r>
    </w:p>
    <w:p>
      <w:pPr>
        <w:numPr>
          <w:ilvl w:val="0"/>
          <w:numId w:val="1025"/>
        </w:numPr>
      </w:pPr>
      <w:r>
        <w:t xml:space="preserve">Consolidado semestral del registro de Farmacodependientes de productos sometidos a fiscalización.</w:t>
      </w:r>
    </w:p>
    <w:p>
      <w:pPr>
        <w:pStyle w:val="FirstParagraph"/>
      </w:pPr>
      <w:r>
        <w:t xml:space="preserve">Es preciso resaltar que en este capítulo se presentará un análisis del informe mensual sobre la distribución de MME, correspondiente al Anexo 1 de la Resolución 1479 de 2006</w:t>
      </w:r>
      <w:hyperlink w:anchor="ref-MSPS1479-2006">
        <w:r>
          <w:rPr>
            <w:rStyle w:val="Hyperlink"/>
            <w:vertAlign w:val="superscript"/>
          </w:rPr>
          <w:t xml:space="preserve">2</w:t>
        </w:r>
      </w:hyperlink>
      <w:r>
        <w:t xml:space="preserve">, informe mensual sobre consumo de MME, referente al Anexo 2 de la Resolución 1479 de 2006, y finalmente el informe de consumo de MCE de los establecimientos minoristas, relacionado con el Anexo 13 de la Resolución 1478 de 2006</w:t>
      </w:r>
      <w:hyperlink w:anchor="ref-MSPS1478-2006">
        <w:r>
          <w:rPr>
            <w:rStyle w:val="Hyperlink"/>
            <w:vertAlign w:val="superscript"/>
          </w:rPr>
          <w:t xml:space="preserve">1</w:t>
        </w:r>
      </w:hyperlink>
      <w:r>
        <w:t xml:space="preserve">.</w:t>
      </w:r>
    </w:p>
    <w:bookmarkStart w:id="215" w:name="diligenciamiento-de-anexos"/>
    <w:p>
      <w:pPr>
        <w:pStyle w:val="Heading2"/>
      </w:pPr>
      <w:r>
        <w:rPr>
          <w:rStyle w:val="SectionNumber"/>
        </w:rPr>
        <w:t xml:space="preserve">8.1</w:t>
      </w:r>
      <w:r>
        <w:tab/>
      </w:r>
      <w:r>
        <w:t xml:space="preserve">Diligenciamiento de anexos</w:t>
      </w:r>
    </w:p>
    <w:p>
      <w:pPr>
        <w:pStyle w:val="FirstParagraph"/>
      </w:pPr>
      <w:r>
        <w:t xml:space="preserve">Para el correcto diligenciamiento de estos anexos o informes que deben presentarse ante el FNE, los FRE departamentales suelen determinar esta consolidación de información como un proceso interno en la entidad territorial, cuya prioridad se concede de acuerdo con la disponibilidad de personal de apoyo que tiene el FRE. Frecuentemente, la misma persona que diligencia el Anexo 1</w:t>
      </w:r>
      <w:r>
        <w:t xml:space="preserve"> </w:t>
      </w:r>
      <w:r>
        <w:rPr>
          <w:iCs/>
          <w:i/>
        </w:rPr>
        <w:t xml:space="preserve">“</w:t>
      </w:r>
      <w:r>
        <w:rPr>
          <w:iCs/>
          <w:i/>
        </w:rPr>
        <w:t xml:space="preserve">informe mensual sobre la distribución de medicamentos monopolio del Estado</w:t>
      </w:r>
      <w:r>
        <w:rPr>
          <w:iCs/>
          <w:i/>
        </w:rPr>
        <w:t xml:space="preserve">”</w:t>
      </w:r>
      <w:r>
        <w:t xml:space="preserve">, también diligencia el Anexo 2</w:t>
      </w:r>
      <w:r>
        <w:t xml:space="preserve"> </w:t>
      </w:r>
      <w:r>
        <w:rPr>
          <w:iCs/>
          <w:i/>
        </w:rPr>
        <w:t xml:space="preserve">“</w:t>
      </w:r>
      <w:r>
        <w:rPr>
          <w:iCs/>
          <w:i/>
        </w:rPr>
        <w:t xml:space="preserve">informe mensual sobre consumo de medicamentos monopolio del Estado</w:t>
      </w:r>
      <w:r>
        <w:rPr>
          <w:iCs/>
          <w:i/>
        </w:rPr>
        <w:t xml:space="preserve">”</w:t>
      </w:r>
      <w:r>
        <w:t xml:space="preserve">. No obstante, en algunos territorios, estos anexos son consolidados por dos personas diferentes, debido a la cantidad de instituciones inscritas en el departamento.</w:t>
      </w:r>
    </w:p>
    <w:p>
      <w:pPr>
        <w:pStyle w:val="BodyText"/>
      </w:pPr>
      <w:r>
        <w:t xml:space="preserve">Incluso en algunos FRE departamentales, este proceso de diligenciamiento del Anexo 1 y Anexo 2 se encuentra desatendido, debido al limitado recurso humano que tiene vinculado el FRE. En otros casos, el personal del FRE se olvida de consolidar y enviar el Anexo 2 y solo se preocupan por enviar al FNE el Anexo 1</w:t>
      </w:r>
      <w:r>
        <w:t xml:space="preserve"> </w:t>
      </w:r>
      <w:r>
        <w:t xml:space="preserve">“</w:t>
      </w:r>
      <w:r>
        <w:t xml:space="preserve">informe mensual sobre la distribución de medicamentos monopolio del Estado</w:t>
      </w:r>
      <w:r>
        <w:t xml:space="preserve">”</w:t>
      </w:r>
      <w:r>
        <w:t xml:space="preserve">, confiriendo mayor relevancia a este informe. De cualquier manera, los inconvenientes en el cumplimiento del envío de estos Anexos, radica en el limitado número de personas vinculadas al FRE.</w:t>
      </w:r>
    </w:p>
    <w:p>
      <w:pPr>
        <w:pStyle w:val="BodyText"/>
      </w:pPr>
      <w:r>
        <w:t xml:space="preserve">Por otra parte, las herramientas tecnológicas son un elemento primordial para recibir, consolidar y almacenar los Anexos de la Resolución 1479 de 2006. En la Figura</w:t>
      </w:r>
      <w:r>
        <w:t xml:space="preserve"> </w:t>
      </w:r>
      <w:r>
        <w:t xml:space="preserve">8.1</w:t>
      </w:r>
      <w:r>
        <w:t xml:space="preserve"> </w:t>
      </w:r>
      <w:r>
        <w:t xml:space="preserve">se tiene una descripción de las herramientas utilizadas para el diligenciamiento de los Anexos 1 y 2 de la Resolución 1479 de 2006, respectivamente</w:t>
      </w:r>
      <w:hyperlink w:anchor="ref-MSPS1479-2006">
        <w:r>
          <w:rPr>
            <w:rStyle w:val="Hyperlink"/>
            <w:vertAlign w:val="superscript"/>
          </w:rPr>
          <w:t xml:space="preserve">2</w:t>
        </w:r>
      </w:hyperlink>
      <w:r>
        <w:t xml:space="preserve">. La mayoría de los FRE utilizan hojas de cálculo para el diligenciamiento de estos informes, teniendo en cuenta que la información puede provenir de documentos físicos.</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9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97" w:name="fig58"/>
      <w:r>
        <w:t xml:space="preserve">Figure </w:t>
      </w:r>
      <w:fldSimple w:instr="SEQ Figure \* ARABIC ">
        <w:r>
          <w:t>58</w:t>
        </w:r>
      </w:fldSimple>
      <w:r>
        <w:t xml:space="preserve">:</w:t>
      </w:r>
      <w:r>
        <w:t xml:space="preserve"> </w:t>
      </w:r>
      <w:bookmarkEnd w:id="197"/>
      <w:r>
        <w:t xml:space="preserve">Figura 8.1: Herramientas en el diligenciamiento del Anexo 1 de la Resolución 1479 de 2006-</w:t>
      </w:r>
    </w:p>
    <w:p>
      <w:pPr>
        <w:pStyle w:val="BodyText"/>
      </w:pPr>
      <w:r>
        <w:t xml:space="preserve">Sobre la consolidación de estos informes que aparecen en la Resolución 1479 de 2006</w:t>
      </w:r>
      <w:hyperlink w:anchor="ref-MSPS1479-2006">
        <w:r>
          <w:rPr>
            <w:rStyle w:val="Hyperlink"/>
            <w:vertAlign w:val="superscript"/>
          </w:rPr>
          <w:t xml:space="preserve">2</w:t>
        </w:r>
      </w:hyperlink>
      <w:r>
        <w:t xml:space="preserve">, el Grupo de Regionalización que hace parte del Grupo Interno de Trabajo de Medicamentos Monopolio del Estado (GIT-ME) del FNE, se encarga de la recepción, consolidación y verificación de estos informes. Por lo tanto, se ha definido una hoja estandarizada de Excel, cuyo formato fue compartido a todos los FRE departamentales para la consolidación del consumo y distribución de los MME. Por esta misma razón, hay uniformidad a nivel nacional, en la forma como se diligencian y presentan estos anexos de la Resolución 1479 de 2006. Adicionalmente, el Grupo de Regionalización lleva el control sobre las cantidades de consumo y distribución que presentan todos los departamentos.</w:t>
      </w:r>
    </w:p>
    <w:bookmarkStart w:id="204" w:name="diligenciamiento-de-anexo-1"/>
    <w:p>
      <w:pPr>
        <w:pStyle w:val="Heading3"/>
      </w:pPr>
      <w:r>
        <w:rPr>
          <w:rStyle w:val="SectionNumber"/>
        </w:rPr>
        <w:t xml:space="preserve">8.1.1</w:t>
      </w:r>
      <w:r>
        <w:tab/>
      </w:r>
      <w:r>
        <w:t xml:space="preserve">Diligenciamiento de Anexo 1</w:t>
      </w:r>
    </w:p>
    <w:p>
      <w:pPr>
        <w:pStyle w:val="FirstParagraph"/>
      </w:pPr>
      <w:r>
        <w:t xml:space="preserve">Para la consolidación de la información del informe mensual sobre la distribución de medicamentos monopolio del Estado, concerniente al Anexo 1 de la Resolución 1479 de 2006</w:t>
      </w:r>
      <w:hyperlink w:anchor="ref-MSPS1479-2006">
        <w:r>
          <w:rPr>
            <w:rStyle w:val="Hyperlink"/>
            <w:vertAlign w:val="superscript"/>
          </w:rPr>
          <w:t xml:space="preserve">2</w:t>
        </w:r>
      </w:hyperlink>
      <w:r>
        <w:t xml:space="preserve">, se observa una tendencia en este proceso a nivel nacional, por parte de los FRE departamentales. Generalmente, esta información de distribución es obtenida a partir de la base de datos o herramienta que emplea el personal del FRE para hacer el control de salida de los MME. Así se lleve esta base de datos en medios físicos y/o medios digitales, el personal del FRE se apoya en este recurso para la consolidación de la información del Anexo 1 de la Resolución 1479 de 2006</w:t>
      </w:r>
      <w:hyperlink w:anchor="ref-MSPS1479-2006">
        <w:r>
          <w:rPr>
            <w:rStyle w:val="Hyperlink"/>
            <w:vertAlign w:val="superscript"/>
          </w:rPr>
          <w:t xml:space="preserve">2</w:t>
        </w:r>
      </w:hyperlink>
      <w:r>
        <w:t xml:space="preserve">.</w:t>
      </w:r>
    </w:p>
    <w:p>
      <w:pPr>
        <w:pStyle w:val="BodyText"/>
      </w:pPr>
      <w:r>
        <w:t xml:space="preserve">Algunos FRE departamentales aún mantienen este control por medio de libro físico y otros FRE lo realizan en una hoja de cálculo Excel. No obstante, sea cual sea esta herramienta en el territorio, el personal del FRE presta mucha atención en el diligenciamiento de este formato, con el fin de llevar el control adecuado referente a la distribución de MME. En este orden de ideas, el personal del FRE, finalizando cada mes, consolida esta información de distribución de MME en el territorio, a partir de la base de datos referente al control de salida de MME.</w:t>
      </w:r>
    </w:p>
    <w:p>
      <w:pPr>
        <w:pStyle w:val="BodyText"/>
      </w:pPr>
      <w:r>
        <w:t xml:space="preserve">La información es dispuesta en la hoja estandarizada de Excel del Anexo 1 de la Resolución 1479 de 2006, discriminada por medicamento y unidad comercial de cada MME. Después, los primeros 10 días del mes es enviada al FNE. Posteriormente, estos datos de distribución de Medicamentos Monopolio del Estado a nivel nacional, son analizados en el FNE, con el fin de proyectar la distribución de MME el siguiente año. Este análisis nacional es tenido en cuenta para la importación de materia prima y fabricación de estos medicamentos.</w:t>
      </w:r>
    </w:p>
    <w:p>
      <w:pPr>
        <w:pStyle w:val="BodyText"/>
      </w:pPr>
      <w:r>
        <w:t xml:space="preserve">Por esta razón, debe resaltarse la gran importancia y calidad de la información contenida en los Anexos 1 de la Resolución 1479 de 2006</w:t>
      </w:r>
      <w:hyperlink w:anchor="ref-MSPS1479-2006">
        <w:r>
          <w:rPr>
            <w:rStyle w:val="Hyperlink"/>
            <w:vertAlign w:val="superscript"/>
          </w:rPr>
          <w:t xml:space="preserve">2</w:t>
        </w:r>
      </w:hyperlink>
      <w:r>
        <w:t xml:space="preserve"> </w:t>
      </w:r>
      <w:r>
        <w:t xml:space="preserve">en cada departamento del país. La Figura</w:t>
      </w:r>
      <w:r>
        <w:t xml:space="preserve"> </w:t>
      </w:r>
      <w:r>
        <w:t xml:space="preserve">8.2</w:t>
      </w:r>
      <w:r>
        <w:t xml:space="preserve"> </w:t>
      </w:r>
      <w:r>
        <w:t xml:space="preserve">muestra el proceso de consolidación del Anexo 1 de la Resolución 1479 de 2006.</w:t>
      </w:r>
    </w:p>
    <w:p>
      <w:pPr>
        <w:pStyle w:val="CaptionedFigure"/>
      </w:pPr>
      <w:r>
        <w:drawing>
          <wp:inline>
            <wp:extent cx="5334000" cy="7451911"/>
            <wp:effectExtent b="0" l="0" r="0" t="0"/>
            <wp:docPr descr="Figura 8.2: Proceso de consolidación de Anexo 1 de la Resolución 1479 de 2006." title="" id="1" name="Picture"/>
            <a:graphic>
              <a:graphicData uri="http://schemas.openxmlformats.org/drawingml/2006/picture">
                <pic:pic>
                  <pic:nvPicPr>
                    <pic:cNvPr descr="figures/Consolidacion_A1_Res_1479_2006.png" id="0" name="Picture"/>
                    <pic:cNvPicPr>
                      <a:picLocks noChangeArrowheads="1" noChangeAspect="1"/>
                    </pic:cNvPicPr>
                  </pic:nvPicPr>
                  <pic:blipFill>
                    <a:blip r:embed="rId198"/>
                    <a:stretch>
                      <a:fillRect/>
                    </a:stretch>
                  </pic:blipFill>
                  <pic:spPr bwMode="auto">
                    <a:xfrm>
                      <a:off x="0" y="0"/>
                      <a:ext cx="5334000" cy="7451911"/>
                    </a:xfrm>
                    <a:prstGeom prst="rect">
                      <a:avLst/>
                    </a:prstGeom>
                    <a:noFill/>
                    <a:ln w="9525">
                      <a:noFill/>
                      <a:headEnd/>
                      <a:tailEnd/>
                    </a:ln>
                  </pic:spPr>
                </pic:pic>
              </a:graphicData>
            </a:graphic>
          </wp:inline>
        </w:drawing>
      </w:r>
    </w:p>
    <w:p>
      <w:pPr>
        <w:pStyle w:val="ImageCaption"/>
      </w:pPr>
      <w:bookmarkStart w:id="199" w:name="fig59"/>
      <w:r>
        <w:t xml:space="preserve">Figure </w:t>
      </w:r>
      <w:fldSimple w:instr="SEQ Figure \* ARABIC ">
        <w:r>
          <w:t>59</w:t>
        </w:r>
      </w:fldSimple>
      <w:r>
        <w:t xml:space="preserve">:</w:t>
      </w:r>
      <w:r>
        <w:t xml:space="preserve"> </w:t>
      </w:r>
      <w:bookmarkEnd w:id="199"/>
      <w:r>
        <w:t xml:space="preserve">Figura 8.2: Proceso de consolidación de Anexo 1 de la Resolución 1479 de 2006.</w:t>
      </w:r>
    </w:p>
    <w:p>
      <w:pPr>
        <w:pStyle w:val="BodyText"/>
      </w:pPr>
      <w:r>
        <w:t xml:space="preserve">Por otro lado, en la Figura</w:t>
      </w:r>
      <w:r>
        <w:t xml:space="preserve"> </w:t>
      </w:r>
      <w:r>
        <w:t xml:space="preserve">8.1</w:t>
      </w:r>
      <w:r>
        <w:t xml:space="preserve"> </w:t>
      </w:r>
      <w:r>
        <w:t xml:space="preserve">se tiene una descripción de las herramientas utilizadas particularmente para el diligenciamiento del Anexo 1 de la Resolución 1479 de 2006. A partir de la figura se observa que la mayoría de los FRE departamentales se apoyan en hojas de cálculo de Excel para consolidar la información, brindando más precisión en los datos de distribución de MME en su territorio. Por otro lado, se observan tres FRE departamentales que utilizan herramientas digitales y manuales para el diligenciamiento de este informe. Mientras que sólo dos FRE en todo el país, sustentan esta actividad mediante procedimientos manuales (como lo son Guainía y La Guajira).</w:t>
      </w:r>
    </w:p>
    <w:p>
      <w:pPr>
        <w:pStyle w:val="BodyText"/>
      </w:pPr>
      <w:r>
        <w:t xml:space="preserve">Algunos FRE como Antioquia, Bolívar, Córdoba, Cesar, Quindío y Valle del Cauca tienen plataformas desarrolladas dentro de la gobernación que son utilizadas para el diligenciamiento del Anexo 1, cuya condición favorece en la efectividad del proceso y la continuidad que recibe esta actividad al interior del FRE. Adicionalmente, esta ventaja informática brinda mayor precisión en el manejo de datos de la distribución de MME en estos departamentos.</w:t>
      </w:r>
    </w:p>
    <w:p>
      <w:pPr>
        <w:pStyle w:val="BodyText"/>
      </w:pPr>
      <w:r>
        <w:t xml:space="preserve">El tiempo de consolidación del informe mensual sobre la distribución de MME, referente al Anexo 1 de la Resolución 1479 de 2006 es una variable importante para determinar la capacidad operativa en este proceso interno del FRE. A partir de la Figura</w:t>
      </w:r>
      <w:r>
        <w:t xml:space="preserve"> </w:t>
      </w:r>
      <w:r>
        <w:t xml:space="preserve">8.3</w:t>
      </w:r>
      <w:r>
        <w:t xml:space="preserve">, se observa una tendencia en el tiempo de consolidación de la información de distribución de medicamentos.</w:t>
      </w:r>
    </w:p>
    <w:p>
      <w:pPr>
        <w:pStyle w:val="BodyText"/>
      </w:pPr>
      <w:r>
        <w:t xml:space="preserve">Como se discutió anteriormente, el grupo de Regionalización, encargado de la consolidación y verificación de estos informes, definió una hoja estandarizada de Excel para la presentación del Anexo 1. Por esta razón, la Figura</w:t>
      </w:r>
      <w:r>
        <w:t xml:space="preserve"> </w:t>
      </w:r>
      <w:r>
        <w:t xml:space="preserve">8.3</w:t>
      </w:r>
      <w:r>
        <w:t xml:space="preserve"> </w:t>
      </w:r>
      <w:r>
        <w:t xml:space="preserve">resalta una tendencia en el tiempo de preparación del informe mensual sobre la distribución de MME (Anexo 1), a nivel nacional.</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20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1" w:name="fig60"/>
      <w:r>
        <w:t xml:space="preserve">Figure </w:t>
      </w:r>
      <w:fldSimple w:instr="SEQ Figure \* ARABIC ">
        <w:r>
          <w:t>60</w:t>
        </w:r>
      </w:fldSimple>
      <w:r>
        <w:t xml:space="preserve">:</w:t>
      </w:r>
      <w:r>
        <w:t xml:space="preserve"> </w:t>
      </w:r>
      <w:bookmarkEnd w:id="201"/>
      <w:r>
        <w:t xml:space="preserve">Figura 8.3: Tiempo en la consolidación del Anexo 1 de la Resolución 1479 de 2006.</w:t>
      </w:r>
    </w:p>
    <w:p>
      <w:pPr>
        <w:pStyle w:val="BodyText"/>
      </w:pPr>
      <w:r>
        <w:t xml:space="preserve">La gran mayoría de FRE departamentales manifestaron un tiempo mayor en la consolidación de la información del Anexo 1, respecto al tiempo de consolidación del Anexo 2, considerando la Figura</w:t>
      </w:r>
      <w:r>
        <w:t xml:space="preserve"> </w:t>
      </w:r>
      <w:r>
        <w:t xml:space="preserve">8.3</w:t>
      </w:r>
      <w:r>
        <w:t xml:space="preserve"> </w:t>
      </w:r>
      <w:r>
        <w:t xml:space="preserve">y Figura 8.5. No obstante, esta percepción del tiempo que tarda el personal del FRE para la consolidación del Anexo 1, incluye igualmente la consolidación del Anexo 2. Así las cosas, la Figura</w:t>
      </w:r>
      <w:r>
        <w:t xml:space="preserve"> </w:t>
      </w:r>
      <w:r>
        <w:t xml:space="preserve">8.3</w:t>
      </w:r>
      <w:r>
        <w:t xml:space="preserve"> </w:t>
      </w:r>
      <w:r>
        <w:t xml:space="preserve">muestra un tiempo extremadamente largo para la consolidación de ambos informes, cuya extensa duración puede atribuirse a la forma como reciben los informes de las instituciones inscritas, indispensable para el primer paso del diligenciamiento del Anexo 2.</w:t>
      </w:r>
    </w:p>
    <w:p>
      <w:pPr>
        <w:pStyle w:val="BodyText"/>
      </w:pPr>
      <w:r>
        <w:t xml:space="preserve">Algunas instituciones entregan este informe de manera electrónica al FRE, mientras otros aportan este informe en medio físico.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 Esta problemática puede evidenciarse mucho más, en las regiones con elevada cantidad de instituciones inscritas, considerando la cantidad de personal vinculado al FRE, encargado de este proceso.</w:t>
      </w:r>
    </w:p>
    <w:p>
      <w:pPr>
        <w:pStyle w:val="BodyText"/>
      </w:pPr>
      <w:r>
        <w:t xml:space="preserve">En la Figura</w:t>
      </w:r>
      <w:r>
        <w:t xml:space="preserve"> </w:t>
      </w:r>
      <w:r>
        <w:t xml:space="preserve">8.4</w:t>
      </w:r>
      <w:r>
        <w:t xml:space="preserve"> </w:t>
      </w:r>
      <w:r>
        <w:t xml:space="preserve">se muestra una comparación entre los tiempos de diligenciamiento del Anexo 1 y el número de instituciones en el departamento. De acuerdo a esta comparación no se tiene una relación clara entre el tiempo que toma cumplir con este requerimiento y el número de instituciones que realizan compras en el departamentos.</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20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3" w:name="fig61"/>
      <w:r>
        <w:t xml:space="preserve">Figure </w:t>
      </w:r>
      <w:fldSimple w:instr="SEQ Figure \* ARABIC ">
        <w:r>
          <w:t>61</w:t>
        </w:r>
      </w:fldSimple>
      <w:r>
        <w:t xml:space="preserve">:</w:t>
      </w:r>
      <w:r>
        <w:t xml:space="preserve"> </w:t>
      </w:r>
      <w:bookmarkEnd w:id="203"/>
      <w:r>
        <w:t xml:space="preserve">Figura 8.4: Tiempo en la consolidación del Anexo 1 de la Resolución 1479 de 2006 vs N° de instituciones que realizan compra en un año.</w:t>
      </w:r>
    </w:p>
    <w:bookmarkEnd w:id="204"/>
    <w:bookmarkStart w:id="211" w:name="diligenciamiento-de-anexo-2"/>
    <w:p>
      <w:pPr>
        <w:pStyle w:val="Heading3"/>
      </w:pPr>
      <w:r>
        <w:rPr>
          <w:rStyle w:val="SectionNumber"/>
        </w:rPr>
        <w:t xml:space="preserve">8.1.2</w:t>
      </w:r>
      <w:r>
        <w:tab/>
      </w:r>
      <w:r>
        <w:t xml:space="preserve">Diligenciamiento de Anexo 2</w:t>
      </w:r>
    </w:p>
    <w:p>
      <w:pPr>
        <w:pStyle w:val="FirstParagraph"/>
      </w:pPr>
      <w:r>
        <w:t xml:space="preserve">Para la consolidación de la información del informe mensual sobre consumo de medicamentos monopolio del Estado, referente al Anexo 2 de la Resolución 1479 de 2006, se observa una uniformidad en este proceso a nivel nacional por parte de los FRE departamentales. Inicialmente, las instituciones inscritas en cada territorio, envían el</w:t>
      </w:r>
      <w:r>
        <w:t xml:space="preserve"> </w:t>
      </w:r>
      <w:r>
        <w:rPr>
          <w:iCs/>
          <w:i/>
        </w:rPr>
        <w:t xml:space="preserve">“</w:t>
      </w:r>
      <w:r>
        <w:rPr>
          <w:iCs/>
          <w:i/>
        </w:rPr>
        <w:t xml:space="preserve">informe de consumo de medicamento de control especial de los establecimientos minoristas</w:t>
      </w:r>
      <w:r>
        <w:rPr>
          <w:iCs/>
          <w:i/>
        </w:rPr>
        <w:t xml:space="preserve">”</w:t>
      </w:r>
      <w:r>
        <w:t xml:space="preserve"> </w:t>
      </w:r>
      <w:r>
        <w:t xml:space="preserve">presente en el Anexo 13 de la Resolución 1478 de 2006, cuya información involucra el consumo de MCE, resaltando principalmente el consumo de MME. Posteriormente, el establecimiento autorizado debe consolidar y enviar este formato estándar al FRE respectivo en cada territorio.</w:t>
      </w:r>
    </w:p>
    <w:p>
      <w:pPr>
        <w:pStyle w:val="BodyText"/>
      </w:pPr>
      <w:r>
        <w:t xml:space="preserve">Luego, el ente territorial recibe todos los informes y procede a revisar cada uno de estos, en función de forma y validación de la información contenida. Si algún informe no es conforme, el personal del FRE devuelve dicho informe para su posterior subsanación por parte de la institución. Una vez sean conformes todos los informes para el FRE departamental, el personal consolida la información aportada por todo el departamento, referente al consumo de MME, en el formato estándar del Anexo 2 de la Resolución 1479 de 2006. Por último, este formato Anexo 2 es enviado al Grupo de Regionalización del FNE, donde se archivan todos los Informes mensuales departamentales.</w:t>
      </w:r>
    </w:p>
    <w:p>
      <w:pPr>
        <w:pStyle w:val="BodyText"/>
      </w:pPr>
      <w:r>
        <w:t xml:space="preserve">La Figura</w:t>
      </w:r>
      <w:r>
        <w:t xml:space="preserve"> </w:t>
      </w:r>
      <w:r>
        <w:t xml:space="preserve">8.5</w:t>
      </w:r>
      <w:r>
        <w:t xml:space="preserve"> </w:t>
      </w:r>
      <w:r>
        <w:t xml:space="preserve">muestra el proceso de consolidación del Anexo 2 de la Resolución 1479 de 2006</w:t>
      </w:r>
      <w:hyperlink w:anchor="ref-MSPS1479-2006">
        <w:r>
          <w:rPr>
            <w:rStyle w:val="Hyperlink"/>
            <w:vertAlign w:val="superscript"/>
          </w:rPr>
          <w:t xml:space="preserve">2</w:t>
        </w:r>
      </w:hyperlink>
      <w:r>
        <w:t xml:space="preserve">.</w:t>
      </w:r>
    </w:p>
    <w:p>
      <w:pPr>
        <w:pStyle w:val="CaptionedFigure"/>
      </w:pPr>
      <w:r>
        <w:drawing>
          <wp:inline>
            <wp:extent cx="5334000" cy="6146172"/>
            <wp:effectExtent b="0" l="0" r="0" t="0"/>
            <wp:docPr descr="Figura 8.5: Proceso de consolidación de Anexo 2 de la Resolución 1479 de 2006." title="" id="1" name="Picture"/>
            <a:graphic>
              <a:graphicData uri="http://schemas.openxmlformats.org/drawingml/2006/picture">
                <pic:pic>
                  <pic:nvPicPr>
                    <pic:cNvPr descr="figures/Consolidacion_A2_Res_1479_2006.png" id="0" name="Picture"/>
                    <pic:cNvPicPr>
                      <a:picLocks noChangeArrowheads="1" noChangeAspect="1"/>
                    </pic:cNvPicPr>
                  </pic:nvPicPr>
                  <pic:blipFill>
                    <a:blip r:embed="rId205"/>
                    <a:stretch>
                      <a:fillRect/>
                    </a:stretch>
                  </pic:blipFill>
                  <pic:spPr bwMode="auto">
                    <a:xfrm>
                      <a:off x="0" y="0"/>
                      <a:ext cx="5334000" cy="6146172"/>
                    </a:xfrm>
                    <a:prstGeom prst="rect">
                      <a:avLst/>
                    </a:prstGeom>
                    <a:noFill/>
                    <a:ln w="9525">
                      <a:noFill/>
                      <a:headEnd/>
                      <a:tailEnd/>
                    </a:ln>
                  </pic:spPr>
                </pic:pic>
              </a:graphicData>
            </a:graphic>
          </wp:inline>
        </w:drawing>
      </w:r>
    </w:p>
    <w:p>
      <w:pPr>
        <w:pStyle w:val="ImageCaption"/>
      </w:pPr>
      <w:bookmarkStart w:id="206" w:name="fig62"/>
      <w:r>
        <w:t xml:space="preserve">Figure </w:t>
      </w:r>
      <w:fldSimple w:instr="SEQ Figure \* ARABIC ">
        <w:r>
          <w:t>62</w:t>
        </w:r>
      </w:fldSimple>
      <w:r>
        <w:t xml:space="preserve">:</w:t>
      </w:r>
      <w:r>
        <w:t xml:space="preserve"> </w:t>
      </w:r>
      <w:bookmarkEnd w:id="206"/>
      <w:r>
        <w:t xml:space="preserve">Figura 8.5: Proceso de consolidación de Anexo 2 de la Resolución 1479 de 2006.</w:t>
      </w:r>
    </w:p>
    <w:p>
      <w:pPr>
        <w:pStyle w:val="BodyText"/>
      </w:pPr>
      <w:r>
        <w:t xml:space="preserve">En contraste a la manera cómo los FRE realizan la consolidación del Anexo 1, hay una diferencia en la consolidación del Anexo 2, sobre la forma en la que algunos FRE reciben los Anexos 13 que es entregado al FRE por parte de los inscritos (Anexo de consumo por institución inscrita), con los cuales se alimenta el Anexo 2 de consumo departamental. La Figura</w:t>
      </w:r>
      <w:r>
        <w:t xml:space="preserve"> </w:t>
      </w:r>
      <w:r>
        <w:t xml:space="preserve">8.3</w:t>
      </w:r>
      <w:r>
        <w:t xml:space="preserve"> </w:t>
      </w:r>
      <w:r>
        <w:t xml:space="preserve">permite ver un tiempo relativamente corto en la consolidación de la información del Anexo 1, respecto al tiempo de consolidación del Anexo 2. La recepción de los informes de consumo de medicamento de control especial de cada establecimiento autorizado (Anexo 13 de la Resolución 1478 de 2006), es el insumo primordial para diligenciar los datos del Anexo 2 de la Resolución 1479 de 2006</w:t>
      </w:r>
      <w:hyperlink w:anchor="ref-MSPS1479-2006">
        <w:r>
          <w:rPr>
            <w:rStyle w:val="Hyperlink"/>
            <w:vertAlign w:val="superscript"/>
          </w:rPr>
          <w:t xml:space="preserve">2</w:t>
        </w:r>
      </w:hyperlink>
      <w:r>
        <w:t xml:space="preserve">.</w:t>
      </w:r>
    </w:p>
    <w:p>
      <w:pPr>
        <w:pStyle w:val="BodyText"/>
      </w:pPr>
      <w:r>
        <w:t xml:space="preserve">Algunas instituciones entregan este informe al FRE, de manera electrónica, mientras otros aportan este informe en medios físicos. Esta particularidad influye en el tiempo de consolidación, dado que, si estos son allegados de forma presencial o física, se necesita una transcripción, que podría traducirse en un proceso engorroso que toma mucho más tiempo. Esta razón puede ser causa del retraso en el envío de los informes mensuales, referente al Anexo 2 de la Resolución 1479 de 2006</w:t>
      </w:r>
      <w:hyperlink w:anchor="ref-MSPS1479-2006">
        <w:r>
          <w:rPr>
            <w:rStyle w:val="Hyperlink"/>
            <w:vertAlign w:val="superscript"/>
          </w:rPr>
          <w:t xml:space="preserve">2</w:t>
        </w:r>
      </w:hyperlink>
      <w:r>
        <w:t xml:space="preserve">. Esta problemática puede evidenciarse mucho más, en las regiones con elevada cantidad de instituciones inscritas, considerando la cantidad de personal vinculado al FRE, encargado de este proceso interno.</w:t>
      </w:r>
    </w:p>
    <w:p>
      <w:pPr>
        <w:pStyle w:val="BodyText"/>
      </w:pPr>
      <w:r>
        <w:t xml:space="preserve">La Figura</w:t>
      </w:r>
      <w:r>
        <w:t xml:space="preserve"> </w:t>
      </w:r>
      <w:r>
        <w:t xml:space="preserve">8.6</w:t>
      </w:r>
      <w:r>
        <w:t xml:space="preserve"> </w:t>
      </w:r>
      <w:r>
        <w:t xml:space="preserve">muestra los diferentes tipos de documentos que reciben los FRE, por parte de las instituciones autorizadas en el territorio, referente al Anexo 13 de la Resolución 1478 de 2006</w:t>
      </w:r>
      <w:hyperlink w:anchor="ref-MSPS1478-2006">
        <w:r>
          <w:rPr>
            <w:rStyle w:val="Hyperlink"/>
            <w:vertAlign w:val="superscript"/>
          </w:rPr>
          <w:t xml:space="preserve">1</w:t>
        </w:r>
      </w:hyperlink>
      <w:r>
        <w:t xml:space="preserve">. Esto muestra diversas formas en que el FRE recibe este informe y la condición de transcribir toda esta información departamental para que quede ajustada en la hoja estandarizada de Excel.</w:t>
      </w:r>
    </w:p>
    <w:p>
      <w:pPr>
        <w:pStyle w:val="CaptionedFigure"/>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20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208" w:name="fig63"/>
      <w:r>
        <w:t xml:space="preserve">Figure </w:t>
      </w:r>
      <w:fldSimple w:instr="SEQ Figure \* ARABIC ">
        <w:r>
          <w:t>63</w:t>
        </w:r>
      </w:fldSimple>
      <w:r>
        <w:t xml:space="preserve">:</w:t>
      </w:r>
      <w:r>
        <w:t xml:space="preserve"> </w:t>
      </w:r>
      <w:bookmarkEnd w:id="208"/>
      <w:r>
        <w:t xml:space="preserve">Figura 8.6: Medio para consolidación de Anexo 13 de la Resolución 1478 de 2006.</w:t>
      </w:r>
    </w:p>
    <w:p>
      <w:pPr>
        <w:pStyle w:val="BodyText"/>
      </w:pPr>
      <w:r>
        <w:t xml:space="preserve">La Figura</w:t>
      </w:r>
      <w:r>
        <w:t xml:space="preserve"> </w:t>
      </w:r>
      <w:r>
        <w:t xml:space="preserve">8.7</w:t>
      </w:r>
      <w:r>
        <w:t xml:space="preserve"> </w:t>
      </w:r>
      <w:r>
        <w:t xml:space="preserve">muestra los recursos utilizados por los FRE para el diligenciamiento del Anexo 2 en los departamentos. El diligenciamiento del Anexo 2 de la Resolución 1479 de 2006</w:t>
      </w:r>
      <w:hyperlink w:anchor="ref-MSPS1479-2006">
        <w:r>
          <w:rPr>
            <w:rStyle w:val="Hyperlink"/>
            <w:vertAlign w:val="superscript"/>
          </w:rPr>
          <w:t xml:space="preserve">2</w:t>
        </w:r>
      </w:hyperlink>
      <w:r>
        <w:t xml:space="preserve"> </w:t>
      </w:r>
      <w:r>
        <w:t xml:space="preserve">suele ser llevado a cabo por una persona en la mayoría de FRE (n = 26), pero en algunos FRE reportan que pueden llegar a necesitar 2 personas (p.ej. Tolima, Boyacá, y Guaviare), sólo el FRE de Cauca reporta que se requiere a todo el equipo para el diligenciamiento del informe.</w:t>
      </w:r>
    </w:p>
    <w:p>
      <w:pPr>
        <w:pStyle w:val="CaptionedFigure"/>
      </w:pPr>
      <w:r>
        <w:drawing>
          <wp:inline>
            <wp:extent cx="5334000" cy="2667000"/>
            <wp:effectExtent b="0" l="0" r="0" t="0"/>
            <wp:docPr descr="Figura 8.7: Recursos en la consolidación del Anexo 2 de la Resolución 1479 de 2006. (A) N.° de personas involucradas, (B) Comparación de tiempo de diligenciamiento frente a N.° de instituciones."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20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210" w:name="fig64"/>
      <w:r>
        <w:t xml:space="preserve">Figure </w:t>
      </w:r>
      <w:fldSimple w:instr="SEQ Figure \* ARABIC ">
        <w:r>
          <w:t>64</w:t>
        </w:r>
      </w:fldSimple>
      <w:r>
        <w:t xml:space="preserve">:</w:t>
      </w:r>
      <w:r>
        <w:t xml:space="preserve"> </w:t>
      </w:r>
      <w:bookmarkEnd w:id="210"/>
      <w:r>
        <w:t xml:space="preserve">Figura 8.7: Recursos en la consolidación del Anexo 2 de la Resolución 1479 de 2006. (A) N.° de personas involucradas, (B) Comparación de tiempo de diligenciamiento frente a N.° de instituciones.</w:t>
      </w:r>
    </w:p>
    <w:p>
      <w:pPr>
        <w:pStyle w:val="BodyText"/>
      </w:pPr>
      <w:r>
        <w:t xml:space="preserve">En el panel B de la Figura</w:t>
      </w:r>
      <w:r>
        <w:t xml:space="preserve"> </w:t>
      </w:r>
      <w:r>
        <w:t xml:space="preserve">8.7</w:t>
      </w:r>
      <w:r>
        <w:t xml:space="preserve"> </w:t>
      </w:r>
      <w:r>
        <w:t xml:space="preserve">se muestra una comparación entre el tiempo de diligenciamiento del Anexo 2 y el número de inscritos en el departamento. Se tienen casos como Putumayo y Casanare que tienen tiempos de diligenciamiento mayores a lo esperado de acuerdo al número de instituciones. Así como el caso de Antioquia que reporta un tiempo muy rápido de diligenciamiento pese a que cuenta con muchos inscritos:</w:t>
      </w:r>
    </w:p>
    <w:p>
      <w:pPr>
        <w:pStyle w:val="BlockText"/>
      </w:pPr>
      <w:r>
        <w:rPr>
          <w:iCs/>
          <w:i/>
        </w:rPr>
        <w:t xml:space="preserve">Un regente realiza el proceso en aproximadamente 30 minutos</w:t>
      </w:r>
    </w:p>
    <w:p>
      <w:pPr>
        <w:pStyle w:val="FirstParagraph"/>
      </w:pPr>
      <w:r>
        <w:t xml:space="preserve">Adicionalmente, la base de datos entregada por el grupo de Regionalización, referente a los informes enviados por todos los FRE, muestra que al menos 10 departamentos no han entregado un solo informe de consumo para lo corrido del año 2021. Además, se evidencia un rezago de aproximadamente dos meses, en la entrega de este informe, incluso para los FRE que tienen mayor cantidad de informes entregados.</w:t>
      </w:r>
    </w:p>
    <w:bookmarkEnd w:id="211"/>
    <w:bookmarkStart w:id="214" w:name="Xb99c3298c4816851250a1d6fac6151d52f498cf"/>
    <w:p>
      <w:pPr>
        <w:pStyle w:val="Heading3"/>
      </w:pPr>
      <w:r>
        <w:rPr>
          <w:rStyle w:val="SectionNumber"/>
        </w:rPr>
        <w:t xml:space="preserve">8.1.3</w:t>
      </w:r>
      <w:r>
        <w:tab/>
      </w:r>
      <w:r>
        <w:t xml:space="preserve">Archivo del Anexo 13 de la Resolución 1478 de 2006</w:t>
      </w:r>
    </w:p>
    <w:p>
      <w:pPr>
        <w:pStyle w:val="FirstParagraph"/>
      </w:pPr>
      <w:r>
        <w:t xml:space="preserve">En la Figura</w:t>
      </w:r>
      <w:r>
        <w:t xml:space="preserve"> </w:t>
      </w:r>
      <w:r>
        <w:t xml:space="preserve">8.8</w:t>
      </w:r>
      <w:r>
        <w:t xml:space="preserve"> </w:t>
      </w:r>
      <w:r>
        <w:t xml:space="preserve">se muestra que la práctica más común es realizar el archivo de los Anexo 13 de la Resolución 1479 de 2006 por al menos 5 años, aunque 6 FRE realizan este archivo de informes en períodos de tiempo entre 2 a 5 años.</w:t>
      </w:r>
    </w:p>
    <w:p>
      <w:pPr>
        <w:pStyle w:val="CaptionedFigure"/>
      </w:pPr>
      <w:r>
        <w:drawing>
          <wp:inline>
            <wp:extent cx="5334000" cy="3556000"/>
            <wp:effectExtent b="0" l="0" r="0" t="0"/>
            <wp:docPr descr="Figura 8.8: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21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3" w:name="fig65"/>
      <w:r>
        <w:t xml:space="preserve">Figure </w:t>
      </w:r>
      <w:fldSimple w:instr="SEQ Figure \* ARABIC ">
        <w:r>
          <w:t>65</w:t>
        </w:r>
      </w:fldSimple>
      <w:r>
        <w:t xml:space="preserve">:</w:t>
      </w:r>
      <w:r>
        <w:t xml:space="preserve"> </w:t>
      </w:r>
      <w:bookmarkEnd w:id="213"/>
      <w:r>
        <w:t xml:space="preserve">Figura 8.8: Tiempo de archivo de Anexo 13 de la Resolución 1478 de 2006.</w:t>
      </w:r>
    </w:p>
    <w:bookmarkEnd w:id="214"/>
    <w:bookmarkEnd w:id="215"/>
    <w:bookmarkStart w:id="218" w:name="seguimiento-de-envío-de-informes"/>
    <w:p>
      <w:pPr>
        <w:pStyle w:val="Heading2"/>
      </w:pPr>
      <w:r>
        <w:rPr>
          <w:rStyle w:val="SectionNumber"/>
        </w:rPr>
        <w:t xml:space="preserve">8.2</w:t>
      </w:r>
      <w:r>
        <w:tab/>
      </w:r>
      <w:r>
        <w:t xml:space="preserve">Seguimiento de envío de informes</w:t>
      </w:r>
    </w:p>
    <w:p>
      <w:pPr>
        <w:pStyle w:val="FirstParagraph"/>
      </w:pPr>
      <w:r>
        <w:t xml:space="preserve">En la Figura</w:t>
      </w:r>
      <w:r>
        <w:t xml:space="preserve"> </w:t>
      </w:r>
      <w:r>
        <w:t xml:space="preserve">8.9</w:t>
      </w:r>
      <w:r>
        <w:t xml:space="preserve"> </w:t>
      </w:r>
      <w:r>
        <w:t xml:space="preserve">se muestran los mecanismos de seguimiento del FRE frente a las instituciones para el envío de los informes requeridos por la normativa. Se muestra que una proporción importante de los FRE (14/31) realiza el seguimiento de envío de reportes mediante visitas personales a las instituciones. Sólo los FRE de Magdalena, Tolima, Boyacá y Guainía realizan este seguimiento mediante visitas personales.</w:t>
      </w:r>
    </w:p>
    <w:p>
      <w:pPr>
        <w:pStyle w:val="CaptionedFigure"/>
      </w:pPr>
      <w:r>
        <w:drawing>
          <wp:inline>
            <wp:extent cx="5334000" cy="3556000"/>
            <wp:effectExtent b="0" l="0" r="0" t="0"/>
            <wp:docPr descr="Figura 8.9: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21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17" w:name="fig66"/>
      <w:r>
        <w:t xml:space="preserve">Figure </w:t>
      </w:r>
      <w:fldSimple w:instr="SEQ Figure \* ARABIC ">
        <w:r>
          <w:t>66</w:t>
        </w:r>
      </w:fldSimple>
      <w:r>
        <w:t xml:space="preserve">:</w:t>
      </w:r>
      <w:r>
        <w:t xml:space="preserve"> </w:t>
      </w:r>
      <w:bookmarkEnd w:id="217"/>
      <w:r>
        <w:t xml:space="preserve">Figura 8.9: Mecanismo de seguimiento de instituciones de envío de informes.</w:t>
      </w:r>
    </w:p>
    <w:p>
      <w:pPr>
        <w:pStyle w:val="BodyText"/>
      </w:pPr>
      <w:r>
        <w:t xml:space="preserve">Los FRE también reportan la utilización de recursos como llamadas (41.9%) o correos (41.9%) para la realización de esta actividad. Los FRE de Putumayo, Sucre, Caquetá, San Andrés, Meta, Caldas y Vichada utilizan llamadas telefónicas de forma exclusiva para la realización del seguimiento. Mientras que los FRE de Huila, Nariño, Chocó, La Guajira, Amazonas y Santander utilizan el correo electrónico de forma exclusiva para realizar el seguimiento. Sólo 3 FRE reportan no realizar un seguimiento de envío de informes como lo son Córdoba, Norte de Santander y Risaralda.</w:t>
      </w:r>
    </w:p>
    <w:bookmarkEnd w:id="218"/>
    <w:bookmarkStart w:id="221" w:name="manejo-de-incumplimientos"/>
    <w:p>
      <w:pPr>
        <w:pStyle w:val="Heading2"/>
      </w:pPr>
      <w:r>
        <w:rPr>
          <w:rStyle w:val="SectionNumber"/>
        </w:rPr>
        <w:t xml:space="preserve">8.3</w:t>
      </w:r>
      <w:r>
        <w:tab/>
      </w:r>
      <w:r>
        <w:t xml:space="preserve">Manejo de incumplimientos</w:t>
      </w:r>
    </w:p>
    <w:p>
      <w:pPr>
        <w:pStyle w:val="FirstParagraph"/>
      </w:pPr>
      <w:r>
        <w:t xml:space="preserve">La Figura</w:t>
      </w:r>
      <w:r>
        <w:t xml:space="preserve"> </w:t>
      </w:r>
      <w:r>
        <w:t xml:space="preserve">8.10</w:t>
      </w:r>
      <w:r>
        <w:t xml:space="preserve">, muestra la manera como el FRE recuerda o hace seguimiento al envío de los informes de consumo a las instituciones autorizadas para el manejo de MME. Aquí se evidencia que el llamado de atención es el principal recurso que emplea el personal del FRE para recordarle a las instituciones el envío de los informes, referente al Anexo 13 de la Resolución 1478 de 2006</w:t>
      </w:r>
      <w:hyperlink w:anchor="ref-MSPS1478-2006">
        <w:r>
          <w:rPr>
            <w:rStyle w:val="Hyperlink"/>
            <w:vertAlign w:val="superscript"/>
          </w:rPr>
          <w:t xml:space="preserve">1</w:t>
        </w:r>
      </w:hyperlink>
      <w:r>
        <w:t xml:space="preserve">. Por otro lado, las multas y amonestaciones son muy poco frecuentes en los FRE. Esta medida correctiva no es adoptada por todos los FRE.</w:t>
      </w:r>
    </w:p>
    <w:p>
      <w:pPr>
        <w:pStyle w:val="CaptionedFigure"/>
      </w:pPr>
      <w:r>
        <w:drawing>
          <wp:inline>
            <wp:extent cx="5334000" cy="3556000"/>
            <wp:effectExtent b="0" l="0" r="0" t="0"/>
            <wp:docPr descr="Figura 8.10: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21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220" w:name="fig67"/>
      <w:r>
        <w:t xml:space="preserve">Figure </w:t>
      </w:r>
      <w:fldSimple w:instr="SEQ Figure \* ARABIC ">
        <w:r>
          <w:t>67</w:t>
        </w:r>
      </w:fldSimple>
      <w:r>
        <w:t xml:space="preserve">:</w:t>
      </w:r>
      <w:r>
        <w:t xml:space="preserve"> </w:t>
      </w:r>
      <w:bookmarkEnd w:id="220"/>
      <w:r>
        <w:t xml:space="preserve">Figura 8.10: Medidas por incumplimiento de envío de informes.</w:t>
      </w:r>
    </w:p>
    <w:p>
      <w:pPr>
        <w:pStyle w:val="BodyText"/>
      </w:pPr>
      <w:r>
        <w:t xml:space="preserve">Lo anterior es otro motivo para explicar las circunstancias por las cuáles los FRE no presentan estos informes a tiempo. En la Figura</w:t>
      </w:r>
      <w:r>
        <w:t xml:space="preserve"> </w:t>
      </w:r>
      <w:r>
        <w:t xml:space="preserve">8.10</w:t>
      </w:r>
      <w:r>
        <w:t xml:space="preserve">, se muestra que 23 de los 31 FRE solo se quedan en un llamado de atención en caso de incumplimiento en las fechas de entrega de informes de consumo. Este comportamiento se relaciona con la forma en la que el área de IVC de cada departamento realiza procesos administrativos o medidas sancionatorias a las instituciones que no hacen entrega de estos documentos.</w:t>
      </w:r>
    </w:p>
    <w:bookmarkEnd w:id="221"/>
    <w:bookmarkEnd w:id="222"/>
    <w:bookmarkStart w:id="228" w:name="lineamientos-y-recomendaciones"/>
    <w:p>
      <w:pPr>
        <w:pStyle w:val="Heading1"/>
      </w:pPr>
      <w:r>
        <w:rPr>
          <w:rStyle w:val="SectionNumber"/>
        </w:rPr>
        <w:t xml:space="preserve">9</w:t>
      </w:r>
      <w:r>
        <w:tab/>
      </w:r>
      <w:r>
        <w:t xml:space="preserve">Lineamientos y Recomendaciones</w:t>
      </w:r>
    </w:p>
    <w:bookmarkStart w:id="223" w:name="estructura-de-los-fre"/>
    <w:p>
      <w:pPr>
        <w:pStyle w:val="Heading3"/>
      </w:pPr>
      <w:r>
        <w:rPr>
          <w:rStyle w:val="SectionNumber"/>
        </w:rPr>
        <w:t xml:space="preserve">9.0.1</w:t>
      </w:r>
      <w:r>
        <w:tab/>
      </w:r>
      <w:r>
        <w:t xml:space="preserve">Estructura de los FRE</w:t>
      </w:r>
    </w:p>
    <w:p>
      <w:pPr>
        <w:pStyle w:val="FirstParagraph"/>
      </w:pPr>
      <w:r>
        <w:t xml:space="preserve">A partir de los datos recolectados a nivel nacional y según el análisis relacionado a la estructura de los FRE, se presentan algunos lineamientos técnicos para tener en cuenta y ser adoptados dentro de los entes territoriales. El recurso humano calificado es imprescindible para el buen funcionamiento del FRE, así como su continuidad a lo largo del año. Además, la infraestructura física es indispensable para un adecuado progreso en las actividades internas de los FRE.</w:t>
      </w:r>
    </w:p>
    <w:p>
      <w:pPr>
        <w:pStyle w:val="BodyText"/>
      </w:pPr>
      <w:r>
        <w:t xml:space="preserve">A continuación, se muestran algunas recomendaciones referente a estructura de los FRE:</w:t>
      </w:r>
    </w:p>
    <w:p>
      <w:pPr>
        <w:numPr>
          <w:ilvl w:val="0"/>
          <w:numId w:val="1026"/>
        </w:numPr>
      </w:pPr>
      <w:r>
        <w:t xml:space="preserve">Asegurar un manejo correcto de los MME y los recetarios oficiales en cada departamento, con un equipo de trabajo que debería estar constituido por personal idóneo en los temas administrativos, técnicos, operativos y jurídicos, referentes a los MME. Tanto el profesional encargado del FRE, como el personal de apoyo deberá corresponder a personal calificado. Además, en el equipo de trabajo del FRE se debe contar permanentemente con un (1) Químico Farmacéutico o en su defecto Tecnólogos en regencia en farmacia, con el fin de cumplir con las funciones de farmacovigilancia e IVC del FRE, cuyas competencias sólo corresponden a los profesionales mencionados.</w:t>
      </w:r>
    </w:p>
    <w:p>
      <w:pPr>
        <w:numPr>
          <w:ilvl w:val="0"/>
          <w:numId w:val="1026"/>
        </w:numPr>
      </w:pPr>
      <w:r>
        <w:t xml:space="preserve">Mantener vinculado continuamente al encargado del FRE, con el fin de conservar personal por todo el año. Lo ideal es que el encargado del FRE sea nombrado o en su defecto, sostener el contrato todo el año, garantizando la continuidad de los procesos internos que desarrolla el FRE.</w:t>
      </w:r>
    </w:p>
    <w:p>
      <w:pPr>
        <w:numPr>
          <w:ilvl w:val="0"/>
          <w:numId w:val="1026"/>
        </w:numPr>
      </w:pPr>
      <w:r>
        <w:t xml:space="preserve">Disponer continuamente de personal de apoyo en el FRE, con el fin de evitar el abandono de los procesos misionales que tiene el ente territorial y mantener una capacidad mínima de recurso humano en el FRE (mínimo vital de funcionamiento). Esto teniendo en cuenta las guías de contratación de Colombia Compra Eficiente, para una eventual re-evaluación de los manuales de contratación en cada territorio.</w:t>
      </w:r>
    </w:p>
    <w:p>
      <w:pPr>
        <w:numPr>
          <w:ilvl w:val="0"/>
          <w:numId w:val="1026"/>
        </w:numPr>
      </w:pPr>
      <w:r>
        <w:t xml:space="preserve">Disponer de al menos un (1) escritorio o los suficientes para que todo el personal vinculado al FRE trabaje en condiciones óptimas. El escritorio es un elemento indispensable para que los profesionales del FRE adelanten sus actividades de una manera cómoda y conveniente para el cumplimiento de las responsabilidades que tiene el FRE.</w:t>
      </w:r>
    </w:p>
    <w:p>
      <w:pPr>
        <w:numPr>
          <w:ilvl w:val="0"/>
          <w:numId w:val="1026"/>
        </w:numPr>
      </w:pPr>
      <w:r>
        <w:t xml:space="preserve">Conocer integralmente todas las fuentes de ingreso del FRE, tal como lo expresa la norma. Si esta cuenta bancaria no es administrada por el personal del FRE, el encargado debe tener conocimiento frecuente sobre los estados de cuenta y esta información debe ser facilitada por la Gobernación o la Dirección Departamental de Salud, en su defecto.</w:t>
      </w:r>
    </w:p>
    <w:bookmarkEnd w:id="223"/>
    <w:bookmarkStart w:id="224" w:name="recetarios-oficiales-1"/>
    <w:p>
      <w:pPr>
        <w:pStyle w:val="Heading3"/>
      </w:pPr>
      <w:r>
        <w:rPr>
          <w:rStyle w:val="SectionNumber"/>
        </w:rPr>
        <w:t xml:space="preserve">9.0.2</w:t>
      </w:r>
      <w:r>
        <w:tab/>
      </w:r>
      <w:r>
        <w:t xml:space="preserve">Recetarios Oficiales</w:t>
      </w:r>
    </w:p>
    <w:p>
      <w:pPr>
        <w:pStyle w:val="FirstParagraph"/>
      </w:pPr>
      <w:r>
        <w:t xml:space="preserve">Tras la recolección de información en el territorio nacional, se encontró que hay fortalezas y debilidades en los departamentos respecto al manejo de los recetarios. Por ende, se hace necesario realizar unos lineamientos técnicos para tener en cuenta y ser adoptados dentro de los entes territoriales, de los cuales se resaltan:</w:t>
      </w:r>
    </w:p>
    <w:p>
      <w:pPr>
        <w:numPr>
          <w:ilvl w:val="0"/>
          <w:numId w:val="1027"/>
        </w:numPr>
      </w:pPr>
      <w:r>
        <w:t xml:space="preserve">Tener una espacio exclusivo y seguro para el almacenamiento de los recetarios, en el cual sólo se tenga acceso cierto personal del FRE.</w:t>
      </w:r>
    </w:p>
    <w:p>
      <w:pPr>
        <w:numPr>
          <w:ilvl w:val="0"/>
          <w:numId w:val="1027"/>
        </w:numPr>
      </w:pPr>
      <w:r>
        <w:t xml:space="preserve">Realizar un seguimiento de los recetarios por medio de la codificación al momento de venderse, puesto que al no llevar registro de los mismos hay una posibilidad de falsificación y/o desvío.</w:t>
      </w:r>
    </w:p>
    <w:p>
      <w:pPr>
        <w:numPr>
          <w:ilvl w:val="0"/>
          <w:numId w:val="1027"/>
        </w:numPr>
      </w:pPr>
      <w:r>
        <w:t xml:space="preserve">Tratar de implementar medidas de seguridad más altas, elevando el nivel de confianza del recetario. En los departamentos donde sólo hay 1 o 2 litografías, se aconseja hablar con dichos proveedores para llegar a un acuerdo de que medidas pueden adicionarse en el recetario. Por ejemplo, adicionar microtextos en cada copia del recetario.</w:t>
      </w:r>
    </w:p>
    <w:p>
      <w:pPr>
        <w:numPr>
          <w:ilvl w:val="0"/>
          <w:numId w:val="1027"/>
        </w:numPr>
      </w:pPr>
      <w:r>
        <w:t xml:space="preserve">Seguir las circulares emitidas por el FNE relacionado con el almacenamiento de los recetarios diligenciados, liberándose de espacio en los entes territoriales y teniendo un lugar de trabajo más óptimo.</w:t>
      </w:r>
    </w:p>
    <w:p>
      <w:pPr>
        <w:numPr>
          <w:ilvl w:val="0"/>
          <w:numId w:val="1027"/>
        </w:numPr>
      </w:pPr>
      <w:r>
        <w:t xml:space="preserve">Tener niveles de seguridad para realizar la compra de nuevos recetarios, evitando desabastecimientos y llegando a planes de contingencia que pueden llegar a ser reprocesos en los entes territoriales.</w:t>
      </w:r>
    </w:p>
    <w:bookmarkEnd w:id="224"/>
    <w:bookmarkStart w:id="225" w:name="medicamentos"/>
    <w:p>
      <w:pPr>
        <w:pStyle w:val="Heading3"/>
      </w:pPr>
      <w:r>
        <w:rPr>
          <w:rStyle w:val="SectionNumber"/>
        </w:rPr>
        <w:t xml:space="preserve">9.0.3</w:t>
      </w:r>
      <w:r>
        <w:tab/>
      </w:r>
      <w:r>
        <w:t xml:space="preserve">Medicamentos</w:t>
      </w:r>
    </w:p>
    <w:p>
      <w:pPr>
        <w:pStyle w:val="FirstParagraph"/>
      </w:pPr>
      <w:r>
        <w:t xml:space="preserve">Los procesos relacionados con medicamentos monopolio del Estado son una parte fundamental de las actividades de los FRE. A partir del diagnóstico de varios aspectos operativos de estos procesos se realizan las siguientes recomendaciones.</w:t>
      </w:r>
    </w:p>
    <w:p>
      <w:pPr>
        <w:numPr>
          <w:ilvl w:val="0"/>
          <w:numId w:val="1028"/>
        </w:numPr>
      </w:pPr>
      <w:r>
        <w:t xml:space="preserve">Usar herramientas informáticas que permitan tener un mejor manejo de trazabilidad del inventario.</w:t>
      </w:r>
    </w:p>
    <w:p>
      <w:pPr>
        <w:numPr>
          <w:ilvl w:val="0"/>
          <w:numId w:val="1028"/>
        </w:numPr>
      </w:pPr>
      <w:r>
        <w:t xml:space="preserve">Revisar las cantidades de pedido de los productos teniendo en cuenta consideraciones de demanda, costos, y nivel de servicio, y en la medida de lo posible coordinar el manejo de inventario con el FNE.</w:t>
      </w:r>
    </w:p>
    <w:p>
      <w:pPr>
        <w:numPr>
          <w:ilvl w:val="0"/>
          <w:numId w:val="1028"/>
        </w:numPr>
      </w:pPr>
      <w:r>
        <w:t xml:space="preserve">Actualizar los equipos de cómputo en el FRE que deben estar en cantidad suficiente de forma que permitan realizar un control del inventario.</w:t>
      </w:r>
    </w:p>
    <w:p>
      <w:pPr>
        <w:numPr>
          <w:ilvl w:val="0"/>
          <w:numId w:val="1028"/>
        </w:numPr>
      </w:pPr>
      <w:r>
        <w:t xml:space="preserve">Mejorar la coordinación entre FRE y sus gobernaciones correspondientes para disminuir los tiempos relacionados al proceso de adquisición (p.ej. contratación de bienes y el uso de la plataforma Colombia Compra Eficiente).</w:t>
      </w:r>
    </w:p>
    <w:p>
      <w:pPr>
        <w:numPr>
          <w:ilvl w:val="0"/>
          <w:numId w:val="1028"/>
        </w:numPr>
      </w:pPr>
      <w:r>
        <w:t xml:space="preserve">Implementar un adecuado proceso de recepción técnica con inspección a niveles de 100% o utilización de planes de muestreo como el expuesto por la tabla militar estándar.</w:t>
      </w:r>
    </w:p>
    <w:p>
      <w:pPr>
        <w:numPr>
          <w:ilvl w:val="0"/>
          <w:numId w:val="1028"/>
        </w:numPr>
      </w:pPr>
      <w:r>
        <w:t xml:space="preserve">Seguir con buenas prácticas de almacenamiento de los medicamentos evitando utilizar los lugares destinados para esto con otros fines.</w:t>
      </w:r>
    </w:p>
    <w:p>
      <w:pPr>
        <w:numPr>
          <w:ilvl w:val="0"/>
          <w:numId w:val="1028"/>
        </w:numPr>
      </w:pPr>
      <w:r>
        <w:t xml:space="preserve">Comunicar de manera eficiente y oportuna sobre problemas relacionados con la distribución de MME por parte del FNE.</w:t>
      </w:r>
    </w:p>
    <w:p>
      <w:pPr>
        <w:numPr>
          <w:ilvl w:val="0"/>
          <w:numId w:val="1028"/>
        </w:numPr>
      </w:pPr>
      <w:r>
        <w:t xml:space="preserve">Realizar ajustes en los esquemas de precios por parte del FNE para disminuir la utilización del canal de compra directa.</w:t>
      </w:r>
    </w:p>
    <w:p>
      <w:pPr>
        <w:numPr>
          <w:ilvl w:val="0"/>
          <w:numId w:val="1028"/>
        </w:numPr>
      </w:pPr>
      <w:r>
        <w:t xml:space="preserve">Establecer mecanismos para la armonización de los precios de ventas de medicamentos de acuerdo a factores como distancia, costos de transporte o mantenimientos ya que los resultados no indican aumentos en los precios debido a este tipo de variables.</w:t>
      </w:r>
    </w:p>
    <w:bookmarkEnd w:id="225"/>
    <w:bookmarkStart w:id="226" w:name="informes"/>
    <w:p>
      <w:pPr>
        <w:pStyle w:val="Heading3"/>
      </w:pPr>
      <w:r>
        <w:rPr>
          <w:rStyle w:val="SectionNumber"/>
        </w:rPr>
        <w:t xml:space="preserve">9.0.4</w:t>
      </w:r>
      <w:r>
        <w:tab/>
      </w:r>
      <w:r>
        <w:t xml:space="preserve">Informes</w:t>
      </w:r>
    </w:p>
    <w:p>
      <w:pPr>
        <w:pStyle w:val="FirstParagraph"/>
      </w:pPr>
      <w:r>
        <w:t xml:space="preserve">El diligenciamiento de los informes por parte de las instituciones inscritas en cada territorio y los FRE, es un elemento importante para conocer la distribución y consumo de MME en cada departamento. Por lo tanto, las recomendaciones enlistadas a continuación están enfocadas a optimizar este proceso interno en cada FRE, cuyo resultado es el insumo fundamental para el análisis de la proyección de consumo de MME a nivel nacional.</w:t>
      </w:r>
    </w:p>
    <w:p>
      <w:pPr>
        <w:numPr>
          <w:ilvl w:val="0"/>
          <w:numId w:val="1029"/>
        </w:numPr>
      </w:pPr>
      <w:r>
        <w:t xml:space="preserve">Exigir a las instituciones inscritas un formato único estandarizado digital para enviar los informes mensuales, referentes al Anexo 13 de la Resolución 1478 de 2006. Preferiblemente se debe enviar el archivo en formato PDF y Excel para la WW de los datos, por parte del personal del FRE. Además, con este requisito se asegura la integridad de la información.</w:t>
      </w:r>
    </w:p>
    <w:p>
      <w:pPr>
        <w:numPr>
          <w:ilvl w:val="0"/>
          <w:numId w:val="1029"/>
        </w:numPr>
      </w:pPr>
      <w:r>
        <w:t xml:space="preserve">Designar la consolidación de los informes y el diligenciamiento de anexos como una responsabilidad exclusiva del FRE. Si esta actividad es asignada al personal nombrado del FRE, deben incluir la responsabilidad en su nombramiento. Por el contrario, si esta actividad es responsabilidad de algún contratista, se debe garantizar la suficiente vigencia del contrato y que la actividad y diligenciamiento de anexos, se contemple desde el objeto del mismo. Lo anterior, asegura un seguimiento y control adecuado en la consolidación de los informes.</w:t>
      </w:r>
    </w:p>
    <w:p>
      <w:pPr>
        <w:numPr>
          <w:ilvl w:val="0"/>
          <w:numId w:val="1029"/>
        </w:numPr>
      </w:pPr>
      <w:r>
        <w:t xml:space="preserve">Asegurar que el envío de informes mensuales, se haga en el tiempo estipulado según la Resolución 1479 de 2006. Esta actividad debe considerándose como un indicador de buena gestión al interior del ente territorial.</w:t>
      </w:r>
    </w:p>
    <w:bookmarkEnd w:id="226"/>
    <w:bookmarkStart w:id="227" w:name="X449bd53291c77e168c298b8b7db11f1bda6af67"/>
    <w:p>
      <w:pPr>
        <w:pStyle w:val="Heading3"/>
      </w:pPr>
      <w:r>
        <w:rPr>
          <w:rStyle w:val="SectionNumber"/>
        </w:rPr>
        <w:t xml:space="preserve">9.0.5</w:t>
      </w:r>
      <w:r>
        <w:tab/>
      </w:r>
      <w:r>
        <w:t xml:space="preserve">Ruta tecnológica y control de la información</w:t>
      </w:r>
    </w:p>
    <w:p>
      <w:pPr>
        <w:pStyle w:val="FirstParagraph"/>
      </w:pPr>
      <w:r>
        <w:t xml:space="preserve">La infraestructura tecnológica es otro aspecto primordial para el desarrollo de las actividades internas de los FRE, cumpliendo con sus funciones misionales como ente territorial. Los recursos tecnológicos permiten que el personal del FRE se apoye en buenos sistemas de información, los cuales brindan mayor precisión y exactitud en las actividades internas del ente territorial. A continuación, se muestran los lineamientos y recomendaciones referente la infraestructura tecnológica de los FRE:</w:t>
      </w:r>
    </w:p>
    <w:p>
      <w:pPr>
        <w:numPr>
          <w:ilvl w:val="0"/>
          <w:numId w:val="1030"/>
        </w:numPr>
      </w:pPr>
      <w:r>
        <w:t xml:space="preserve">Adecuar un (1) computador en óptimas condiciones, para adelantar las principales tareas y cumplir las funciones estipuladas en la Resolución 1479 del 2006.</w:t>
      </w:r>
    </w:p>
    <w:p>
      <w:pPr>
        <w:numPr>
          <w:ilvl w:val="0"/>
          <w:numId w:val="1030"/>
        </w:numPr>
      </w:pPr>
      <w:r>
        <w:t xml:space="preserve">Garantizar la exclusividad que deben tener los equipos de cómputo del FRE. Este recurso no debe ser compartido con otras dependencias de la Dirección Departamental de Salud. Lo anterior, asegura la disponibilidad completa del equipo de cómputo para el personal del FRE, contemplando igualmente los requisitos mínimos referentes a la seguridad de la información.</w:t>
      </w:r>
    </w:p>
    <w:p>
      <w:pPr>
        <w:numPr>
          <w:ilvl w:val="0"/>
          <w:numId w:val="1030"/>
        </w:numPr>
      </w:pPr>
      <w:r>
        <w:t xml:space="preserve">Armonizar las bases de datos de los FRE para que, en la medida de la posibilidad, toda la información este en formato digital y exista un respaldo de la misma por medio de Backups en el FRE. Lo anterior, con el fin de evitar pérdida de la información o enmiendas en documentos físicos.</w:t>
      </w:r>
    </w:p>
    <w:bookmarkEnd w:id="227"/>
    <w:bookmarkEnd w:id="228"/>
    <w:bookmarkStart w:id="229" w:name="glosario"/>
    <w:p>
      <w:pPr>
        <w:pStyle w:val="Heading1"/>
      </w:pPr>
      <w:r>
        <w:t xml:space="preserve">Glosario</w:t>
      </w:r>
    </w:p>
    <w:p>
      <w:pPr>
        <w:numPr>
          <w:ilvl w:val="0"/>
          <w:numId w:val="1031"/>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hyperlink w:anchor="ref-INVIMA2021-ALERTAS">
        <w:r>
          <w:rPr>
            <w:rStyle w:val="Hyperlink"/>
            <w:vertAlign w:val="superscript"/>
          </w:rPr>
          <w:t xml:space="preserve">47</w:t>
        </w:r>
      </w:hyperlink>
      <w:r>
        <w:t xml:space="preserve">.</w:t>
      </w:r>
    </w:p>
    <w:p>
      <w:pPr>
        <w:numPr>
          <w:ilvl w:val="0"/>
          <w:numId w:val="1031"/>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FRE no cuenta con inventario suficiente de los MME que se necesitan.</w:t>
      </w:r>
    </w:p>
    <w:p>
      <w:pPr>
        <w:numPr>
          <w:ilvl w:val="0"/>
          <w:numId w:val="1031"/>
        </w:numPr>
      </w:pPr>
      <w:r>
        <w:rPr>
          <w:bCs/>
          <w:b/>
        </w:rPr>
        <w:t xml:space="preserve">Desabastecimiento</w:t>
      </w:r>
      <w:r>
        <w:t xml:space="preserve">: situación en la cual se presenta una insuficiente oferta para satisfacer la demanda de un producto farmacéutico que ya ha sido aprobado por el INVIMA y comercializado en el país</w:t>
      </w:r>
      <w:hyperlink w:anchor="ref-INVIMA2018-Desabast">
        <w:r>
          <w:rPr>
            <w:rStyle w:val="Hyperlink"/>
            <w:vertAlign w:val="superscript"/>
          </w:rPr>
          <w:t xml:space="preserve">25</w:t>
        </w:r>
      </w:hyperlink>
      <w:r>
        <w:t xml:space="preserve">.</w:t>
      </w:r>
    </w:p>
    <w:p>
      <w:pPr>
        <w:numPr>
          <w:ilvl w:val="0"/>
          <w:numId w:val="1031"/>
        </w:numPr>
      </w:pPr>
      <w:r>
        <w:rPr>
          <w:bCs/>
          <w:b/>
        </w:rPr>
        <w:t xml:space="preserve">Disponibilidad</w:t>
      </w:r>
      <w:r>
        <w:t xml:space="preserve">: condición en la cual se cuentan con existencias del medicamento en el territorio nacional.</w:t>
      </w:r>
    </w:p>
    <w:p>
      <w:pPr>
        <w:numPr>
          <w:ilvl w:val="0"/>
          <w:numId w:val="1031"/>
        </w:numPr>
      </w:pPr>
      <w:r>
        <w:rPr>
          <w:bCs/>
          <w:b/>
        </w:rPr>
        <w:t xml:space="preserve">Farmacovigilancia</w:t>
      </w:r>
      <w:r>
        <w:t xml:space="preserve">: ciencia y actividades relacionadas con la detección, evaluación, comprensión y prevención de eventos adversos o de cualquier otro problema relacionado con medicamentos</w:t>
      </w:r>
      <w:hyperlink w:anchor="ref-INVIMA2006-FV">
        <w:r>
          <w:rPr>
            <w:rStyle w:val="Hyperlink"/>
            <w:vertAlign w:val="superscript"/>
          </w:rPr>
          <w:t xml:space="preserve">48</w:t>
        </w:r>
      </w:hyperlink>
      <w:r>
        <w:t xml:space="preserve">.</w:t>
      </w:r>
    </w:p>
    <w:p>
      <w:pPr>
        <w:numPr>
          <w:ilvl w:val="0"/>
          <w:numId w:val="1031"/>
        </w:numPr>
      </w:pPr>
      <w:r>
        <w:rPr>
          <w:bCs/>
          <w:b/>
        </w:rPr>
        <w:t xml:space="preserve">Fondo Nacional de Estupefacientes</w:t>
      </w:r>
      <w:r>
        <w:t xml:space="preserve">: es una Unidad Administrativa Especial creada por la Ley 36 de 1939 con asignaciones dadas por el Decreto-Ley 257 de 1969, según el Decreto 205 de 2003 funciona como una UAE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31"/>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hyperlink w:anchor="ref-MSPS1479-2006">
        <w:r>
          <w:rPr>
            <w:rStyle w:val="Hyperlink"/>
            <w:vertAlign w:val="superscript"/>
          </w:rPr>
          <w:t xml:space="preserve">2</w:t>
        </w:r>
      </w:hyperlink>
      <w:r>
        <w:t xml:space="preserve">.</w:t>
      </w:r>
    </w:p>
    <w:p>
      <w:pPr>
        <w:numPr>
          <w:ilvl w:val="0"/>
          <w:numId w:val="1031"/>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hyperlink w:anchor="ref-MSPS1478-2006">
        <w:r>
          <w:rPr>
            <w:rStyle w:val="Hyperlink"/>
            <w:vertAlign w:val="superscript"/>
          </w:rPr>
          <w:t xml:space="preserve">1</w:t>
        </w:r>
      </w:hyperlink>
      <w:r>
        <w:t xml:space="preserve">.</w:t>
      </w:r>
    </w:p>
    <w:p>
      <w:pPr>
        <w:numPr>
          <w:ilvl w:val="0"/>
          <w:numId w:val="1031"/>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hyperlink w:anchor="ref-MSPS1478-2006">
        <w:r>
          <w:rPr>
            <w:rStyle w:val="Hyperlink"/>
            <w:vertAlign w:val="superscript"/>
          </w:rPr>
          <w:t xml:space="preserve">1</w:t>
        </w:r>
      </w:hyperlink>
      <w:r>
        <w:t xml:space="preserve">.</w:t>
      </w:r>
    </w:p>
    <w:p>
      <w:pPr>
        <w:numPr>
          <w:ilvl w:val="0"/>
          <w:numId w:val="1031"/>
        </w:numPr>
      </w:pPr>
      <w:r>
        <w:rPr>
          <w:bCs/>
          <w:b/>
        </w:rPr>
        <w:t xml:space="preserve">Medicamento Monopolio del Estado (MME)</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31"/>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hyperlink w:anchor="ref-MSPS1478-2006">
        <w:r>
          <w:rPr>
            <w:rStyle w:val="Hyperlink"/>
            <w:vertAlign w:val="superscript"/>
          </w:rPr>
          <w:t xml:space="preserve">1</w:t>
        </w:r>
      </w:hyperlink>
      <w:r>
        <w:t xml:space="preserve">.</w:t>
      </w:r>
    </w:p>
    <w:p>
      <w:pPr>
        <w:numPr>
          <w:ilvl w:val="0"/>
          <w:numId w:val="1031"/>
        </w:numPr>
      </w:pPr>
      <w:r>
        <w:rPr>
          <w:bCs/>
          <w:b/>
        </w:rPr>
        <w:t xml:space="preserve">Monopolio del Estado</w:t>
      </w:r>
      <w:r>
        <w:t xml:space="preserve">: derecho poseído de exclusividad por el Estado</w:t>
      </w:r>
      <w:hyperlink w:anchor="ref-MSPS1478-2006">
        <w:r>
          <w:rPr>
            <w:rStyle w:val="Hyperlink"/>
            <w:vertAlign w:val="superscript"/>
          </w:rPr>
          <w:t xml:space="preserve">1</w:t>
        </w:r>
      </w:hyperlink>
      <w:r>
        <w:t xml:space="preserve">.</w:t>
      </w:r>
    </w:p>
    <w:p>
      <w:pPr>
        <w:numPr>
          <w:ilvl w:val="0"/>
          <w:numId w:val="1031"/>
        </w:numPr>
      </w:pPr>
      <w:r>
        <w:rPr>
          <w:bCs/>
          <w:b/>
        </w:rPr>
        <w:t xml:space="preserve">Principio Activo</w:t>
      </w:r>
      <w:r>
        <w:t xml:space="preserve">: compuesto o mezcla de compuestos que tienen acción farmacológica</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hyperlink w:anchor="ref-MSPS1478-2006">
        <w:r>
          <w:rPr>
            <w:rStyle w:val="Hyperlink"/>
            <w:vertAlign w:val="superscript"/>
          </w:rPr>
          <w:t xml:space="preserve">1</w:t>
        </w:r>
      </w:hyperlink>
      <w:r>
        <w:t xml:space="preserve">.</w:t>
      </w:r>
    </w:p>
    <w:p>
      <w:pPr>
        <w:numPr>
          <w:ilvl w:val="0"/>
          <w:numId w:val="1031"/>
        </w:numPr>
      </w:pPr>
      <w:r>
        <w:rPr>
          <w:bCs/>
          <w:b/>
        </w:rPr>
        <w:t xml:space="preserve">Recetario Oficial Electrónico (ROE)</w:t>
      </w:r>
      <w:r>
        <w:t xml:space="preserve">: documento electrónico que se pretende parametrizar en todos los FRE, con el fin de fortalecer el seguimiento a las prescripciones de MME, encaminados al uso racional de estos medicamentos en todo el territorio nacional</w:t>
      </w:r>
      <w:hyperlink w:anchor="ref-CuervoBustamante2021">
        <w:r>
          <w:rPr>
            <w:rStyle w:val="Hyperlink"/>
            <w:vertAlign w:val="superscript"/>
          </w:rPr>
          <w:t xml:space="preserve">13</w:t>
        </w:r>
      </w:hyperlink>
      <w:r>
        <w:t xml:space="preserve">.</w:t>
      </w:r>
    </w:p>
    <w:p>
      <w:pPr>
        <w:numPr>
          <w:ilvl w:val="0"/>
          <w:numId w:val="1031"/>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hyperlink w:anchor="ref-MSPS1478-2006">
        <w:r>
          <w:rPr>
            <w:rStyle w:val="Hyperlink"/>
            <w:vertAlign w:val="superscript"/>
          </w:rPr>
          <w:t xml:space="preserve">1</w:t>
        </w:r>
      </w:hyperlink>
      <w:r>
        <w:t xml:space="preserve">.</w:t>
      </w:r>
    </w:p>
    <w:p>
      <w:pPr>
        <w:numPr>
          <w:ilvl w:val="0"/>
          <w:numId w:val="1031"/>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31"/>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31"/>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29"/>
    <w:bookmarkStart w:id="232" w:name="créditos"/>
    <w:p>
      <w:pPr>
        <w:pStyle w:val="Heading1"/>
      </w:pPr>
      <w:r>
        <w:t xml:space="preserve">Créditos</w:t>
      </w:r>
    </w:p>
    <w:bookmarkStart w:id="230"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30"/>
    <w:bookmarkStart w:id="231" w:name="agradecimientos"/>
    <w:p>
      <w:pPr>
        <w:pStyle w:val="Heading3"/>
      </w:pPr>
      <w:r>
        <w:t xml:space="preserve">Agradecimientos</w:t>
      </w:r>
    </w:p>
    <w:p>
      <w:pPr>
        <w:pStyle w:val="FirstParagraph"/>
      </w:pPr>
      <w:r>
        <w:t xml:space="preserve">Agradecemos profundamente al Departamento Nacional de Planeación (DNP) por la inversión realizada a través del Proyecto de Inversión BPIN 2020011000020.</w:t>
      </w:r>
    </w:p>
    <w:p>
      <w:pPr>
        <w:pStyle w:val="BodyText"/>
      </w:pPr>
      <w:r>
        <w:t xml:space="preserve">Agradecemos a nuestra directora la Dra. Zoraya López Díaz por su compromiso con los proyectos de inversión y su entusiasmo por el trabajo territorial llevado a cabo por nuestro equipo.</w:t>
      </w:r>
    </w:p>
    <w:p>
      <w:pPr>
        <w:pStyle w:val="BodyText"/>
      </w:pPr>
      <w:r>
        <w:t xml:space="preserve">Agradecemos a Jonathan Alberto Peñaranda Téllez, Daniela Martínez Castillo y Aida Murma Cabezas Quintero del grupo de Regionalización del FNE por el acompañamiento y durante la realización de estas encuestas. Agradecemos a Cesar Chavarro del Grupo Interno de Medicamentos del Estado del FNE por las ideas aportadas en la formulación del proyecto y realización de esta encuesta.</w:t>
      </w:r>
    </w:p>
    <w:p>
      <w:pPr>
        <w:pStyle w:val="BodyText"/>
      </w:pPr>
      <w:r>
        <w:t xml:space="preserve">Agradecemos a los Grupos Interno de Trabajo del Fondo Nacional de Estupefacientes por brindarnos su apoyo en las diversas actividades relacionadas a acceso, contratación, viáticos, desplazamientos, y apoyo técnico en general.</w:t>
      </w:r>
    </w:p>
    <w:p>
      <w:pPr>
        <w:pStyle w:val="BodyText"/>
      </w:pPr>
      <w:r>
        <w:t xml:space="preserve">Agradecemos profundamente a los siguientes funcionarios por recibir y contestar de manera atenta las preguntas de la encuesta:</w:t>
      </w:r>
    </w:p>
    <w:p>
      <w:pPr>
        <w:numPr>
          <w:ilvl w:val="0"/>
          <w:numId w:val="1032"/>
        </w:numPr>
      </w:pPr>
      <w:r>
        <w:t xml:space="preserve">Heliodoro Kerguelen y Erick Novoa (FRE Córdoba)</w:t>
      </w:r>
    </w:p>
    <w:p>
      <w:pPr>
        <w:numPr>
          <w:ilvl w:val="0"/>
          <w:numId w:val="1032"/>
        </w:numPr>
      </w:pPr>
      <w:r>
        <w:t xml:space="preserve">Jovana Vitola Julio, Leidy Llorente Villadiego y Dilia Borge Bonadiez (FRE Atlántico)</w:t>
      </w:r>
    </w:p>
    <w:p>
      <w:pPr>
        <w:numPr>
          <w:ilvl w:val="0"/>
          <w:numId w:val="1032"/>
        </w:numPr>
      </w:pPr>
      <w:r>
        <w:t xml:space="preserve">Paola Andrea Gómez Llano (FRE Antioquia)</w:t>
      </w:r>
    </w:p>
    <w:p>
      <w:pPr>
        <w:numPr>
          <w:ilvl w:val="0"/>
          <w:numId w:val="1032"/>
        </w:numPr>
      </w:pPr>
      <w:r>
        <w:t xml:space="preserve">Rafael Tapia Buendia (FRE Magdalena)</w:t>
      </w:r>
    </w:p>
    <w:p>
      <w:pPr>
        <w:numPr>
          <w:ilvl w:val="0"/>
          <w:numId w:val="1032"/>
        </w:numPr>
      </w:pPr>
      <w:r>
        <w:t xml:space="preserve">Maria Eugenia Barrios (FRE Bolivar)</w:t>
      </w:r>
    </w:p>
    <w:p>
      <w:pPr>
        <w:numPr>
          <w:ilvl w:val="0"/>
          <w:numId w:val="1032"/>
        </w:numPr>
      </w:pPr>
      <w:r>
        <w:t xml:space="preserve">Amilcar Marquez (FRE Norte De Santander)</w:t>
      </w:r>
    </w:p>
    <w:p>
      <w:pPr>
        <w:numPr>
          <w:ilvl w:val="0"/>
          <w:numId w:val="1032"/>
        </w:numPr>
      </w:pPr>
      <w:r>
        <w:t xml:space="preserve">Diana Carolina Valbuena Sterling y Edimer Covaleda Yustres (FRE Huila)</w:t>
      </w:r>
    </w:p>
    <w:p>
      <w:pPr>
        <w:numPr>
          <w:ilvl w:val="0"/>
          <w:numId w:val="1032"/>
        </w:numPr>
      </w:pPr>
      <w:r>
        <w:t xml:space="preserve">Julieta Palacios Pinzón y Jonathan Sánchez Mateus (FRE Casanare)</w:t>
      </w:r>
    </w:p>
    <w:p>
      <w:pPr>
        <w:numPr>
          <w:ilvl w:val="0"/>
          <w:numId w:val="1032"/>
        </w:numPr>
      </w:pPr>
      <w:r>
        <w:t xml:space="preserve">Marly Julieth Espitia y Stella Torres Sanabria (FRE Tolima)</w:t>
      </w:r>
    </w:p>
    <w:p>
      <w:pPr>
        <w:numPr>
          <w:ilvl w:val="0"/>
          <w:numId w:val="1032"/>
        </w:numPr>
      </w:pPr>
      <w:r>
        <w:t xml:space="preserve">Adriana María Murillo (FRE Quindío)</w:t>
      </w:r>
    </w:p>
    <w:p>
      <w:pPr>
        <w:numPr>
          <w:ilvl w:val="0"/>
          <w:numId w:val="1032"/>
        </w:numPr>
      </w:pPr>
      <w:r>
        <w:t xml:space="preserve">Sara Bacares y Pilar Pacheco (FRE Boyacá)</w:t>
      </w:r>
    </w:p>
    <w:p>
      <w:pPr>
        <w:numPr>
          <w:ilvl w:val="0"/>
          <w:numId w:val="1032"/>
        </w:numPr>
      </w:pPr>
      <w:r>
        <w:t xml:space="preserve">Andrea Porras (FRE Valle Del Cauca)</w:t>
      </w:r>
    </w:p>
    <w:p>
      <w:pPr>
        <w:numPr>
          <w:ilvl w:val="0"/>
          <w:numId w:val="1032"/>
        </w:numPr>
      </w:pPr>
      <w:r>
        <w:t xml:space="preserve">Juan David Apraez (FRE Putumayo)</w:t>
      </w:r>
    </w:p>
    <w:p>
      <w:pPr>
        <w:numPr>
          <w:ilvl w:val="0"/>
          <w:numId w:val="1032"/>
        </w:numPr>
      </w:pPr>
      <w:r>
        <w:t xml:space="preserve">Andrés Alexander Benavides Salazar y Zully Bolaños Guerrero (FRE Nariño)</w:t>
      </w:r>
    </w:p>
    <w:p>
      <w:pPr>
        <w:numPr>
          <w:ilvl w:val="0"/>
          <w:numId w:val="1032"/>
        </w:numPr>
      </w:pPr>
      <w:r>
        <w:t xml:space="preserve">Silvia Espitia Vergara y Greici Castilla (FRE Cauca)</w:t>
      </w:r>
    </w:p>
    <w:p>
      <w:pPr>
        <w:numPr>
          <w:ilvl w:val="0"/>
          <w:numId w:val="1032"/>
        </w:numPr>
      </w:pPr>
      <w:r>
        <w:t xml:space="preserve">Sara Ramírez Acosta (FRE Vichada)</w:t>
      </w:r>
    </w:p>
    <w:p>
      <w:pPr>
        <w:numPr>
          <w:ilvl w:val="0"/>
          <w:numId w:val="1032"/>
        </w:numPr>
      </w:pPr>
      <w:r>
        <w:t xml:space="preserve">Enith Del Carmen Gil y Milena Arnero (FRE Sucre)</w:t>
      </w:r>
    </w:p>
    <w:p>
      <w:pPr>
        <w:numPr>
          <w:ilvl w:val="0"/>
          <w:numId w:val="1032"/>
        </w:numPr>
      </w:pPr>
      <w:r>
        <w:t xml:space="preserve">Carlos Manuel Cantillo (FRE Chocó)</w:t>
      </w:r>
    </w:p>
    <w:p>
      <w:pPr>
        <w:numPr>
          <w:ilvl w:val="0"/>
          <w:numId w:val="1032"/>
        </w:numPr>
      </w:pPr>
      <w:r>
        <w:t xml:space="preserve">Dina Luz Gómez Mena y Dairys Isabel Medina Cujia (FRE Cesar)</w:t>
      </w:r>
    </w:p>
    <w:p>
      <w:pPr>
        <w:numPr>
          <w:ilvl w:val="0"/>
          <w:numId w:val="1032"/>
        </w:numPr>
      </w:pPr>
      <w:r>
        <w:t xml:space="preserve">Armando Pulido y Libardo Padilla Molina (FRE La Guajira)</w:t>
      </w:r>
    </w:p>
    <w:p>
      <w:pPr>
        <w:numPr>
          <w:ilvl w:val="0"/>
          <w:numId w:val="1032"/>
        </w:numPr>
      </w:pPr>
      <w:r>
        <w:t xml:space="preserve">Yudislay Prado Restrepo (FRE Caquetá)</w:t>
      </w:r>
    </w:p>
    <w:p>
      <w:pPr>
        <w:numPr>
          <w:ilvl w:val="0"/>
          <w:numId w:val="1032"/>
        </w:numPr>
      </w:pPr>
      <w:r>
        <w:t xml:space="preserve">Marcia Medina y Camilo Tananta (FRE Amazonas)</w:t>
      </w:r>
    </w:p>
    <w:p>
      <w:pPr>
        <w:numPr>
          <w:ilvl w:val="0"/>
          <w:numId w:val="1032"/>
        </w:numPr>
      </w:pPr>
      <w:r>
        <w:t xml:space="preserve">Luz Marina Hernández (FRE Risaralda)</w:t>
      </w:r>
    </w:p>
    <w:p>
      <w:pPr>
        <w:numPr>
          <w:ilvl w:val="0"/>
          <w:numId w:val="1032"/>
        </w:numPr>
      </w:pPr>
      <w:r>
        <w:t xml:space="preserve">Lourdres Cristina Tous Tous (FRE San Andrés, Providencia y Santa Catalina)</w:t>
      </w:r>
    </w:p>
    <w:p>
      <w:pPr>
        <w:numPr>
          <w:ilvl w:val="0"/>
          <w:numId w:val="1032"/>
        </w:numPr>
      </w:pPr>
      <w:r>
        <w:t xml:space="preserve">Brenda Colina Moreno y Kiara Bolívar (FRE Arauca)</w:t>
      </w:r>
    </w:p>
    <w:p>
      <w:pPr>
        <w:numPr>
          <w:ilvl w:val="0"/>
          <w:numId w:val="1032"/>
        </w:numPr>
      </w:pPr>
      <w:r>
        <w:t xml:space="preserve">Enna Rossana Ruiz (FRE Meta)</w:t>
      </w:r>
    </w:p>
    <w:p>
      <w:pPr>
        <w:numPr>
          <w:ilvl w:val="0"/>
          <w:numId w:val="1032"/>
        </w:numPr>
      </w:pPr>
      <w:r>
        <w:t xml:space="preserve">Ludy Rivera y Luis Felipe Salamanca (FRE Santander)</w:t>
      </w:r>
    </w:p>
    <w:p>
      <w:pPr>
        <w:numPr>
          <w:ilvl w:val="0"/>
          <w:numId w:val="1032"/>
        </w:numPr>
      </w:pPr>
      <w:r>
        <w:t xml:space="preserve">Ener Mauricio Hernández y Dany Leandro Hidalgo Méndez (FRE Guainia)</w:t>
      </w:r>
    </w:p>
    <w:p>
      <w:pPr>
        <w:numPr>
          <w:ilvl w:val="0"/>
          <w:numId w:val="1032"/>
        </w:numPr>
      </w:pPr>
      <w:r>
        <w:t xml:space="preserve">Gilberto Jimenez Jaramillo y Juan David Cadavid Rendón (FRE Caldas)</w:t>
      </w:r>
    </w:p>
    <w:p>
      <w:pPr>
        <w:numPr>
          <w:ilvl w:val="0"/>
          <w:numId w:val="1032"/>
        </w:numPr>
      </w:pPr>
      <w:r>
        <w:t xml:space="preserve">Gregorio Figueroa Cruz y Juan Pablo Arias (FRE Guaviare)</w:t>
      </w:r>
    </w:p>
    <w:p>
      <w:pPr>
        <w:numPr>
          <w:ilvl w:val="0"/>
          <w:numId w:val="1032"/>
        </w:numPr>
      </w:pPr>
      <w:r>
        <w:t xml:space="preserve">Leyda Lugo y Carlos Guzman (FRE Vaupés)</w:t>
      </w:r>
    </w:p>
    <w:bookmarkEnd w:id="231"/>
    <w:bookmarkEnd w:id="232"/>
    <w:bookmarkStart w:id="288" w:name="referencias"/>
    <w:p>
      <w:pPr>
        <w:pStyle w:val="Heading1"/>
      </w:pPr>
      <w:r>
        <w:t xml:space="preserve">Referencias</w:t>
      </w:r>
    </w:p>
    <w:bookmarkStart w:id="287" w:name="refs"/>
    <w:bookmarkStart w:id="233" w:name="ref-MSPS1478-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33"/>
    <w:bookmarkStart w:id="234" w:name="ref-MSPS1479-2006"/>
    <w:p>
      <w:pPr>
        <w:pStyle w:val="Bibliography"/>
      </w:pPr>
      <w:r>
        <w:t xml:space="preserve">2.</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34"/>
    <w:bookmarkStart w:id="235" w:name="ref-CongresodelaRepublica1974"/>
    <w:p>
      <w:pPr>
        <w:pStyle w:val="Bibliography"/>
      </w:pPr>
      <w:r>
        <w:t xml:space="preserve">3.</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35"/>
    <w:bookmarkStart w:id="236" w:name="ref-CongresodelaRepublicadeColombia1986"/>
    <w:p>
      <w:pPr>
        <w:pStyle w:val="Bibliography"/>
      </w:pPr>
      <w:r>
        <w:t xml:space="preserve">4.</w:t>
      </w:r>
      <w:r>
        <w:t xml:space="preserve"> </w:t>
      </w:r>
      <w:r>
        <w:t xml:space="preserve">	</w:t>
      </w:r>
      <w:r>
        <w:t xml:space="preserve">Congreso de la República de Colombia.</w:t>
      </w:r>
      <w:r>
        <w:t xml:space="preserve"> </w:t>
      </w:r>
      <w:r>
        <w:t xml:space="preserve">Ley 30 de 1986. Por la cual se adopta el Estatuto Nacional de Estupefacientes y se dictan otras disposiciones.</w:t>
      </w:r>
      <w:r>
        <w:t xml:space="preserve"> 1986.</w:t>
      </w:r>
    </w:p>
    <w:bookmarkEnd w:id="236"/>
    <w:bookmarkStart w:id="237" w:name="X9486f9f085ab4ce8af67cf8503137529dfa00a3"/>
    <w:p>
      <w:pPr>
        <w:pStyle w:val="Bibliography"/>
      </w:pPr>
      <w:r>
        <w:t xml:space="preserve">5.</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37"/>
    <w:bookmarkStart w:id="238" w:name="ref-DANE2021"/>
    <w:p>
      <w:pPr>
        <w:pStyle w:val="Bibliography"/>
      </w:pPr>
      <w:r>
        <w:t xml:space="preserve">6.</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38"/>
    <w:bookmarkStart w:id="239" w:name="Xbb42c6dc2d1342c743e0c6215925805950d2ff4"/>
    <w:p>
      <w:pPr>
        <w:pStyle w:val="Bibliography"/>
      </w:pPr>
      <w:r>
        <w:t xml:space="preserve">7.</w:t>
      </w:r>
      <w:r>
        <w:t xml:space="preserve"> </w:t>
      </w:r>
      <w:r>
        <w:t xml:space="preserve">	</w:t>
      </w:r>
      <w:r>
        <w:t xml:space="preserve">Dirección Prestación de Servicios y Atención Primaria.</w:t>
      </w:r>
      <w:r>
        <w:t xml:space="preserve"> </w:t>
      </w:r>
      <w:r>
        <w:t xml:space="preserve">Registro Especial de Prestadores de Servicios de Salud - REPS.</w:t>
      </w:r>
      <w:r>
        <w:t xml:space="preserve"> 2021.</w:t>
      </w:r>
    </w:p>
    <w:bookmarkEnd w:id="239"/>
    <w:bookmarkStart w:id="240" w:name="ref-MSPS2200-2005"/>
    <w:p>
      <w:pPr>
        <w:pStyle w:val="Bibliography"/>
      </w:pPr>
      <w:r>
        <w:t xml:space="preserve">8.</w:t>
      </w:r>
      <w:r>
        <w:t xml:space="preserve"> </w:t>
      </w:r>
      <w:r>
        <w:t xml:space="preserve">	</w:t>
      </w:r>
      <w:r>
        <w:t xml:space="preserve">Ministerio de la Protección Social.</w:t>
      </w:r>
      <w:r>
        <w:t xml:space="preserve"> </w:t>
      </w:r>
      <w:r>
        <w:t xml:space="preserve">Decreto 2200 de 2005. Por el cual se reglamenta el servicio farmac</w:t>
      </w:r>
      <w:r>
        <w:t xml:space="preserve">é</w:t>
      </w:r>
      <w:r>
        <w:t xml:space="preserve">utico y se dictan otras disposiciones.</w:t>
      </w:r>
      <w:r>
        <w:t xml:space="preserve"> 2005.</w:t>
      </w:r>
    </w:p>
    <w:bookmarkEnd w:id="240"/>
    <w:bookmarkStart w:id="241" w:name="ref-MinisteriodeRelacionesExteriores2014"/>
    <w:p>
      <w:pPr>
        <w:pStyle w:val="Bibliography"/>
      </w:pPr>
      <w:r>
        <w:t xml:space="preserve">9.</w:t>
      </w:r>
      <w:r>
        <w:t xml:space="preserve"> </w:t>
      </w:r>
      <w:r>
        <w:t xml:space="preserve">	</w:t>
      </w:r>
      <w:r>
        <w:t xml:space="preserve">Ministerio de Relaciones Exteriores., Ministerio de Transporte.</w:t>
      </w:r>
      <w:r>
        <w:t xml:space="preserve"> </w:t>
      </w:r>
      <w:r>
        <w:t xml:space="preserve">R</w:t>
      </w:r>
      <w:r>
        <w:t xml:space="preserve">é</w:t>
      </w:r>
      <w:r>
        <w:t xml:space="preserve">gimen Contractual en Colombia</w:t>
      </w:r>
      <w:r>
        <w:t xml:space="preserve">. 1.ª edición. Colombia; 2014.</w:t>
      </w:r>
    </w:p>
    <w:bookmarkEnd w:id="241"/>
    <w:bookmarkStart w:id="242" w:name="ref-ColombiaCompraEficiente2019"/>
    <w:p>
      <w:pPr>
        <w:pStyle w:val="Bibliography"/>
      </w:pPr>
      <w:r>
        <w:t xml:space="preserve">10.</w:t>
      </w:r>
      <w:r>
        <w:t xml:space="preserve"> </w:t>
      </w:r>
      <w:r>
        <w:t xml:space="preserve">	</w:t>
      </w:r>
      <w:r>
        <w:t xml:space="preserve">Colombia Compra Eficiente.</w:t>
      </w:r>
      <w:r>
        <w:t xml:space="preserve"> </w:t>
      </w:r>
      <w:r>
        <w:t xml:space="preserve">Manual de la Modalidad de Selecci</w:t>
      </w:r>
      <w:r>
        <w:t xml:space="preserve">ó</w:t>
      </w:r>
      <w:r>
        <w:t xml:space="preserve">n de M</w:t>
      </w:r>
      <w:r>
        <w:t xml:space="preserve">í</w:t>
      </w:r>
      <w:r>
        <w:t xml:space="preserve">nima Cuant</w:t>
      </w:r>
      <w:r>
        <w:t xml:space="preserve">í</w:t>
      </w:r>
      <w:r>
        <w:t xml:space="preserve">a</w:t>
      </w:r>
      <w:r>
        <w:t xml:space="preserve">. 1.ª edición. Bogot</w:t>
      </w:r>
      <w:r>
        <w:t xml:space="preserve">á</w:t>
      </w:r>
      <w:r>
        <w:t xml:space="preserve">, Colombia; 2019.</w:t>
      </w:r>
    </w:p>
    <w:bookmarkEnd w:id="242"/>
    <w:bookmarkStart w:id="243" w:name="ref-FNE2015-9"/>
    <w:p>
      <w:pPr>
        <w:pStyle w:val="Bibliography"/>
      </w:pPr>
      <w:r>
        <w:t xml:space="preserve">11.</w:t>
      </w:r>
      <w:r>
        <w:t xml:space="preserve"> </w:t>
      </w:r>
      <w:r>
        <w:t xml:space="preserve">	</w:t>
      </w:r>
      <w:r>
        <w:t xml:space="preserve">Fondo Nacional de Estupefacientes.</w:t>
      </w:r>
      <w:r>
        <w:t xml:space="preserve"> </w:t>
      </w:r>
      <w:r>
        <w:t xml:space="preserve">Circular Externa 009 de 2015. Conservaci</w:t>
      </w:r>
      <w:r>
        <w:t xml:space="preserve">ó</w:t>
      </w:r>
      <w:r>
        <w:t xml:space="preserve">n de copias del recetario oficial.</w:t>
      </w:r>
      <w:r>
        <w:t xml:space="preserve"> 2015.</w:t>
      </w:r>
    </w:p>
    <w:bookmarkEnd w:id="243"/>
    <w:bookmarkStart w:id="244" w:name="X4242f5a7e44b24d61e2675796eed085a7e5e2cf"/>
    <w:p>
      <w:pPr>
        <w:pStyle w:val="Bibliography"/>
      </w:pPr>
      <w:r>
        <w:t xml:space="preserve">12.</w:t>
      </w:r>
      <w:r>
        <w:t xml:space="preserve"> </w:t>
      </w:r>
      <w:r>
        <w:t xml:space="preserve">	</w:t>
      </w:r>
      <w:r>
        <w:t xml:space="preserve">Presidencia de la República de Colombia.</w:t>
      </w:r>
      <w:r>
        <w:t xml:space="preserve"> </w:t>
      </w:r>
      <w:r>
        <w:t xml:space="preserve">Decreto 2578 de 2012. Por el cual se reglamenta el Sistema Nacional de Archivos, se establece la Red Nacional de Archivos, se deroga el Decreto n</w:t>
      </w:r>
      <w:r>
        <w:t xml:space="preserve">ú</w:t>
      </w:r>
      <w:r>
        <w:t xml:space="preserve">mero 4124 de 2004 y se dictan otras disposiciones relativas a la administraci</w:t>
      </w:r>
      <w:r>
        <w:t xml:space="preserve">ó</w:t>
      </w:r>
      <w:r>
        <w:t xml:space="preserve">n de los archivos del Estado.</w:t>
      </w:r>
      <w:r>
        <w:t xml:space="preserve"> 2012.</w:t>
      </w:r>
    </w:p>
    <w:bookmarkEnd w:id="244"/>
    <w:bookmarkStart w:id="245" w:name="ref-CuervoBustamante2021"/>
    <w:p>
      <w:pPr>
        <w:pStyle w:val="Bibliography"/>
      </w:pPr>
      <w:r>
        <w:t xml:space="preserve">13.</w:t>
      </w:r>
      <w:r>
        <w:t xml:space="preserve"> </w:t>
      </w:r>
      <w:r>
        <w:t xml:space="preserve">	</w:t>
      </w:r>
      <w:r>
        <w:t xml:space="preserve">Cuervo Bustamante J., Acosta Pinto CA.</w:t>
      </w:r>
      <w:r>
        <w:t xml:space="preserve"> </w:t>
      </w:r>
      <w:r>
        <w:t xml:space="preserve">Proyecto Recetario Oficial - MiPRES: Informe T</w:t>
      </w:r>
      <w:r>
        <w:t xml:space="preserve">é</w:t>
      </w:r>
      <w:r>
        <w:t xml:space="preserve">cnico de Requerimientos Funcionales</w:t>
      </w:r>
      <w:r>
        <w:t xml:space="preserve">. 2021:1-0.</w:t>
      </w:r>
    </w:p>
    <w:bookmarkEnd w:id="245"/>
    <w:bookmarkStart w:id="246" w:name="ref-MSPS262-2009"/>
    <w:p>
      <w:pPr>
        <w:pStyle w:val="Bibliography"/>
      </w:pPr>
      <w:r>
        <w:t xml:space="preserve">14.</w:t>
      </w:r>
      <w:r>
        <w:t xml:space="preserve"> </w:t>
      </w:r>
      <w:r>
        <w:t xml:space="preserve">	</w:t>
      </w:r>
      <w:r>
        <w:t xml:space="preserve">Ministerio de la Protección Social.</w:t>
      </w:r>
      <w:r>
        <w:t xml:space="preserve"> </w:t>
      </w:r>
      <w:r>
        <w:t xml:space="preserve">Resoluci</w:t>
      </w:r>
      <w:r>
        <w:t xml:space="preserve">ó</w:t>
      </w:r>
      <w:r>
        <w:t xml:space="preserve">n 262 de 2009. Por la cual se adiciona el art</w:t>
      </w:r>
      <w:r>
        <w:t xml:space="preserve">í</w:t>
      </w:r>
      <w:r>
        <w:t xml:space="preserve">culo 6o de la Resoluci</w:t>
      </w:r>
      <w:r>
        <w:t xml:space="preserve">ó</w:t>
      </w:r>
      <w:r>
        <w:t xml:space="preserve">n 1478 de 2006, modificado por el art</w:t>
      </w:r>
      <w:r>
        <w:t xml:space="preserve">í</w:t>
      </w:r>
      <w:r>
        <w:t xml:space="preserve">culo 1o de la Resoluci</w:t>
      </w:r>
      <w:r>
        <w:t xml:space="preserve">ó</w:t>
      </w:r>
      <w:r>
        <w:t xml:space="preserve">n 940 de 2007.</w:t>
      </w:r>
      <w:r>
        <w:t xml:space="preserve"> 2009:1-2.</w:t>
      </w:r>
    </w:p>
    <w:bookmarkEnd w:id="246"/>
    <w:bookmarkStart w:id="247" w:name="ref-MSPS940-2007"/>
    <w:p>
      <w:pPr>
        <w:pStyle w:val="Bibliography"/>
      </w:pPr>
      <w:r>
        <w:t xml:space="preserve">15.</w:t>
      </w:r>
      <w:r>
        <w:t xml:space="preserve"> </w:t>
      </w:r>
      <w:r>
        <w:t xml:space="preserve">	</w:t>
      </w:r>
      <w:r>
        <w:t xml:space="preserve">Ministerio de la Protección Social.</w:t>
      </w:r>
      <w:r>
        <w:t xml:space="preserve"> </w:t>
      </w:r>
      <w:r>
        <w:t xml:space="preserve">Resoluci</w:t>
      </w:r>
      <w:r>
        <w:t xml:space="preserve">ó</w:t>
      </w:r>
      <w:r>
        <w:t xml:space="preserve">n 940 de 2007. Por la cual se modifican los art</w:t>
      </w:r>
      <w:r>
        <w:t xml:space="preserve">í</w:t>
      </w:r>
      <w:r>
        <w:t xml:space="preserve">culos 6° y 7° de la Resoluci</w:t>
      </w:r>
      <w:r>
        <w:t xml:space="preserve">ó</w:t>
      </w:r>
      <w:r>
        <w:t xml:space="preserve">n 001478 de 2006</w:t>
      </w:r>
      <w:r>
        <w:t xml:space="preserve">. 2007.</w:t>
      </w:r>
    </w:p>
    <w:bookmarkEnd w:id="247"/>
    <w:bookmarkStart w:id="248" w:name="ref-ColombiaCompraEficiente2021"/>
    <w:p>
      <w:pPr>
        <w:pStyle w:val="Bibliography"/>
      </w:pPr>
      <w:r>
        <w:t xml:space="preserve">16.</w:t>
      </w:r>
      <w:r>
        <w:t xml:space="preserve"> </w:t>
      </w:r>
      <w:r>
        <w:t xml:space="preserve">	</w:t>
      </w:r>
      <w:r>
        <w:t xml:space="preserve">Colombia Compra Eficiente.</w:t>
      </w:r>
      <w:r>
        <w:t xml:space="preserve"> </w:t>
      </w:r>
      <w:r>
        <w:t xml:space="preserve">Adquisici</w:t>
      </w:r>
      <w:r>
        <w:t xml:space="preserve">ó</w:t>
      </w:r>
      <w:r>
        <w:t xml:space="preserve">n de Medicamentos de Control Especial de Monopolio del Estado II</w:t>
      </w:r>
      <w:r>
        <w:t xml:space="preserve">. 2021.</w:t>
      </w:r>
    </w:p>
    <w:bookmarkEnd w:id="248"/>
    <w:bookmarkStart w:id="249" w:name="ref-LeonDelgado2018"/>
    <w:p>
      <w:pPr>
        <w:pStyle w:val="Bibliography"/>
      </w:pPr>
      <w:r>
        <w:t xml:space="preserve">17.</w:t>
      </w:r>
      <w:r>
        <w:t xml:space="preserve"> </w:t>
      </w:r>
      <w:r>
        <w:t xml:space="preserve">	</w:t>
      </w:r>
      <w:r>
        <w:t xml:space="preserve">León Delgado MX., Sánchez Cárdenas MA., Rodríguez Campos LF., Castañeda Álvarez E., Quintero Muñoz E.</w:t>
      </w:r>
      <w:r>
        <w:t xml:space="preserve"> </w:t>
      </w:r>
      <w:r>
        <w:t xml:space="preserve">Disponibilidad y accesibilidad a medicamentos opioides en Colombia</w:t>
      </w:r>
      <w:r>
        <w:t xml:space="preserve">. 2018.</w:t>
      </w:r>
    </w:p>
    <w:bookmarkEnd w:id="249"/>
    <w:bookmarkStart w:id="250" w:name="ref-Pastrana2020"/>
    <w:p>
      <w:pPr>
        <w:pStyle w:val="Bibliography"/>
      </w:pPr>
      <w:r>
        <w:t xml:space="preserve">18.</w:t>
      </w:r>
      <w:r>
        <w:t xml:space="preserve"> </w:t>
      </w:r>
      <w:r>
        <w:t xml:space="preserve">	</w:t>
      </w:r>
      <w:r>
        <w:t xml:space="preserve">Pastrana T., De Lima L., Pons JJ., Centeno C.</w:t>
      </w:r>
      <w:r>
        <w:t xml:space="preserve"> </w:t>
      </w:r>
      <w:r>
        <w:t xml:space="preserve">Atlas de Cuidados Paliativos en Latinoam</w:t>
      </w:r>
      <w:r>
        <w:t xml:space="preserve">é</w:t>
      </w:r>
      <w:r>
        <w:t xml:space="preserve">rica 2020 2a edicion</w:t>
      </w:r>
      <w:r>
        <w:t xml:space="preserve">. 2020.</w:t>
      </w:r>
    </w:p>
    <w:bookmarkEnd w:id="250"/>
    <w:bookmarkStart w:id="251" w:name="ref-WatsonLewis2014"/>
    <w:p>
      <w:pPr>
        <w:pStyle w:val="Bibliography"/>
      </w:pPr>
      <w:r>
        <w:t xml:space="preserve">19.</w:t>
      </w:r>
      <w:r>
        <w:t xml:space="preserve"> </w:t>
      </w:r>
      <w:r>
        <w:t xml:space="preserve">	</w:t>
      </w:r>
      <w:r>
        <w:t xml:space="preserve">Watson Lewis G., Vásquez H., Gaviria A., Ruiz LF., Ospina M., Osorio E de J., et al.</w:t>
      </w:r>
      <w:r>
        <w:t xml:space="preserve"> </w:t>
      </w:r>
      <w:r>
        <w:t xml:space="preserve">Gu</w:t>
      </w:r>
      <w:r>
        <w:t xml:space="preserve">í</w:t>
      </w:r>
      <w:r>
        <w:t xml:space="preserve">a de Practica cl</w:t>
      </w:r>
      <w:r>
        <w:t xml:space="preserve">í</w:t>
      </w:r>
      <w:r>
        <w:t xml:space="preserve">nica sobre diagnostico y tratamiento de epilepsia</w:t>
      </w:r>
      <w:r>
        <w:t xml:space="preserve">. Minsalud. 2014:8-66.</w:t>
      </w:r>
    </w:p>
    <w:bookmarkEnd w:id="251"/>
    <w:bookmarkStart w:id="253" w:name="ref-VergaraAguilar2019"/>
    <w:p>
      <w:pPr>
        <w:pStyle w:val="Bibliography"/>
      </w:pPr>
      <w:r>
        <w:t xml:space="preserve">20.</w:t>
      </w:r>
      <w:r>
        <w:t xml:space="preserve"> </w:t>
      </w:r>
      <w:r>
        <w:t xml:space="preserve">	</w:t>
      </w:r>
      <w:r>
        <w:t xml:space="preserve">Vergara Aguilar JP., Ladino L., Castro CA., Gómez Arias B., Forero E., Vargas J., et al.</w:t>
      </w:r>
      <w:r>
        <w:t xml:space="preserve"> </w:t>
      </w:r>
      <w:r>
        <w:t xml:space="preserve">Tratamiento del estado epil</w:t>
      </w:r>
      <w:r>
        <w:t xml:space="preserve">é</w:t>
      </w:r>
      <w:r>
        <w:t xml:space="preserve">ptico, consenso de expertos. Asociaci</w:t>
      </w:r>
      <w:r>
        <w:t xml:space="preserve">ó</w:t>
      </w:r>
      <w:r>
        <w:t xml:space="preserve">n Colombiana de Neurolog</w:t>
      </w:r>
      <w:r>
        <w:t xml:space="preserve">í</w:t>
      </w:r>
      <w:r>
        <w:t xml:space="preserve">a, Comit</w:t>
      </w:r>
      <w:r>
        <w:t xml:space="preserve">é</w:t>
      </w:r>
      <w:r>
        <w:t xml:space="preserve"> </w:t>
      </w:r>
      <w:r>
        <w:t xml:space="preserve">de Epilepsia</w:t>
      </w:r>
      <w:r>
        <w:t xml:space="preserve">. Acta Neurol</w:t>
      </w:r>
      <w:r>
        <w:t xml:space="preserve">ó</w:t>
      </w:r>
      <w:r>
        <w:t xml:space="preserve">gica Colombiana. 2019;35(2):74-88, doi:</w:t>
      </w:r>
      <w:r>
        <w:t xml:space="preserve"> </w:t>
      </w:r>
      <w:hyperlink r:id="rId252">
        <w:r>
          <w:rPr>
            <w:rStyle w:val="Hyperlink"/>
          </w:rPr>
          <w:t xml:space="preserve">10.22379/24224022237</w:t>
        </w:r>
      </w:hyperlink>
      <w:r>
        <w:t xml:space="preserve">.</w:t>
      </w:r>
    </w:p>
    <w:bookmarkEnd w:id="253"/>
    <w:bookmarkStart w:id="255" w:name="ref-Johannessen2020"/>
    <w:p>
      <w:pPr>
        <w:pStyle w:val="Bibliography"/>
      </w:pPr>
      <w:r>
        <w:t xml:space="preserve">21.</w:t>
      </w:r>
      <w:r>
        <w:t xml:space="preserve"> </w:t>
      </w:r>
      <w:r>
        <w:t xml:space="preserve">	</w:t>
      </w:r>
      <w:r>
        <w:t xml:space="preserve">Johannessen SI., Johannessen Landmark C.</w:t>
      </w:r>
      <w:r>
        <w:t xml:space="preserve"> </w:t>
      </w:r>
      <w:r>
        <w:t xml:space="preserve">Anti-Convulsant Agents: Phenobarbital and Primidone</w:t>
      </w:r>
      <w:r>
        <w:t xml:space="preserve">. NeuroPsychopharmacotherapy. 2020:1-0, doi:</w:t>
      </w:r>
      <w:r>
        <w:t xml:space="preserve"> </w:t>
      </w:r>
      <w:hyperlink r:id="rId254">
        <w:r>
          <w:rPr>
            <w:rStyle w:val="Hyperlink"/>
          </w:rPr>
          <w:t xml:space="preserve">10.1007/978-3-319-56015-1_302-1</w:t>
        </w:r>
      </w:hyperlink>
      <w:r>
        <w:t xml:space="preserve">.</w:t>
      </w:r>
    </w:p>
    <w:bookmarkEnd w:id="255"/>
    <w:bookmarkStart w:id="257" w:name="ref-Pineda2001"/>
    <w:p>
      <w:pPr>
        <w:pStyle w:val="Bibliography"/>
      </w:pPr>
      <w:r>
        <w:t xml:space="preserve">22.</w:t>
      </w:r>
      <w:r>
        <w:t xml:space="preserve"> </w:t>
      </w:r>
      <w:r>
        <w:t xml:space="preserve">	</w:t>
      </w:r>
      <w:r>
        <w:t xml:space="preserve">Pineda DA., Lopera F., Henao GC., Palacio JD., Castellanos FX.</w:t>
      </w:r>
      <w:r>
        <w:t xml:space="preserve"> </w:t>
      </w:r>
      <w:r>
        <w:t xml:space="preserve">Confirmation of the high prevalence of attention deficit disorder in a Colombian community</w:t>
      </w:r>
      <w:r>
        <w:t xml:space="preserve">. Revista de Neurologia. 2001;32(3):217-22, doi:</w:t>
      </w:r>
      <w:r>
        <w:t xml:space="preserve"> </w:t>
      </w:r>
      <w:hyperlink r:id="rId256">
        <w:r>
          <w:rPr>
            <w:rStyle w:val="Hyperlink"/>
          </w:rPr>
          <w:t xml:space="preserve">10.33588/rn.3203.2000499</w:t>
        </w:r>
      </w:hyperlink>
      <w:r>
        <w:t xml:space="preserve">.</w:t>
      </w:r>
    </w:p>
    <w:bookmarkEnd w:id="257"/>
    <w:bookmarkStart w:id="258" w:name="ref-Llanos-Lizcanoa2019"/>
    <w:p>
      <w:pPr>
        <w:pStyle w:val="Bibliography"/>
      </w:pPr>
      <w:r>
        <w:t xml:space="preserve">23.</w:t>
      </w:r>
      <w:r>
        <w:t xml:space="preserve"> </w:t>
      </w:r>
      <w:r>
        <w:t xml:space="preserve">	</w:t>
      </w:r>
      <w:r>
        <w:t xml:space="preserve">Llanos-Lizcanoa LJ., García-Ruiza DJ., González-Torres HJ., Puentes-Rozo P., Llanos Lizcano LJ., García Ruiz DJ., et al.</w:t>
      </w:r>
      <w:r>
        <w:t xml:space="preserve"> </w:t>
      </w:r>
      <w:r>
        <w:t xml:space="preserve">Trastorno por d</w:t>
      </w:r>
      <w:r>
        <w:t xml:space="preserve">é</w:t>
      </w:r>
      <w:r>
        <w:t xml:space="preserve">ficit de atenci</w:t>
      </w:r>
      <w:r>
        <w:t xml:space="preserve">ó</w:t>
      </w:r>
      <w:r>
        <w:t xml:space="preserve">n e hiperactividad (TDAH) en ni</w:t>
      </w:r>
      <w:r>
        <w:t xml:space="preserve">ñ</w:t>
      </w:r>
      <w:r>
        <w:t xml:space="preserve">os escolarizados de 6 a 17 a</w:t>
      </w:r>
      <w:r>
        <w:t xml:space="preserve">ñ</w:t>
      </w:r>
      <w:r>
        <w:t xml:space="preserve">os</w:t>
      </w:r>
      <w:r>
        <w:t xml:space="preserve">. Revista Pediatria Atenci</w:t>
      </w:r>
      <w:r>
        <w:t xml:space="preserve">ó</w:t>
      </w:r>
      <w:r>
        <w:t xml:space="preserve">n Primaria. 2019;21(83):e101-8.</w:t>
      </w:r>
    </w:p>
    <w:bookmarkEnd w:id="258"/>
    <w:bookmarkStart w:id="259" w:name="ref-LopezLopez2021"/>
    <w:p>
      <w:pPr>
        <w:pStyle w:val="Bibliography"/>
      </w:pPr>
      <w:r>
        <w:t xml:space="preserve">24.</w:t>
      </w:r>
      <w:r>
        <w:t xml:space="preserve"> </w:t>
      </w:r>
      <w:r>
        <w:t xml:space="preserve">	</w:t>
      </w:r>
      <w:r>
        <w:t xml:space="preserve">López López JS.</w:t>
      </w:r>
      <w:r>
        <w:t xml:space="preserve"> </w:t>
      </w:r>
      <w:r>
        <w:t xml:space="preserve">An</w:t>
      </w:r>
      <w:r>
        <w:t xml:space="preserve">á</w:t>
      </w:r>
      <w:r>
        <w:t xml:space="preserve">lisis de factores asociados a las alertas de desabastecimiento de medicamentos presentadas en Colombia entre 2012 y 2018</w:t>
      </w:r>
      <w:r>
        <w:t xml:space="preserve">. Tesis doctoral, Universidad Nacional de Colombia, 2021.</w:t>
      </w:r>
    </w:p>
    <w:bookmarkEnd w:id="259"/>
    <w:bookmarkStart w:id="260" w:name="ref-INVIMA2018-Desabast"/>
    <w:p>
      <w:pPr>
        <w:pStyle w:val="Bibliography"/>
      </w:pPr>
      <w:r>
        <w:t xml:space="preserve">25.</w:t>
      </w:r>
      <w:r>
        <w:t xml:space="preserve"> </w:t>
      </w:r>
      <w:r>
        <w:t xml:space="preserve">	</w:t>
      </w:r>
      <w:r>
        <w:t xml:space="preserve">INVIMA (Instituto de Vigilancia de Medicamentos y alimentos).</w:t>
      </w:r>
      <w:r>
        <w:t xml:space="preserve"> </w:t>
      </w:r>
      <w:r>
        <w:t xml:space="preserve">Informe de gesti</w:t>
      </w:r>
      <w:r>
        <w:t xml:space="preserve">ó</w:t>
      </w:r>
      <w:r>
        <w:t xml:space="preserve">n del desabastecimiento de medicamentos en Colombia 2013-2018</w:t>
      </w:r>
      <w:r>
        <w:t xml:space="preserve">. 2018:1-4.</w:t>
      </w:r>
    </w:p>
    <w:bookmarkEnd w:id="260"/>
    <w:bookmarkStart w:id="261" w:name="ref-FDA2014"/>
    <w:p>
      <w:pPr>
        <w:pStyle w:val="Bibliography"/>
      </w:pPr>
      <w:r>
        <w:t xml:space="preserve">26.</w:t>
      </w:r>
      <w:r>
        <w:t xml:space="preserve"> </w:t>
      </w:r>
      <w:r>
        <w:t xml:space="preserve">	</w:t>
      </w:r>
      <w:r>
        <w:t xml:space="preserve">Food and Drug Administration (FDA).</w:t>
      </w:r>
      <w:r>
        <w:t xml:space="preserve"> </w:t>
      </w:r>
      <w:r>
        <w:t xml:space="preserve">CDER Manual of Policies and Procedures on Drug Shortage Management</w:t>
      </w:r>
      <w:r>
        <w:t xml:space="preserve">. 2014.</w:t>
      </w:r>
    </w:p>
    <w:bookmarkEnd w:id="261"/>
    <w:bookmarkStart w:id="262" w:name="ref-Barbosa-Povoa2019"/>
    <w:p>
      <w:pPr>
        <w:pStyle w:val="Bibliography"/>
      </w:pPr>
      <w:r>
        <w:t xml:space="preserve">27.</w:t>
      </w:r>
      <w:r>
        <w:t xml:space="preserve"> </w:t>
      </w:r>
      <w:r>
        <w:t xml:space="preserve">	</w:t>
      </w:r>
      <w:r>
        <w:t xml:space="preserve">Barbosa-Póvoa AP., Jenzer H., Miranda JL de.</w:t>
      </w:r>
      <w:r>
        <w:t xml:space="preserve"> </w:t>
      </w:r>
      <w:r>
        <w:t xml:space="preserve">Pharmaceutical Supply Chains - Medicines Shortages</w:t>
      </w:r>
      <w:r>
        <w:t xml:space="preserve">. 2019.</w:t>
      </w:r>
    </w:p>
    <w:bookmarkEnd w:id="262"/>
    <w:bookmarkStart w:id="264" w:name="ref-Pettit2013"/>
    <w:p>
      <w:pPr>
        <w:pStyle w:val="Bibliography"/>
      </w:pPr>
      <w:r>
        <w:t xml:space="preserve">28.</w:t>
      </w:r>
      <w:r>
        <w:t xml:space="preserve"> </w:t>
      </w:r>
      <w:r>
        <w:t xml:space="preserve">	</w:t>
      </w:r>
      <w:r>
        <w:t xml:space="preserve">Pettit TJ., Croxton KL., Fiksel J.</w:t>
      </w:r>
      <w:r>
        <w:t xml:space="preserve"> </w:t>
      </w:r>
      <w:r>
        <w:t xml:space="preserve">Ensuring supply chain resilience: Development and implementation of an assessment tool</w:t>
      </w:r>
      <w:r>
        <w:t xml:space="preserve">. Journal of Business Logistics. 2013;34(1):46-76, doi:</w:t>
      </w:r>
      <w:r>
        <w:t xml:space="preserve"> </w:t>
      </w:r>
      <w:hyperlink r:id="rId263">
        <w:r>
          <w:rPr>
            <w:rStyle w:val="Hyperlink"/>
          </w:rPr>
          <w:t xml:space="preserve">10.1111/jbl.12009</w:t>
        </w:r>
      </w:hyperlink>
      <w:r>
        <w:t xml:space="preserve">.</w:t>
      </w:r>
    </w:p>
    <w:bookmarkEnd w:id="264"/>
    <w:bookmarkStart w:id="265" w:name="ref-Silver2017"/>
    <w:p>
      <w:pPr>
        <w:pStyle w:val="Bibliography"/>
      </w:pPr>
      <w:r>
        <w:t xml:space="preserve">29.</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5"/>
    <w:bookmarkStart w:id="267" w:name="ref-Cachon2007"/>
    <w:p>
      <w:pPr>
        <w:pStyle w:val="Bibliography"/>
      </w:pPr>
      <w:r>
        <w:t xml:space="preserve">30.</w:t>
      </w:r>
      <w:r>
        <w:t xml:space="preserve"> </w:t>
      </w:r>
      <w:r>
        <w:t xml:space="preserve">	</w:t>
      </w:r>
      <w:r>
        <w:t xml:space="preserve">Cachon GP., Randall T., Schmidt GM.</w:t>
      </w:r>
      <w:r>
        <w:t xml:space="preserve"> </w:t>
      </w:r>
      <w:r>
        <w:t xml:space="preserve">In search of the bullwhip effect</w:t>
      </w:r>
      <w:r>
        <w:t xml:space="preserve">. Manufacturing and Service Operations Management. 2007;9(4):457-79, doi:</w:t>
      </w:r>
      <w:r>
        <w:t xml:space="preserve"> </w:t>
      </w:r>
      <w:hyperlink r:id="rId266">
        <w:r>
          <w:rPr>
            <w:rStyle w:val="Hyperlink"/>
          </w:rPr>
          <w:t xml:space="preserve">10.1287/msom.1060.0149</w:t>
        </w:r>
      </w:hyperlink>
      <w:r>
        <w:t xml:space="preserve">.</w:t>
      </w:r>
    </w:p>
    <w:bookmarkEnd w:id="267"/>
    <w:bookmarkStart w:id="268" w:name="ref-Hollmann2015"/>
    <w:p>
      <w:pPr>
        <w:pStyle w:val="Bibliography"/>
      </w:pPr>
      <w:r>
        <w:t xml:space="preserve">31.</w:t>
      </w:r>
      <w:r>
        <w:t xml:space="preserve"> </w:t>
      </w:r>
      <w:r>
        <w:t xml:space="preserve">	</w:t>
      </w:r>
      <w:r>
        <w:t xml:space="preserve">Hollmann RL., Scavarda LF., Tavares Thomé AM.</w:t>
      </w:r>
      <w:r>
        <w:t xml:space="preserve"> </w:t>
      </w:r>
      <w:r>
        <w:t xml:space="preserve">Collaborative planning, forecasting and replenishment: a literature review</w:t>
      </w:r>
      <w:r>
        <w:t xml:space="preserve">. International Journal of Productivity and Performance Management. 2015;64(11):971-93.</w:t>
      </w:r>
    </w:p>
    <w:bookmarkEnd w:id="268"/>
    <w:bookmarkStart w:id="269" w:name="ref-Nahmias2007"/>
    <w:p>
      <w:pPr>
        <w:pStyle w:val="Bibliography"/>
      </w:pPr>
      <w:r>
        <w:t xml:space="preserve">32.</w:t>
      </w:r>
      <w:r>
        <w:t xml:space="preserve"> </w:t>
      </w:r>
      <w:r>
        <w:t xml:space="preserve">	</w:t>
      </w:r>
      <w:r>
        <w:t xml:space="preserve">Nahmias S.</w:t>
      </w:r>
      <w:r>
        <w:t xml:space="preserve"> </w:t>
      </w:r>
      <w:r>
        <w:t xml:space="preserve">An</w:t>
      </w:r>
      <w:r>
        <w:t xml:space="preserve">á</w:t>
      </w:r>
      <w:r>
        <w:t xml:space="preserve">lisis de la Producci</w:t>
      </w:r>
      <w:r>
        <w:t xml:space="preserve">ó</w:t>
      </w:r>
      <w:r>
        <w:t xml:space="preserve">n y las Operaciones</w:t>
      </w:r>
      <w:r>
        <w:t xml:space="preserve">. M</w:t>
      </w:r>
      <w:r>
        <w:t xml:space="preserve">é</w:t>
      </w:r>
      <w:r>
        <w:t xml:space="preserve">xico: McGraw Hill Interamericana; 2007.</w:t>
      </w:r>
    </w:p>
    <w:bookmarkEnd w:id="269"/>
    <w:bookmarkStart w:id="270" w:name="ref-Krajewski2016"/>
    <w:p>
      <w:pPr>
        <w:pStyle w:val="Bibliography"/>
      </w:pPr>
      <w:r>
        <w:t xml:space="preserve">33.</w:t>
      </w:r>
      <w:r>
        <w:t xml:space="preserve"> </w:t>
      </w:r>
      <w:r>
        <w:t xml:space="preserve">	</w:t>
      </w:r>
      <w:r>
        <w:t xml:space="preserve">Krajewski LJ., Malhotra MK., Ritzman LP.</w:t>
      </w:r>
      <w:r>
        <w:t xml:space="preserve"> </w:t>
      </w:r>
      <w:r>
        <w:t xml:space="preserve">Operations Management Processes and Supply Chains</w:t>
      </w:r>
      <w:r>
        <w:t xml:space="preserve">. 11.ª edición. Harlow, EN: Pearson Education Ltd; 2016.</w:t>
      </w:r>
    </w:p>
    <w:bookmarkEnd w:id="270"/>
    <w:bookmarkStart w:id="271" w:name="X4e956815ca1199d73a39485c932e7d8485463a0"/>
    <w:p>
      <w:pPr>
        <w:pStyle w:val="Bibliography"/>
      </w:pPr>
      <w:r>
        <w:t xml:space="preserve">34.</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71"/>
    <w:bookmarkStart w:id="272" w:name="ref-CongresodelaRepublicadeColombia1993"/>
    <w:p>
      <w:pPr>
        <w:pStyle w:val="Bibliography"/>
      </w:pPr>
      <w:r>
        <w:t xml:space="preserve">35.</w:t>
      </w:r>
      <w:r>
        <w:t xml:space="preserve"> </w:t>
      </w:r>
      <w:r>
        <w:t xml:space="preserve">	</w:t>
      </w:r>
      <w:r>
        <w:t xml:space="preserve">Congreso de la República de Colombia.</w:t>
      </w:r>
      <w:r>
        <w:t xml:space="preserve"> </w:t>
      </w:r>
      <w:r>
        <w:t xml:space="preserve">Ley 80 de 1993: Por la cual se expide el Estatuto General de Contrataci</w:t>
      </w:r>
      <w:r>
        <w:t xml:space="preserve">ó</w:t>
      </w:r>
      <w:r>
        <w:t xml:space="preserve">n de la Administraci</w:t>
      </w:r>
      <w:r>
        <w:t xml:space="preserve">ó</w:t>
      </w:r>
      <w:r>
        <w:t xml:space="preserve">n P</w:t>
      </w:r>
      <w:r>
        <w:t xml:space="preserve">ú</w:t>
      </w:r>
      <w:r>
        <w:t xml:space="preserve">blica</w:t>
      </w:r>
      <w:r>
        <w:t xml:space="preserve">. 1993.</w:t>
      </w:r>
    </w:p>
    <w:bookmarkEnd w:id="272"/>
    <w:bookmarkStart w:id="273" w:name="ref-CongresodelaRepublicadeColombia2007"/>
    <w:p>
      <w:pPr>
        <w:pStyle w:val="Bibliography"/>
      </w:pPr>
      <w:r>
        <w:t xml:space="preserve">36.</w:t>
      </w:r>
      <w:r>
        <w:t xml:space="preserve"> </w:t>
      </w:r>
      <w:r>
        <w:t xml:space="preserve">	</w:t>
      </w:r>
      <w:r>
        <w:t xml:space="preserve">Congreso de la República de Colombia.</w:t>
      </w:r>
      <w:r>
        <w:t xml:space="preserve"> </w:t>
      </w:r>
      <w:r>
        <w:t xml:space="preserve">Ley 1150 de 2007: Por medio de la cual se introducen medidas para la eficiencia y la transparencia en la Ley 80 de 1993 y se dictan otras disposiciones generales sobre la contrataci</w:t>
      </w:r>
      <w:r>
        <w:t xml:space="preserve">ó</w:t>
      </w:r>
      <w:r>
        <w:t xml:space="preserve">n con Recursos P</w:t>
      </w:r>
      <w:r>
        <w:t xml:space="preserve">ú</w:t>
      </w:r>
      <w:r>
        <w:t xml:space="preserve">blicos.</w:t>
      </w:r>
      <w:r>
        <w:t xml:space="preserve"> 2007.</w:t>
      </w:r>
    </w:p>
    <w:bookmarkEnd w:id="273"/>
    <w:bookmarkStart w:id="274" w:name="ref-OMS2021"/>
    <w:p>
      <w:pPr>
        <w:pStyle w:val="Bibliography"/>
      </w:pPr>
      <w:r>
        <w:t xml:space="preserve">37.</w:t>
      </w:r>
      <w:r>
        <w:t xml:space="preserve"> </w:t>
      </w:r>
      <w:r>
        <w:t xml:space="preserve">	</w:t>
      </w:r>
      <w:r>
        <w:t xml:space="preserve">Organización Mundial de la Salud (OMS).</w:t>
      </w:r>
      <w:r>
        <w:t xml:space="preserve"> </w:t>
      </w:r>
      <w:r>
        <w:t xml:space="preserve">Lista Modelo de Medicamentos esenciales de la OMS 2021</w:t>
      </w:r>
      <w:r>
        <w:t xml:space="preserve">. 2021.</w:t>
      </w:r>
    </w:p>
    <w:bookmarkEnd w:id="274"/>
    <w:bookmarkStart w:id="275" w:name="ref-PDSPMinSalud2019"/>
    <w:p>
      <w:pPr>
        <w:pStyle w:val="Bibliography"/>
      </w:pPr>
      <w:r>
        <w:t xml:space="preserve">38.</w:t>
      </w:r>
      <w:r>
        <w:t xml:space="preserve"> </w:t>
      </w:r>
      <w:r>
        <w:t xml:space="preserve">	</w:t>
      </w:r>
      <w:r>
        <w:t xml:space="preserve">Ministerio de Salud.</w:t>
      </w:r>
      <w:r>
        <w:t xml:space="preserve"> </w:t>
      </w:r>
      <w:r>
        <w:t xml:space="preserve">Plan Decenal de Salud P</w:t>
      </w:r>
      <w:r>
        <w:t xml:space="preserve">ú</w:t>
      </w:r>
      <w:r>
        <w:t xml:space="preserve">blica - PDSP. Plan Decenal de Salud P</w:t>
      </w:r>
      <w:r>
        <w:t xml:space="preserve">ú</w:t>
      </w:r>
      <w:r>
        <w:t xml:space="preserve">blica 2012-2021</w:t>
      </w:r>
      <w:r>
        <w:t xml:space="preserve">. Ministerio de Salud. 2019;(32):2012-21.</w:t>
      </w:r>
    </w:p>
    <w:bookmarkEnd w:id="275"/>
    <w:bookmarkStart w:id="276" w:name="ref-FNE005-2019"/>
    <w:p>
      <w:pPr>
        <w:pStyle w:val="Bibliography"/>
      </w:pPr>
      <w:r>
        <w:t xml:space="preserve">39.</w:t>
      </w:r>
      <w:r>
        <w:t xml:space="preserve"> </w:t>
      </w:r>
      <w:r>
        <w:t xml:space="preserve">	</w:t>
      </w:r>
      <w:r>
        <w:t xml:space="preserve">Fondo Nacional de Estupefacientes.</w:t>
      </w:r>
      <w:r>
        <w:t xml:space="preserve"> </w:t>
      </w:r>
      <w:r>
        <w:t xml:space="preserve">Circular Externa 009 del 2019. Compra de Medicamentos Monopolio del Estado a trav</w:t>
      </w:r>
      <w:r>
        <w:t xml:space="preserve">é</w:t>
      </w:r>
      <w:r>
        <w:t xml:space="preserve">s de la Tienda Virtual del Estado Colombiano con el Instrumento de Agregaci</w:t>
      </w:r>
      <w:r>
        <w:t xml:space="preserve">ó</w:t>
      </w:r>
      <w:r>
        <w:t xml:space="preserve">n de Demanda</w:t>
      </w:r>
      <w:r>
        <w:t xml:space="preserve">. 2019.</w:t>
      </w:r>
    </w:p>
    <w:bookmarkEnd w:id="276"/>
    <w:bookmarkStart w:id="277" w:name="X151870ab54b01afcd5b4b1f9212b983bdc4c06e"/>
    <w:p>
      <w:pPr>
        <w:pStyle w:val="Bibliography"/>
      </w:pPr>
      <w:r>
        <w:t xml:space="preserve">40.</w:t>
      </w:r>
      <w:r>
        <w:t xml:space="preserve"> </w:t>
      </w:r>
      <w:r>
        <w:t xml:space="preserve">	</w:t>
      </w:r>
      <w:r>
        <w:t xml:space="preserve">American National Standards Institute., American Society for Quality.</w:t>
      </w:r>
      <w:r>
        <w:t xml:space="preserve"> </w:t>
      </w:r>
      <w:r>
        <w:t xml:space="preserve">Sampling Procedures and Tables for Inspection by Attributes ASQ/ANSI Z1.4-2003 (R2018)</w:t>
      </w:r>
      <w:r>
        <w:t xml:space="preserve">. 2013;2003(October).</w:t>
      </w:r>
    </w:p>
    <w:bookmarkEnd w:id="277"/>
    <w:bookmarkStart w:id="278" w:name="ref-GutierrezPulido2008"/>
    <w:p>
      <w:pPr>
        <w:pStyle w:val="Bibliography"/>
      </w:pPr>
      <w:r>
        <w:t xml:space="preserve">41.</w:t>
      </w:r>
      <w:r>
        <w:t xml:space="preserve"> </w:t>
      </w:r>
      <w:r>
        <w:t xml:space="preserve">	</w:t>
      </w:r>
      <w:r>
        <w:t xml:space="preserve">Gutierrez Pulido H., De la Vara Salazar R.</w:t>
      </w:r>
      <w:r>
        <w:t xml:space="preserve"> </w:t>
      </w:r>
      <w:r>
        <w:t xml:space="preserve">Control Estad</w:t>
      </w:r>
      <w:r>
        <w:t xml:space="preserve">í</w:t>
      </w:r>
      <w:r>
        <w:t xml:space="preserve">stico De la calidad y seis sigma</w:t>
      </w:r>
      <w:r>
        <w:t xml:space="preserve">. 2.ª edición. Mc Graw Hill; 2008.</w:t>
      </w:r>
    </w:p>
    <w:bookmarkEnd w:id="278"/>
    <w:bookmarkStart w:id="280" w:name="ref-Paterson2011"/>
    <w:p>
      <w:pPr>
        <w:pStyle w:val="Bibliography"/>
      </w:pPr>
      <w:r>
        <w:t xml:space="preserve">42.</w:t>
      </w:r>
      <w:r>
        <w:t xml:space="preserve"> </w:t>
      </w:r>
      <w:r>
        <w:t xml:space="preserve">	</w:t>
      </w:r>
      <w:r>
        <w:t xml:space="preserve">Paterson C., Kiesmüller G., Teunter R., Glazebrook K.</w:t>
      </w:r>
      <w:r>
        <w:t xml:space="preserve"> </w:t>
      </w:r>
      <w:r>
        <w:t xml:space="preserve">Inventory models with lateral transshipments: A review</w:t>
      </w:r>
      <w:r>
        <w:t xml:space="preserve">. European Journal of Operational Research. 2011;210(2):125-36, doi:</w:t>
      </w:r>
      <w:r>
        <w:t xml:space="preserve"> </w:t>
      </w:r>
      <w:hyperlink r:id="rId279">
        <w:r>
          <w:rPr>
            <w:rStyle w:val="Hyperlink"/>
          </w:rPr>
          <w:t xml:space="preserve">10.1016/j.ejor.2010.05.048</w:t>
        </w:r>
      </w:hyperlink>
      <w:r>
        <w:t xml:space="preserve">.</w:t>
      </w:r>
    </w:p>
    <w:bookmarkEnd w:id="280"/>
    <w:bookmarkStart w:id="281" w:name="ref-HernandezVera2017"/>
    <w:p>
      <w:pPr>
        <w:pStyle w:val="Bibliography"/>
      </w:pPr>
      <w:r>
        <w:t xml:space="preserve">43.</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81"/>
    <w:bookmarkStart w:id="282" w:name="ref-AvilaRoncancio2019"/>
    <w:p>
      <w:pPr>
        <w:pStyle w:val="Bibliography"/>
      </w:pPr>
      <w:r>
        <w:t xml:space="preserve">44.</w:t>
      </w:r>
      <w:r>
        <w:t xml:space="preserve"> </w:t>
      </w:r>
      <w:r>
        <w:t xml:space="preserve">	</w:t>
      </w:r>
      <w:r>
        <w:t xml:space="preserve">Ávila Roncancio DA.</w:t>
      </w:r>
      <w:r>
        <w:t xml:space="preserve"> </w:t>
      </w:r>
      <w:r>
        <w:t xml:space="preserve">La Fijaci</w:t>
      </w:r>
      <w:r>
        <w:t xml:space="preserve">ó</w:t>
      </w:r>
      <w:r>
        <w:t xml:space="preserve">n de los Precios de Medicamentos en Colombia con Base en su Aporte Terap</w:t>
      </w:r>
      <w:r>
        <w:t xml:space="preserve">é</w:t>
      </w:r>
      <w:r>
        <w:t xml:space="preserve">utico</w:t>
      </w:r>
      <w:r>
        <w:t xml:space="preserve">. Tesis doctoral, Pontificia Universidad Javeriana, 2019.</w:t>
      </w:r>
    </w:p>
    <w:bookmarkEnd w:id="282"/>
    <w:bookmarkStart w:id="283" w:name="ref-CongresodelaRepublicadeColombia1988"/>
    <w:p>
      <w:pPr>
        <w:pStyle w:val="Bibliography"/>
      </w:pPr>
      <w:r>
        <w:t xml:space="preserve">45.</w:t>
      </w:r>
      <w:r>
        <w:t xml:space="preserve"> </w:t>
      </w:r>
      <w:r>
        <w:t xml:space="preserve">	</w:t>
      </w:r>
      <w:r>
        <w:t xml:space="preserve">Congreso de la República de Colombia.</w:t>
      </w:r>
      <w:r>
        <w:t xml:space="preserve"> </w:t>
      </w:r>
      <w:r>
        <w:t xml:space="preserve">Ley 81 de 1988. Por la cual se reestructura el Ministerio de Desarrollo Econ</w:t>
      </w:r>
      <w:r>
        <w:t xml:space="preserve">ó</w:t>
      </w:r>
      <w:r>
        <w:t xml:space="preserve">mico, se determinan las funciones de sus dependencias, se deroga el Decreto legislativo n</w:t>
      </w:r>
      <w:r>
        <w:t xml:space="preserve">ú</w:t>
      </w:r>
      <w:r>
        <w:t xml:space="preserve">mero 0177 de 1o. de febrero de 1956, se dictan normas relativas a los contratos de fabri</w:t>
      </w:r>
      <w:r>
        <w:t xml:space="preserve">. 1988.</w:t>
      </w:r>
    </w:p>
    <w:bookmarkEnd w:id="283"/>
    <w:bookmarkStart w:id="284" w:name="ref-SecretariaTecnicaCNPDM-2019"/>
    <w:p>
      <w:pPr>
        <w:pStyle w:val="Bibliography"/>
      </w:pPr>
      <w:r>
        <w:t xml:space="preserve">46.</w:t>
      </w:r>
      <w:r>
        <w:t xml:space="preserve"> </w:t>
      </w:r>
      <w:r>
        <w:t xml:space="preserve">	</w:t>
      </w:r>
      <w:r>
        <w:t xml:space="preserve">Secretaría Técnica de la Comisión Nacional de Precios de Medicamentos y Dispositivos Médicos – Dirección de Medicamentos y Tecnologías en Salud.</w:t>
      </w:r>
      <w:r>
        <w:t xml:space="preserve"> </w:t>
      </w:r>
      <w:r>
        <w:t xml:space="preserve">ABEC</w:t>
      </w:r>
      <w:r>
        <w:t xml:space="preserve">É</w:t>
      </w:r>
      <w:r>
        <w:t xml:space="preserve">: Regulaci</w:t>
      </w:r>
      <w:r>
        <w:t xml:space="preserve">ó</w:t>
      </w:r>
      <w:r>
        <w:t xml:space="preserve">n de Precios de Medicamentos</w:t>
      </w:r>
      <w:r>
        <w:t xml:space="preserve">. 2019:4.</w:t>
      </w:r>
    </w:p>
    <w:bookmarkEnd w:id="284"/>
    <w:bookmarkStart w:id="285" w:name="ref-INVIMA2021-ALERTAS"/>
    <w:p>
      <w:pPr>
        <w:pStyle w:val="Bibliography"/>
      </w:pPr>
      <w:r>
        <w:t xml:space="preserve">47.</w:t>
      </w:r>
      <w:r>
        <w:t xml:space="preserve"> </w:t>
      </w:r>
      <w:r>
        <w:t xml:space="preserve">	</w:t>
      </w:r>
      <w:r>
        <w:t xml:space="preserve">Instituto Nacional de Vigilancia de Medicamentos y Alimentos (INVIMA).</w:t>
      </w:r>
      <w:r>
        <w:t xml:space="preserve"> </w:t>
      </w:r>
      <w:r>
        <w:t xml:space="preserve">Alertas Sanitarias e Informes de seguridad</w:t>
      </w:r>
      <w:r>
        <w:t xml:space="preserve">. 2021.</w:t>
      </w:r>
    </w:p>
    <w:bookmarkEnd w:id="285"/>
    <w:bookmarkStart w:id="286" w:name="ref-INVIMA2006-FV"/>
    <w:p>
      <w:pPr>
        <w:pStyle w:val="Bibliography"/>
      </w:pPr>
      <w:r>
        <w:t xml:space="preserve">48.</w:t>
      </w:r>
      <w:r>
        <w:t xml:space="preserve"> </w:t>
      </w:r>
      <w:r>
        <w:t xml:space="preserve">	</w:t>
      </w:r>
      <w:r>
        <w:t xml:space="preserve">Instituto Nacional de Vigilancia de Medicamentos y Alimentos (INVIMA).</w:t>
      </w:r>
      <w:r>
        <w:t xml:space="preserve"> </w:t>
      </w:r>
      <w:r>
        <w:t xml:space="preserve">Conceptos B</w:t>
      </w:r>
      <w:r>
        <w:t xml:space="preserve">á</w:t>
      </w:r>
      <w:r>
        <w:t xml:space="preserve">sicos de Farmacovigilancia</w:t>
      </w:r>
      <w:r>
        <w:t xml:space="preserve">. Bolet</w:t>
      </w:r>
      <w:r>
        <w:t xml:space="preserve">í</w:t>
      </w:r>
      <w:r>
        <w:t xml:space="preserve">n de Farmacovigilancia. 2006;12(4).</w:t>
      </w:r>
    </w:p>
    <w:bookmarkEnd w:id="286"/>
    <w:bookmarkEnd w:id="287"/>
    <w:bookmarkEnd w:id="2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2" Target="media/rId212.png" /><Relationship Type="http://schemas.openxmlformats.org/officeDocument/2006/relationships/image" Id="rId89" Target="media/rId89.png" /><Relationship Type="http://schemas.openxmlformats.org/officeDocument/2006/relationships/image" Id="rId159" Target="media/rId159.png" /><Relationship Type="http://schemas.openxmlformats.org/officeDocument/2006/relationships/image" Id="rId130" Target="media/rId130.png" /><Relationship Type="http://schemas.openxmlformats.org/officeDocument/2006/relationships/image" Id="rId105" Target="media/rId105.png" /><Relationship Type="http://schemas.openxmlformats.org/officeDocument/2006/relationships/image" Id="rId178" Target="media/rId178.png" /><Relationship Type="http://schemas.openxmlformats.org/officeDocument/2006/relationships/image" Id="rId140" Target="media/rId140.png" /><Relationship Type="http://schemas.openxmlformats.org/officeDocument/2006/relationships/image" Id="rId65" Target="media/rId65.png" /><Relationship Type="http://schemas.openxmlformats.org/officeDocument/2006/relationships/image" Id="rId181" Target="media/rId181.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image" Id="rId156" Target="media/rId156.png" /><Relationship Type="http://schemas.openxmlformats.org/officeDocument/2006/relationships/image" Id="rId149" Target="media/rId149.png" /><Relationship Type="http://schemas.openxmlformats.org/officeDocument/2006/relationships/image" Id="rId119" Target="media/rId119.png" /><Relationship Type="http://schemas.openxmlformats.org/officeDocument/2006/relationships/image" Id="rId188" Target="media/rId188.png" /><Relationship Type="http://schemas.openxmlformats.org/officeDocument/2006/relationships/image" Id="rId196" Target="media/rId196.png" /><Relationship Type="http://schemas.openxmlformats.org/officeDocument/2006/relationships/image" Id="rId114" Target="media/rId114.png" /><Relationship Type="http://schemas.openxmlformats.org/officeDocument/2006/relationships/image" Id="rId219" Target="media/rId219.png" /><Relationship Type="http://schemas.openxmlformats.org/officeDocument/2006/relationships/image" Id="rId191" Target="media/rId191.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42" Target="media/rId142.png" /><Relationship Type="http://schemas.openxmlformats.org/officeDocument/2006/relationships/image" Id="rId96" Target="media/rId96.png" /><Relationship Type="http://schemas.openxmlformats.org/officeDocument/2006/relationships/image" Id="rId146" Target="media/rId146.png" /><Relationship Type="http://schemas.openxmlformats.org/officeDocument/2006/relationships/image" Id="rId103" Target="media/rId103.png" /><Relationship Type="http://schemas.openxmlformats.org/officeDocument/2006/relationships/image" Id="rId176" Target="media/rId176.png" /><Relationship Type="http://schemas.openxmlformats.org/officeDocument/2006/relationships/image" Id="rId151" Target="media/rId151.png" /><Relationship Type="http://schemas.openxmlformats.org/officeDocument/2006/relationships/image" Id="rId185" Target="media/rId18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153" Target="media/rId153.png" /><Relationship Type="http://schemas.openxmlformats.org/officeDocument/2006/relationships/image" Id="rId174" Target="media/rId174.png" /><Relationship Type="http://schemas.openxmlformats.org/officeDocument/2006/relationships/image" Id="rId154" Target="media/rId154.png" /><Relationship Type="http://schemas.openxmlformats.org/officeDocument/2006/relationships/image" Id="rId207" Target="media/rId207.png" /><Relationship Type="http://schemas.openxmlformats.org/officeDocument/2006/relationships/image" Id="rId81" Target="media/rId81.png" /><Relationship Type="http://schemas.openxmlformats.org/officeDocument/2006/relationships/image" Id="rId183" Target="media/rId183.png" /><Relationship Type="http://schemas.openxmlformats.org/officeDocument/2006/relationships/image" Id="rId216" Target="media/rId21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86" Target="media/rId86.png" /><Relationship Type="http://schemas.openxmlformats.org/officeDocument/2006/relationships/image" Id="rId202" Target="media/rId202.png" /><Relationship Type="http://schemas.openxmlformats.org/officeDocument/2006/relationships/image" Id="rId200" Target="media/rId200.png" /><Relationship Type="http://schemas.openxmlformats.org/officeDocument/2006/relationships/image" Id="rId209" Target="media/rId209.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3" Target="media/rId163.png" /><Relationship Type="http://schemas.openxmlformats.org/officeDocument/2006/relationships/image" Id="rId122" Target="media/rId122.png" /><Relationship Type="http://schemas.openxmlformats.org/officeDocument/2006/relationships/image" Id="rId168" Target="media/rId168.png" /><Relationship Type="http://schemas.openxmlformats.org/officeDocument/2006/relationships/image" Id="rId62" Target="media/rId62.png" /><Relationship Type="http://schemas.openxmlformats.org/officeDocument/2006/relationships/image" Id="rId60" Target="media/rId60.png" /><Relationship Type="http://schemas.openxmlformats.org/officeDocument/2006/relationships/image" Id="rId100" Target="media/rId10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24" Target="media/rId24.png" /><Relationship Type="http://schemas.openxmlformats.org/officeDocument/2006/relationships/image" Id="rId77" Target="media/rId77.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74" Target="media/rId74.jpg" /><Relationship Type="http://schemas.openxmlformats.org/officeDocument/2006/relationships/image" Id="rId84" Target="media/rId84.png" /><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_rels/footnotes.xml.rels><?xml version="1.0" encoding="UTF-8"?><Relationships xmlns="http://schemas.openxmlformats.org/package/2006/relationships"><Relationship Type="http://schemas.openxmlformats.org/officeDocument/2006/relationships/hyperlink" Id="rId254" Target="https://doi.org/10.1007/978-3-319-56015-1_302-1" TargetMode="External" /><Relationship Type="http://schemas.openxmlformats.org/officeDocument/2006/relationships/hyperlink" Id="rId279" Target="https://doi.org/10.1016/j.ejor.2010.05.048" TargetMode="External" /><Relationship Type="http://schemas.openxmlformats.org/officeDocument/2006/relationships/hyperlink" Id="rId263" Target="https://doi.org/10.1111/jbl.12009" TargetMode="External" /><Relationship Type="http://schemas.openxmlformats.org/officeDocument/2006/relationships/hyperlink" Id="rId266" Target="https://doi.org/10.1287/msom.1060.0149" TargetMode="External" /><Relationship Type="http://schemas.openxmlformats.org/officeDocument/2006/relationships/hyperlink" Id="rId252" Target="https://doi.org/10.22379/24224022237" TargetMode="External" /><Relationship Type="http://schemas.openxmlformats.org/officeDocument/2006/relationships/hyperlink" Id="rId256" Target="https://doi.org/10.33588/rn.3203.20004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2021-10-11T21:26:41Z</dcterms:created>
  <dcterms:modified xsi:type="dcterms:W3CDTF">2021-10-11T21:26:41Z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