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2.png" ContentType="image/png"/>
  <Override PartName="/word/media/rId89.png" ContentType="image/png"/>
  <Override PartName="/word/media/rId159.png" ContentType="image/png"/>
  <Override PartName="/word/media/rId128.png" ContentType="image/png"/>
  <Override PartName="/word/media/rId105.png" ContentType="image/png"/>
  <Override PartName="/word/media/rId178.png" ContentType="image/png"/>
  <Override PartName="/word/media/rId140.png" ContentType="image/png"/>
  <Override PartName="/word/media/rId65.png" ContentType="image/png"/>
  <Override PartName="/word/media/rId181.png" ContentType="image/png"/>
  <Override PartName="/word/media/rId124.png" ContentType="image/png"/>
  <Override PartName="/word/media/rId125.png" ContentType="image/png"/>
  <Override PartName="/word/media/rId109.png" ContentType="image/png"/>
  <Override PartName="/word/media/rId117.png" ContentType="image/png"/>
  <Override PartName="/word/media/rId156.png" ContentType="image/png"/>
  <Override PartName="/word/media/rId149.png" ContentType="image/png"/>
  <Override PartName="/word/media/rId138.png" ContentType="image/png"/>
  <Override PartName="/word/media/rId188.png" ContentType="image/png"/>
  <Override PartName="/word/media/rId196.png" ContentType="image/png"/>
  <Override PartName="/word/media/rId114.png" ContentType="image/png"/>
  <Override PartName="/word/media/rId219.png" ContentType="image/png"/>
  <Override PartName="/word/media/rId191.png" ContentType="image/png"/>
  <Override PartName="/word/media/rId43.png" ContentType="image/png"/>
  <Override PartName="/word/media/rId45.png" ContentType="image/png"/>
  <Override PartName="/word/media/rId142.png" ContentType="image/png"/>
  <Override PartName="/word/media/rId96.png" ContentType="image/png"/>
  <Override PartName="/word/media/rId146.png" ContentType="image/png"/>
  <Override PartName="/word/media/rId103.png" ContentType="image/png"/>
  <Override PartName="/word/media/rId176.png" ContentType="image/png"/>
  <Override PartName="/word/media/rId151.png" ContentType="image/png"/>
  <Override PartName="/word/media/rId185.png" ContentType="image/png"/>
  <Override PartName="/word/media/rId48.png" ContentType="image/png"/>
  <Override PartName="/word/media/rId50.png" ContentType="image/png"/>
  <Override PartName="/word/media/rId68.png" ContentType="image/png"/>
  <Override PartName="/word/media/rId153.png" ContentType="image/png"/>
  <Override PartName="/word/media/rId174.png" ContentType="image/png"/>
  <Override PartName="/word/media/rId154.png" ContentType="image/png"/>
  <Override PartName="/word/media/rId207.png" ContentType="image/png"/>
  <Override PartName="/word/media/rId81.png" ContentType="image/png"/>
  <Override PartName="/word/media/rId183.png" ContentType="image/png"/>
  <Override PartName="/word/media/rId216.png" ContentType="image/png"/>
  <Override PartName="/word/media/rId91.png" ContentType="image/png"/>
  <Override PartName="/word/media/rId94.png" ContentType="image/png"/>
  <Override PartName="/word/media/rId86.png" ContentType="image/png"/>
  <Override PartName="/word/media/rId202.png" ContentType="image/png"/>
  <Override PartName="/word/media/rId200.png" ContentType="image/png"/>
  <Override PartName="/word/media/rId209.png" ContentType="image/png"/>
  <Override PartName="/word/media/rId131.png" ContentType="image/png"/>
  <Override PartName="/word/media/rId134.png" ContentType="image/png"/>
  <Override PartName="/word/media/rId163.png" ContentType="image/png"/>
  <Override PartName="/word/media/rId120.png" ContentType="image/png"/>
  <Override PartName="/word/media/rId168.png" ContentType="image/png"/>
  <Override PartName="/word/media/rId62.png" ContentType="image/png"/>
  <Override PartName="/word/media/rId60.png" ContentType="image/png"/>
  <Override PartName="/word/media/rId100.png" ContentType="image/png"/>
  <Override PartName="/word/media/rId53.png" ContentType="image/png"/>
  <Override PartName="/word/media/rId56.png" ContentType="image/png"/>
  <Override PartName="/word/media/rId36.png" ContentType="image/png"/>
  <Override PartName="/word/media/rId38.png" ContentType="image/png"/>
  <Override PartName="/word/media/rId40.png" ContentType="image/png"/>
  <Override PartName="/word/media/rId72.png" ContentType="image/png"/>
  <Override PartName="/word/media/rId29.png" ContentType="image/png"/>
  <Override PartName="/word/media/rId30.png" ContentType="image/png"/>
  <Override PartName="/word/media/rId27.png" ContentType="image/png"/>
  <Override PartName="/word/media/rId32.png" ContentType="image/png"/>
  <Override PartName="/word/media/rId166.png" ContentType="image/png"/>
  <Override PartName="/word/media/rId170.png" ContentType="image/png"/>
  <Override PartName="/word/media/rId24.png" ContentType="image/png"/>
  <Override PartName="/word/media/rId77.png" ContentType="image/png"/>
  <Override PartName="/word/media/rId198.png" ContentType="image/png"/>
  <Override PartName="/word/media/rId205.png" ContentType="image/png"/>
  <Override PartName="/word/media/rId74.jpg" ContentType="image/jpe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a</w:t>
      </w:r>
      <w:r>
        <w:t xml:space="preserve"> </w:t>
      </w:r>
      <w:r>
        <w:t xml:space="preserve">Fondos</w:t>
      </w:r>
      <w:r>
        <w:t xml:space="preserve"> </w:t>
      </w:r>
      <w:r>
        <w:t xml:space="preserve">Rotatorios</w:t>
      </w:r>
      <w:r>
        <w:t xml:space="preserve"> </w:t>
      </w:r>
      <w:r>
        <w:t xml:space="preserve">de</w:t>
      </w:r>
      <w:r>
        <w:t xml:space="preserve"> </w:t>
      </w:r>
      <w:r>
        <w:t xml:space="preserve">Estupefacientes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10</w:t>
      </w:r>
      <w:r>
        <w:t xml:space="preserve"> </w:t>
      </w:r>
      <w:r>
        <w:t xml:space="preserve">de</w:t>
      </w:r>
      <w:r>
        <w:t xml:space="preserve"> </w:t>
      </w:r>
      <w:r>
        <w:t xml:space="preserve">octubre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52"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Línea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Línea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 (A) Conteo de FRE por número de personas. (B) Mapa con número de personas por departamento.</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entre N.° de instituciones inscritas en el FRE y: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en el FRE y: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que una tendencia a que la proporción de ingresos más grande es aquella que reciben los FRE departamentales por la venta de MME. Esto se puede deber a que cada departamento maneja independencia en los precios de venta de estos medicamentos y desde ahí se podría obtener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desglosará un análisis más profundo sobre los precios de venta de los MME por departamento, pero a</w:t>
      </w:r>
      <w:r>
        <w:t xml:space="preserve"> </w:t>
      </w:r>
      <w:r>
        <w:rPr>
          <w:iCs/>
          <w:i/>
        </w:rPr>
        <w:t xml:space="preserve">grosso modo</w:t>
      </w:r>
      <w:r>
        <w:t xml:space="preserve"> </w:t>
      </w:r>
      <w:r>
        <w:t xml:space="preserve">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bookmarkEnd w:id="47"/>
    <w:bookmarkStart w:id="51" w:name="X9fed3cb2f037ff515b666c4522c5d5b8a7ae8a9"/>
    <w:p>
      <w:pPr>
        <w:pStyle w:val="Heading2"/>
      </w:pPr>
      <w:r>
        <w:rPr>
          <w:rStyle w:val="SectionNumber"/>
        </w:rPr>
        <w:t xml:space="preserve">4.5</w:t>
      </w:r>
      <w:r>
        <w:tab/>
      </w:r>
      <w:r>
        <w:t xml:space="preserve">Clasificación de los FRE por nivel de complejidad</w:t>
      </w:r>
    </w:p>
    <w:p>
      <w:pPr>
        <w:pStyle w:val="FirstParagraph"/>
      </w:pPr>
      <w:r>
        <w:t xml:space="preserve">A partir de las visitas técnicas desarrolladas en cada territorio, se lograron observar notorias diferencias entre los FRE departamentales. Esto se podría explicar por las diferencias administrativas y factores demográficos que tiene cada departamento. Esto permite que cada FRE se desenvuelva en determinada forma y esto resulta en el grado de eficiencia que presenta el ente territorial, para el manejo de MME en la región.</w:t>
      </w:r>
    </w:p>
    <w:p>
      <w:pPr>
        <w:pStyle w:val="BodyText"/>
      </w:pPr>
      <w:r>
        <w:t xml:space="preserve">Según lo anterior, se propone una clasificación de los FRE, de acuerdo a su nivel de complejidad, sin el ánimo de juzgar el trabajo desarrollado en cada territorio. Esta sección procura por reconocer y clasificar los FRE en grupos, conforme a sus capacidades actuales y similaridad entre departamentos. Lo anterior con el fin de generar un instrumento que sirva como insumo para la generación de políticas públicas y toma de decisiones relacionadas con el manejo de MME.</w:t>
      </w:r>
    </w:p>
    <w:p>
      <w:pPr>
        <w:pStyle w:val="BodyText"/>
      </w:pPr>
      <w:r>
        <w:t xml:space="preserve">A continuación, se presenta la descripción de las 5 variables definida para la clasificación de los FRE, cuya agrupación contempla el nivel de complejidad del ente territorial:</w:t>
      </w:r>
    </w:p>
    <w:p>
      <w:pPr>
        <w:numPr>
          <w:ilvl w:val="0"/>
          <w:numId w:val="1012"/>
        </w:numPr>
      </w:pPr>
      <w:r>
        <w:t xml:space="preserve">Presupuesto departamento (general y sector salud).</w:t>
      </w:r>
    </w:p>
    <w:p>
      <w:pPr>
        <w:numPr>
          <w:ilvl w:val="0"/>
          <w:numId w:val="1012"/>
        </w:numPr>
      </w:pPr>
      <w:r>
        <w:t xml:space="preserve">Número de instituciones inscritas en el departamento.</w:t>
      </w:r>
    </w:p>
    <w:p>
      <w:pPr>
        <w:numPr>
          <w:ilvl w:val="0"/>
          <w:numId w:val="1012"/>
        </w:numPr>
      </w:pPr>
      <w:r>
        <w:t xml:space="preserve">Proporción de adquisición de MME (proporción de portafolio).</w:t>
      </w:r>
    </w:p>
    <w:p>
      <w:pPr>
        <w:numPr>
          <w:ilvl w:val="0"/>
          <w:numId w:val="1012"/>
        </w:numPr>
      </w:pPr>
      <w:r>
        <w:t xml:space="preserve">Número de compras directas de instituciones en el departamento al FNE (entendidas como una desviación de la cadena de suministro).</w:t>
      </w:r>
    </w:p>
    <w:p>
      <w:pPr>
        <w:numPr>
          <w:ilvl w:val="0"/>
          <w:numId w:val="1012"/>
        </w:numPr>
      </w:pPr>
      <w:r>
        <w:t xml:space="preserve">Proporción de meses con entrega del Anexo 1 de la Resolución 1479 de 2006 (cumplimiento).</w:t>
      </w:r>
    </w:p>
    <w:p>
      <w:pPr>
        <w:numPr>
          <w:ilvl w:val="0"/>
          <w:numId w:val="1012"/>
        </w:numPr>
      </w:pPr>
      <w:r>
        <w:t xml:space="preserve">Proporción de meses con entrega del Anexo 2 de la Resolución 1479 de 2006 (cumplimiento).</w:t>
      </w:r>
    </w:p>
    <w:p>
      <w:pPr>
        <w:pStyle w:val="FirstParagraph"/>
      </w:pPr>
      <w:r>
        <w:t xml:space="preserve">Muchas variables fueron tomadas de forma externa a la encuestas teniendo en cuenta la información disponible en cada una de ellas, con el fin de visualizar el estado actual de cada FRE, considerando distintos factores internos y externos que tienen las entidades territoriales. Esto permite que la distribución y clasificación de los FRE sea más robusta, ya que está contemplando la mayor realidad posible en cada territorio, para el momento de este análisis.</w:t>
      </w:r>
    </w:p>
    <w:p>
      <w:pPr>
        <w:pStyle w:val="BodyText"/>
      </w:pPr>
      <w:r>
        <w:t xml:space="preserve">Es importante resaltar que la complejidad concluida estaría relacionada con la capacidad que tiene el FRE de cumplir con sus funciones y responsabilidades, considerando factores económicos propios del departamento. Un ejemplo ilustrativo corresponde al FRE Córdoba, donde el ente territorial es clasificado en la categoría</w:t>
      </w:r>
      <w:r>
        <w:t xml:space="preserve"> </w:t>
      </w:r>
      <w:r>
        <w:rPr>
          <w:iCs/>
          <w:i/>
        </w:rPr>
        <w:t xml:space="preserve">“</w:t>
      </w:r>
      <w:r>
        <w:rPr>
          <w:iCs/>
          <w:i/>
        </w:rPr>
        <w:t xml:space="preserve">FRE altamente consolidado</w:t>
      </w:r>
      <w:r>
        <w:rPr>
          <w:iCs/>
          <w:i/>
        </w:rPr>
        <w:t xml:space="preserve">”</w:t>
      </w:r>
      <w:r>
        <w:t xml:space="preserve">. A pesar de esta clasificación, el rubro económico destinado para temas de salud en este departamento es relativamente bajo, sin embargo, el personal del FRE procura realizar una buena gestión estos recursos para el adecuado manejo de MME y recetarios oficiales.</w:t>
      </w:r>
    </w:p>
    <w:p>
      <w:pPr>
        <w:pStyle w:val="BodyText"/>
      </w:pPr>
      <w:r>
        <w:t xml:space="preserve">En primer lugar, la variable de presupuesto y número de inscritos, refleja la asignación de recurso económico en cada región para la partida presupuestal de los temas en salud de cada territorio. Esto entendiéndose como un condicionante de la capacidad que tienen los FRE para disponer de infraestructura tecnológica y recurso humano suficiente, para cumplir todas sus funciones como ente territorial. Adicionalmente, el número de inscritos en cada territorio muestra la complejidad de la oferta y demanda en cada región, la cual debe satisfacer la gestión del FRE.</w:t>
      </w:r>
    </w:p>
    <w:p>
      <w:pPr>
        <w:pStyle w:val="BodyText"/>
      </w:pPr>
      <w:r>
        <w:t xml:space="preserve">La variable referente a la proporción de adquisición de MME, indica la proporción de medicamentos ofertados por el FRE en su territorio, de acuerdo con el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w:t>
      </w:r>
    </w:p>
    <w:p>
      <w:pPr>
        <w:pStyle w:val="BodyText"/>
      </w:pPr>
      <w:r>
        <w:t xml:space="preserve">Otra variable importante en este análisis es la variable referente a cantidad de compras directas al FNE. Esta información refleja el número de compras que realizaron las instituciones inscritas en cada territorio con el FNE, debido al desabastecimiento de MME en su respectivo departamento. Esto podría ser causa de una proyección de compra de MME inapropiada, por parte del FRE, cuyo proceso está directamente relacionado con los anexos técnicos de distribución y consumo que son presentados mensualmente.</w:t>
      </w:r>
    </w:p>
    <w:p>
      <w:pPr>
        <w:pStyle w:val="BodyText"/>
      </w:pPr>
      <w:r>
        <w:t xml:space="preserve">Finalmente, 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Para ilustrar el comportamiento de los FRE respecto a las variables seleccionadas se realizó un análisis de componentes principales (PCA,</w:t>
      </w:r>
      <w:r>
        <w:t xml:space="preserve"> </w:t>
      </w:r>
      <w:r>
        <w:rPr>
          <w:iCs/>
          <w:i/>
        </w:rPr>
        <w:t xml:space="preserve">Principal Component Analysis</w:t>
      </w:r>
      <w:r>
        <w:t xml:space="preserve">). La Figura</w:t>
      </w:r>
      <w:r>
        <w:t xml:space="preserve"> </w:t>
      </w:r>
      <w:r>
        <w:t xml:space="preserve">4.11</w:t>
      </w:r>
      <w:r>
        <w:t xml:space="preserve"> </w:t>
      </w:r>
      <w:r>
        <w:t xml:space="preserve">muestra el comportamiento de las 5 variables definidas para este análisis respecto a los componentes principales. En primer lugar, se puede determinar que las variables más próximas en el plano del componente 1 (PC1), presentan la mayor variabilidad entre los FRE, seguido por aquellas ubicadas cerca del plano del componente 2 (PC2). Las variables de monto presupuestal (general y salud), así como número de inscritos y en cierta medida la proporción del portafolio tienen un alta correlación entre sí por lo cual presentan una proyección cercana entre sí.</w:t>
      </w:r>
    </w:p>
    <w:p>
      <w:pPr>
        <w:pStyle w:val="CaptionedFigure"/>
      </w:pPr>
      <w:r>
        <w:drawing>
          <wp:inline>
            <wp:extent cx="5334000" cy="2667000"/>
            <wp:effectExtent b="0" l="0" r="0" t="0"/>
            <wp:docPr descr="Figura 4.11: Variables involucradas en la construcción de los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9" w:name="fig10"/>
      <w:r>
        <w:t xml:space="preserve">Figure </w:t>
      </w:r>
      <w:fldSimple w:instr="SEQ Figure \* ARABIC ">
        <w:r>
          <w:t>10</w:t>
        </w:r>
      </w:fldSimple>
      <w:r>
        <w:t xml:space="preserve">:</w:t>
      </w:r>
      <w:r>
        <w:t xml:space="preserve"> </w:t>
      </w:r>
      <w:bookmarkEnd w:id="49"/>
      <w:r>
        <w:t xml:space="preserve">Figura 4.11: Variables involucradas en la construcción de los componentes principales</w:t>
      </w:r>
    </w:p>
    <w:p>
      <w:pPr>
        <w:pStyle w:val="BodyText"/>
      </w:pPr>
      <w:r>
        <w:t xml:space="preserve">Por el contrario, las variables más dispersas en el plano presentado en la Figura</w:t>
      </w:r>
      <w:r>
        <w:t xml:space="preserve"> </w:t>
      </w:r>
      <w:r>
        <w:t xml:space="preserve">4.11</w:t>
      </w:r>
      <w:r>
        <w:t xml:space="preserve">, no guardan relación entre sí, por lo tanto, estas variables tienen información importante para realizar la clasificación de los FRE. En este orden de ideas, la variable referente a la consolidación del anexo 2 en los FRE no mantiene una relación directa con el número de compras directas que haya hecho el departamento o con la variable del portafolio que ofrecen los FRE.</w:t>
      </w:r>
      <w:r>
        <w:t xml:space="preserve"> </w:t>
      </w:r>
      <w:r>
        <w:t xml:space="preserve">Se realizó un análisis de agrupación (</w:t>
      </w:r>
      <w:r>
        <w:rPr>
          <w:iCs/>
          <w:i/>
        </w:rPr>
        <w:t xml:space="preserve">cluster</w:t>
      </w:r>
      <w:r>
        <w:t xml:space="preserve">) jerárquico mediante el algoritmo de Ward en el software R. Se seleccionaron 5 grupos de acuerdo al análisis mediante un criterio de</w:t>
      </w:r>
      <w:r>
        <w:t xml:space="preserve"> </w:t>
      </w:r>
      <w:r>
        <w:rPr>
          <w:iCs/>
          <w:i/>
        </w:rPr>
        <w:t xml:space="preserve">codo</w:t>
      </w:r>
      <w:r>
        <w:t xml:space="preserve">. A partir de la descripción anterior, la clasificación según la complejidad de los FRE, resultó como aparece en la Figura</w:t>
      </w:r>
      <w:r>
        <w:t xml:space="preserve"> </w:t>
      </w:r>
      <w:r>
        <w:t xml:space="preserve">4.12</w:t>
      </w:r>
      <w:r>
        <w:t xml:space="preserve">.</w:t>
      </w:r>
    </w:p>
    <w:p>
      <w:pPr>
        <w:pStyle w:val="BodyText"/>
      </w:pPr>
      <w:r>
        <w:drawing>
          <wp:inline>
            <wp:extent cx="5334000" cy="4000500"/>
            <wp:effectExtent b="0" l="0" r="0" t="0"/>
            <wp:docPr descr="Figura 4.12: Clasificación de los FRE en grupos de acuerdo a análisis por clúster" title="" id="1" name="Picture"/>
            <a:graphic>
              <a:graphicData uri="http://schemas.openxmlformats.org/drawingml/2006/picture">
                <pic:pic>
                  <pic:nvPicPr>
                    <pic:cNvPr descr="InformeFinal_files/figure-docx/PCA1-2-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Luego de un análisis multivariado en el lenguaje de programación R, se definieron varios parámetros a tomar en cuenta para esta clasificación. Según los datos obtenidos por las 5 variables en cada departamento, se lograron agrupar los FRE en 3 categorías, las cuales serán descritas a continuación:</w:t>
      </w:r>
    </w:p>
    <w:p>
      <w:pPr>
        <w:numPr>
          <w:ilvl w:val="0"/>
          <w:numId w:val="1013"/>
        </w:numPr>
      </w:pPr>
      <w:r>
        <w:t xml:space="preserve">FRE suficientemente consolidado (Verde)</w:t>
      </w:r>
    </w:p>
    <w:p>
      <w:pPr>
        <w:numPr>
          <w:ilvl w:val="0"/>
          <w:numId w:val="1013"/>
        </w:numPr>
      </w:pPr>
      <w:r>
        <w:t xml:space="preserve">FRE medianamente consolidado (Azul)</w:t>
      </w:r>
    </w:p>
    <w:p>
      <w:pPr>
        <w:numPr>
          <w:ilvl w:val="0"/>
          <w:numId w:val="1013"/>
        </w:numPr>
      </w:pPr>
      <w:r>
        <w:t xml:space="preserve">FRE en proceso de consolidación (Rojo)</w:t>
      </w:r>
    </w:p>
    <w:p>
      <w:pPr>
        <w:pStyle w:val="FirstParagraph"/>
      </w:pPr>
      <w:r>
        <w:t xml:space="preserve">Es preciso resaltar que los FRE Antioquia y Valle del Cauca fueron categorizados como dos categorías distintas, respectivamente. Lo anterior es suscitado por las grandes diferencias en la gestión de MME y la administración departamental, que tienen estos entes territoriales frente a los otros FRE. No obstante, el análisis descriptivo de la Figura</w:t>
      </w:r>
      <w:r>
        <w:t xml:space="preserve"> </w:t>
      </w:r>
      <w:r>
        <w:t xml:space="preserve">4.12</w:t>
      </w:r>
      <w:r>
        <w:t xml:space="preserve">, permite organizar estas agrupaciones en 3 categorías, dejando fuera a estos dos FRE, cuyas capacidades exceden la media de la gestión de los FRE a nivel nacional.</w:t>
      </w:r>
    </w:p>
    <w:p>
      <w:pPr>
        <w:pStyle w:val="BodyText"/>
      </w:pPr>
      <w:r>
        <w:t xml:space="preserve">La categoría</w:t>
      </w:r>
      <w:r>
        <w:t xml:space="preserve"> </w:t>
      </w:r>
      <w:r>
        <w:rPr>
          <w:iCs/>
          <w:i/>
        </w:rPr>
        <w:t xml:space="preserve">“</w:t>
      </w:r>
      <w:r>
        <w:rPr>
          <w:iCs/>
          <w:i/>
        </w:rPr>
        <w:t xml:space="preserve">FRE suficientemente consolidado</w:t>
      </w:r>
      <w:r>
        <w:rPr>
          <w:iCs/>
          <w:i/>
        </w:rPr>
        <w:t xml:space="preserve">”</w:t>
      </w:r>
      <w:r>
        <w:t xml:space="preserve"> </w:t>
      </w:r>
      <w:r>
        <w:t xml:space="preserve">exhibida en color verde en la Figura</w:t>
      </w:r>
      <w:r>
        <w:t xml:space="preserve"> </w:t>
      </w:r>
      <w:r>
        <w:t xml:space="preserve">4.12</w:t>
      </w:r>
      <w:r>
        <w:t xml:space="preserve">, habla de un FRE que tiene capacidades operativas y administrativas suficientes, teniendo en cuenta factores externos como el presupuesto y la complejidad de las instituciones inscritas en su territorio. Sin embargo, existen variables donde se requiere adelantar un trabajo profundo para llegar a tener una gestión ideal como el caso de Antioquia y Valle del cauca, recalcando que también son territorios de alta complejidad. Es necesario aclarar que esta denominación</w:t>
      </w:r>
      <w:r>
        <w:t xml:space="preserve"> </w:t>
      </w:r>
      <w:r>
        <w:t xml:space="preserve">“</w:t>
      </w:r>
      <w:r>
        <w:t xml:space="preserve">altamente consolidado</w:t>
      </w:r>
      <w:r>
        <w:t xml:space="preserve">”</w:t>
      </w:r>
      <w:r>
        <w:t xml:space="preserve"> </w:t>
      </w:r>
      <w:r>
        <w:t xml:space="preserve">está relacionada directamente con las capacidades del departamento, para gestionar sus recursos en salud.</w:t>
      </w:r>
    </w:p>
    <w:p>
      <w:pPr>
        <w:pStyle w:val="BodyText"/>
      </w:pPr>
      <w:r>
        <w:t xml:space="preserve">La categoría</w:t>
      </w:r>
      <w:r>
        <w:t xml:space="preserve"> </w:t>
      </w:r>
      <w:r>
        <w:rPr>
          <w:iCs/>
          <w:i/>
        </w:rPr>
        <w:t xml:space="preserve">“</w:t>
      </w:r>
      <w:r>
        <w:rPr>
          <w:iCs/>
          <w:i/>
        </w:rPr>
        <w:t xml:space="preserve">FRE medianamente consolidado</w:t>
      </w:r>
      <w:r>
        <w:rPr>
          <w:iCs/>
          <w:i/>
        </w:rPr>
        <w:t xml:space="preserve">”</w:t>
      </w:r>
      <w:r>
        <w:t xml:space="preserve"> </w:t>
      </w:r>
      <w:r>
        <w:t xml:space="preserve">se muestra de color azul en la Figura</w:t>
      </w:r>
      <w:r>
        <w:t xml:space="preserve"> </w:t>
      </w:r>
      <w:r>
        <w:t xml:space="preserve">4.12</w:t>
      </w:r>
      <w:r>
        <w:t xml:space="preserve"> </w:t>
      </w:r>
      <w:r>
        <w:t xml:space="preserve">Esta clasificación representa a los FRE que cumplen con las necesidades de manejo de MME en su territorio, no obstante, estos entes territoriales tienen suficiente presupuesto para adelantar una gestión aún mejor y más robusta. Por este motivo se recomienda a los FRE de este grupo, mejorar en los siguientes temas puntuales como: (i) contratación del personal del FRE, (ii) cumplimiento de los anexos de la Resolución 1479 de 2006 y (iii) proyección adecuada del consumo de MME en cada territorio.</w:t>
      </w:r>
    </w:p>
    <w:p>
      <w:pPr>
        <w:pStyle w:val="BodyText"/>
      </w:pPr>
      <w:r>
        <w:t xml:space="preserve">La categoría</w:t>
      </w:r>
      <w:r>
        <w:t xml:space="preserve"> </w:t>
      </w:r>
      <w:r>
        <w:rPr>
          <w:iCs/>
          <w:i/>
        </w:rPr>
        <w:t xml:space="preserve">“</w:t>
      </w:r>
      <w:r>
        <w:rPr>
          <w:iCs/>
          <w:i/>
        </w:rPr>
        <w:t xml:space="preserve">FRE en proceso de consolidación</w:t>
      </w:r>
      <w:r>
        <w:rPr>
          <w:iCs/>
          <w:i/>
        </w:rPr>
        <w:t xml:space="preserve">”</w:t>
      </w:r>
      <w:r>
        <w:t xml:space="preserve"> </w:t>
      </w:r>
      <w:r>
        <w:t xml:space="preserve">exhibida en color rojo en la Figura</w:t>
      </w:r>
      <w:r>
        <w:t xml:space="preserve"> </w:t>
      </w:r>
      <w:r>
        <w:t xml:space="preserve">4.12</w:t>
      </w:r>
      <w:r>
        <w:t xml:space="preserve">, contiene a los FRE que necesitan asistencia técnica inmediata por parte del FNE, de la mano de su respectiva Dirección Departamental de salud. Lo anterior se debe a que estos FRE no presentan una complejidad muy alta en función de las pocas instituciones inscritas, densidad demográfica y el limitado portafolio de MME que se distribuyen en estos territorios.</w:t>
      </w:r>
      <w:r>
        <w:t xml:space="preserve"> </w:t>
      </w:r>
      <w:r>
        <w:t xml:space="preserve">En adición, el seguimiento y manejo de los MME es débil en estos FRE y sus herramientas tecnológicas son limitadas. Por esta razón, la asistencia técnica por parte del FNE puede ser de gran ayuda, para entender cómo distribuir los recursos a disposición del FRE y mejorar en capacidades propias, con el fin de apoyar en el proceso de consolidación del FRE.s</w:t>
      </w:r>
    </w:p>
    <w:bookmarkEnd w:id="51"/>
    <w:bookmarkEnd w:id="52"/>
    <w:bookmarkStart w:id="113"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8</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59" w:name="existencia-de-recetarios"/>
    <w:p>
      <w:pPr>
        <w:pStyle w:val="Heading2"/>
      </w:pPr>
      <w:r>
        <w:rPr>
          <w:rStyle w:val="SectionNumber"/>
        </w:rPr>
        <w:t xml:space="preserve">5.1</w:t>
      </w:r>
      <w:r>
        <w:tab/>
      </w:r>
      <w:r>
        <w:t xml:space="preserve">Existencia de recetarios</w:t>
      </w:r>
    </w:p>
    <w:bookmarkStart w:id="55"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4" w:name="fig11"/>
      <w:r>
        <w:t xml:space="preserve">Figure </w:t>
      </w:r>
      <w:fldSimple w:instr="SEQ Figure \* ARABIC ">
        <w:r>
          <w:t>11</w:t>
        </w:r>
      </w:fldSimple>
      <w:r>
        <w:t xml:space="preserve">:</w:t>
      </w:r>
      <w:r>
        <w:t xml:space="preserve"> </w:t>
      </w:r>
      <w:bookmarkEnd w:id="54"/>
      <w:r>
        <w:t xml:space="preserve">Figura 5.1: Existencia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5"/>
    <w:bookmarkStart w:id="58"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5.2: N.° de recetarios circulantes en el departamento.</w:t>
      </w:r>
    </w:p>
    <w:bookmarkEnd w:id="58"/>
    <w:bookmarkEnd w:id="59"/>
    <w:bookmarkStart w:id="71" w:name="costos-de-recetarios"/>
    <w:p>
      <w:pPr>
        <w:pStyle w:val="Heading2"/>
      </w:pPr>
      <w:r>
        <w:rPr>
          <w:rStyle w:val="SectionNumber"/>
        </w:rPr>
        <w:t xml:space="preserve">5.2</w:t>
      </w:r>
      <w:r>
        <w:tab/>
      </w:r>
      <w:r>
        <w:t xml:space="preserve">Costos de recetarios</w:t>
      </w:r>
    </w:p>
    <w:bookmarkStart w:id="64"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13"/>
      <w:r>
        <w:t xml:space="preserve">Figure </w:t>
      </w:r>
      <w:fldSimple w:instr="SEQ Figure \* ARABIC ">
        <w:r>
          <w:t>13</w:t>
        </w:r>
      </w:fldSimple>
      <w:r>
        <w:t xml:space="preserve">:</w:t>
      </w:r>
      <w:r>
        <w:t xml:space="preserve"> </w:t>
      </w:r>
      <w:bookmarkEnd w:id="61"/>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4"/>
      <w:r>
        <w:t xml:space="preserve">Figure </w:t>
      </w:r>
      <w:fldSimple w:instr="SEQ Figure \* ARABIC ">
        <w:r>
          <w:t>14</w:t>
        </w:r>
      </w:fldSimple>
      <w:r>
        <w:t xml:space="preserve">:</w:t>
      </w:r>
      <w:r>
        <w:t xml:space="preserve"> </w:t>
      </w:r>
      <w:bookmarkEnd w:id="63"/>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4"/>
    <w:bookmarkStart w:id="67"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4"/>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9</w:t>
        </w:r>
      </w:hyperlink>
      <w:r>
        <w:t xml:space="preserve">.</w:t>
      </w:r>
    </w:p>
    <w:p>
      <w:pPr>
        <w:numPr>
          <w:ilvl w:val="0"/>
          <w:numId w:val="1014"/>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9</w:t>
        </w:r>
      </w:hyperlink>
      <w:r>
        <w:t xml:space="preserve">.</w:t>
      </w:r>
    </w:p>
    <w:p>
      <w:pPr>
        <w:numPr>
          <w:ilvl w:val="0"/>
          <w:numId w:val="1014"/>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9</w:t>
        </w:r>
      </w:hyperlink>
      <w:r>
        <w:t xml:space="preserve">.</w:t>
      </w:r>
    </w:p>
    <w:p>
      <w:pPr>
        <w:numPr>
          <w:ilvl w:val="0"/>
          <w:numId w:val="1014"/>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10</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como variable dependiente, y se tuvieron las siguientes variables como variable independientes (regresores):</w:t>
      </w:r>
    </w:p>
    <w:p>
      <w:pPr>
        <w:numPr>
          <w:ilvl w:val="0"/>
          <w:numId w:val="1015"/>
        </w:numPr>
      </w:pPr>
      <w:r>
        <w:t xml:space="preserve">número de prescripciones en el recetario (variable continua).</w:t>
      </w:r>
    </w:p>
    <w:p>
      <w:pPr>
        <w:numPr>
          <w:ilvl w:val="0"/>
          <w:numId w:val="1015"/>
        </w:numPr>
      </w:pPr>
      <w:r>
        <w:t xml:space="preserve">número de medidas de seguridad implementadas en el recetario (variable continua).</w:t>
      </w:r>
    </w:p>
    <w:p>
      <w:pPr>
        <w:numPr>
          <w:ilvl w:val="0"/>
          <w:numId w:val="1015"/>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En la Tabla</w:t>
      </w:r>
      <w:r>
        <w:t xml:space="preserve"> </w:t>
      </w:r>
      <w:r>
        <w:t xml:space="preserve">5.1</w:t>
      </w:r>
      <w:r>
        <w:t xml:space="preserve"> </w:t>
      </w:r>
      <w:r>
        <w:t xml:space="preserve">se muestran los resultados de la regresión lineal múltiple, la modalidad de selección se incluyeron como variables comodín (</w:t>
      </w:r>
      <w:r>
        <w:rPr>
          <w:iCs/>
          <w:i/>
        </w:rPr>
        <w:t xml:space="preserve">dummies</w:t>
      </w:r>
      <w:r>
        <w:t xml:space="preserve">) teniendo en cuenta como referencia a la contratación directa. El modelo generado presenta una bondad de ajuste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5"/>
      <w:r>
        <w:t xml:space="preserve">Figure </w:t>
      </w:r>
      <w:fldSimple w:instr="SEQ Figure \* ARABIC ">
        <w:r>
          <w:t>15</w:t>
        </w:r>
      </w:fldSimple>
      <w:r>
        <w:t xml:space="preserve">:</w:t>
      </w:r>
      <w:r>
        <w:t xml:space="preserve"> </w:t>
      </w:r>
      <w:bookmarkEnd w:id="66"/>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7"/>
    <w:bookmarkStart w:id="70"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0"/>
    <w:bookmarkEnd w:id="71"/>
    <w:bookmarkStart w:id="80" w:name="adquisición-de-recetarios"/>
    <w:p>
      <w:pPr>
        <w:pStyle w:val="Heading2"/>
      </w:pPr>
      <w:r>
        <w:rPr>
          <w:rStyle w:val="SectionNumber"/>
        </w:rPr>
        <w:t xml:space="preserve">5.3</w:t>
      </w:r>
      <w:r>
        <w:tab/>
      </w:r>
      <w:r>
        <w:t xml:space="preserve">Adquisición de recetarios</w:t>
      </w:r>
    </w:p>
    <w:bookmarkStart w:id="76"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3" w:name="fig17"/>
      <w:r>
        <w:t xml:space="preserve">Figure </w:t>
      </w:r>
      <w:fldSimple w:instr="SEQ Figure \* ARABIC ">
        <w:r>
          <w:t>17</w:t>
        </w:r>
      </w:fldSimple>
      <w:r>
        <w:t xml:space="preserve">:</w:t>
      </w:r>
      <w:r>
        <w:t xml:space="preserve"> </w:t>
      </w:r>
      <w:bookmarkEnd w:id="73"/>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4"/>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5" w:name="fig18"/>
      <w:r>
        <w:t xml:space="preserve">Figure </w:t>
      </w:r>
      <w:fldSimple w:instr="SEQ Figure \* ARABIC ">
        <w:r>
          <w:t>18</w:t>
        </w:r>
      </w:fldSimple>
      <w:r>
        <w:t xml:space="preserve">:</w:t>
      </w:r>
      <w:r>
        <w:t xml:space="preserve"> </w:t>
      </w:r>
      <w:bookmarkEnd w:id="75"/>
      <w:r>
        <w:t xml:space="preserve">Figura 5.8: Proceso de contratación/licitación de los recetarios oficiales.</w:t>
      </w:r>
    </w:p>
    <w:bookmarkEnd w:id="76"/>
    <w:bookmarkStart w:id="79"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9"/>
    <w:bookmarkEnd w:id="80"/>
    <w:bookmarkStart w:id="99" w:name="procesos-relacionados-a-los-recetarios"/>
    <w:p>
      <w:pPr>
        <w:pStyle w:val="Heading2"/>
      </w:pPr>
      <w:r>
        <w:rPr>
          <w:rStyle w:val="SectionNumber"/>
        </w:rPr>
        <w:t xml:space="preserve">5.4</w:t>
      </w:r>
      <w:r>
        <w:tab/>
      </w:r>
      <w:r>
        <w:t xml:space="preserve">Procesos relacionados a los recetarios</w:t>
      </w:r>
    </w:p>
    <w:bookmarkStart w:id="83"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2" w:name="fig20"/>
      <w:r>
        <w:t xml:space="preserve">Figure </w:t>
      </w:r>
      <w:fldSimple w:instr="SEQ Figure \* ARABIC ">
        <w:r>
          <w:t>20</w:t>
        </w:r>
      </w:fldSimple>
      <w:r>
        <w:t xml:space="preserve">:</w:t>
      </w:r>
      <w:r>
        <w:t xml:space="preserve"> </w:t>
      </w:r>
      <w:bookmarkEnd w:id="82"/>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83"/>
    <w:bookmarkStart w:id="88"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4"/>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5" w:name="fig21"/>
      <w:r>
        <w:t xml:space="preserve">Figure </w:t>
      </w:r>
      <w:fldSimple w:instr="SEQ Figure \* ARABIC ">
        <w:r>
          <w:t>21</w:t>
        </w:r>
      </w:fldSimple>
      <w:r>
        <w:t xml:space="preserve">:</w:t>
      </w:r>
      <w:r>
        <w:t xml:space="preserve"> </w:t>
      </w:r>
      <w:bookmarkEnd w:id="85"/>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7" w:name="fig22"/>
      <w:r>
        <w:t xml:space="preserve">Figure </w:t>
      </w:r>
      <w:fldSimple w:instr="SEQ Figure \* ARABIC ">
        <w:r>
          <w:t>22</w:t>
        </w:r>
      </w:fldSimple>
      <w:r>
        <w:t xml:space="preserve">:</w:t>
      </w:r>
      <w:r>
        <w:t xml:space="preserve"> </w:t>
      </w:r>
      <w:bookmarkEnd w:id="87"/>
      <w:r>
        <w:t xml:space="preserve">Figura 5.12: Tiempo de demora en la venta de recetarios oficiales a clientes.</w:t>
      </w:r>
    </w:p>
    <w:bookmarkEnd w:id="88"/>
    <w:bookmarkStart w:id="93"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6"/>
        </w:numPr>
      </w:pPr>
      <w:r>
        <w:t xml:space="preserve">Datos básicos de las entidades y prescriptores inscritos en el FRE.</w:t>
      </w:r>
    </w:p>
    <w:p>
      <w:pPr>
        <w:numPr>
          <w:ilvl w:val="0"/>
          <w:numId w:val="1016"/>
        </w:numPr>
      </w:pPr>
      <w:r>
        <w:t xml:space="preserve">Unidades consumidas y su respectivo valor.</w:t>
      </w:r>
    </w:p>
    <w:p>
      <w:pPr>
        <w:numPr>
          <w:ilvl w:val="0"/>
          <w:numId w:val="1016"/>
        </w:numPr>
      </w:pPr>
      <w:r>
        <w:t xml:space="preserve">Datos de identificación de los recetarios.</w:t>
      </w:r>
    </w:p>
    <w:p>
      <w:pPr>
        <w:numPr>
          <w:ilvl w:val="0"/>
          <w:numId w:val="1016"/>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0" w:name="fig23"/>
      <w:r>
        <w:t xml:space="preserve">Figure </w:t>
      </w:r>
      <w:fldSimple w:instr="SEQ Figure \* ARABIC ">
        <w:r>
          <w:t>23</w:t>
        </w:r>
      </w:fldSimple>
      <w:r>
        <w:t xml:space="preserve">:</w:t>
      </w:r>
      <w:r>
        <w:t xml:space="preserve"> </w:t>
      </w:r>
      <w:bookmarkEnd w:id="90"/>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7"/>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7"/>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2" w:name="fig24"/>
      <w:r>
        <w:t xml:space="preserve">Figure </w:t>
      </w:r>
      <w:fldSimple w:instr="SEQ Figure \* ARABIC ">
        <w:r>
          <w:t>24</w:t>
        </w:r>
      </w:fldSimple>
      <w:r>
        <w:t xml:space="preserve">:</w:t>
      </w:r>
      <w:r>
        <w:t xml:space="preserve"> </w:t>
      </w:r>
      <w:bookmarkEnd w:id="92"/>
      <w:r>
        <w:t xml:space="preserve">Figura 5.14: Actividades realizadas por el FRE para el seguimiento del uso de recetarios.</w:t>
      </w:r>
    </w:p>
    <w:bookmarkEnd w:id="93"/>
    <w:bookmarkStart w:id="98"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11</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25"/>
      <w:r>
        <w:t xml:space="preserve">Figure </w:t>
      </w:r>
      <w:fldSimple w:instr="SEQ Figure \* ARABIC ">
        <w:r>
          <w:t>25</w:t>
        </w:r>
      </w:fldSimple>
      <w:r>
        <w:t xml:space="preserve">:</w:t>
      </w:r>
      <w:r>
        <w:t xml:space="preserve"> </w:t>
      </w:r>
      <w:bookmarkEnd w:id="95"/>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12</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11</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8"/>
    <w:bookmarkEnd w:id="99"/>
    <w:bookmarkStart w:id="108" w:name="características-de-los-recetarios"/>
    <w:p>
      <w:pPr>
        <w:pStyle w:val="Heading2"/>
      </w:pPr>
      <w:r>
        <w:rPr>
          <w:rStyle w:val="SectionNumber"/>
        </w:rPr>
        <w:t xml:space="preserve">5.5</w:t>
      </w:r>
      <w:r>
        <w:tab/>
      </w:r>
      <w:r>
        <w:t xml:space="preserve">Características de los recetarios</w:t>
      </w:r>
    </w:p>
    <w:bookmarkStart w:id="102"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27"/>
      <w:r>
        <w:t xml:space="preserve">Figure </w:t>
      </w:r>
      <w:fldSimple w:instr="SEQ Figure \* ARABIC ">
        <w:r>
          <w:t>27</w:t>
        </w:r>
      </w:fldSimple>
      <w:r>
        <w:t xml:space="preserve">:</w:t>
      </w:r>
      <w:r>
        <w:t xml:space="preserve"> </w:t>
      </w:r>
      <w:bookmarkEnd w:id="101"/>
      <w:r>
        <w:t xml:space="preserve">Figura 5.17: N.° de prescripciones por recetario.</w:t>
      </w:r>
    </w:p>
    <w:bookmarkEnd w:id="102"/>
    <w:bookmarkStart w:id="107"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0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4" w:name="fig28"/>
      <w:r>
        <w:t xml:space="preserve">Figure </w:t>
      </w:r>
      <w:fldSimple w:instr="SEQ Figure \* ARABIC ">
        <w:r>
          <w:t>28</w:t>
        </w:r>
      </w:fldSimple>
      <w:r>
        <w:t xml:space="preserve">:</w:t>
      </w:r>
      <w:r>
        <w:t xml:space="preserve"> </w:t>
      </w:r>
      <w:bookmarkEnd w:id="104"/>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8"/>
        </w:numPr>
      </w:pPr>
      <w:r>
        <w:t xml:space="preserve">Tintas invisibles o fluorescentes que brillan al estar frente a la luz UV.</w:t>
      </w:r>
    </w:p>
    <w:p>
      <w:pPr>
        <w:numPr>
          <w:ilvl w:val="0"/>
          <w:numId w:val="1018"/>
        </w:numPr>
      </w:pPr>
      <w:r>
        <w:t xml:space="preserve">Microletras/microtextos, los cuales están inmersos en cada folio del recetario donde se describe para quien va cada copia.</w:t>
      </w:r>
    </w:p>
    <w:p>
      <w:pPr>
        <w:numPr>
          <w:ilvl w:val="0"/>
          <w:numId w:val="1018"/>
        </w:numPr>
      </w:pPr>
      <w:r>
        <w:t xml:space="preserve">Relieves o laminados observados en la copia original de los recetarios.</w:t>
      </w:r>
    </w:p>
    <w:p>
      <w:pPr>
        <w:numPr>
          <w:ilvl w:val="0"/>
          <w:numId w:val="1018"/>
        </w:numPr>
      </w:pPr>
      <w:r>
        <w:t xml:space="preserve">Filamentos o bandas de seguridad tecnología similar a los billetes.</w:t>
      </w:r>
    </w:p>
    <w:p>
      <w:pPr>
        <w:numPr>
          <w:ilvl w:val="0"/>
          <w:numId w:val="1018"/>
        </w:numPr>
      </w:pPr>
      <w:r>
        <w:t xml:space="preserve">Pruebas reactivo metal, que consisten en raspar un espacio determinado del recetario con un metal o moneda desde la página original del mismo y automáticamente los folios continuos se marcarán.</w:t>
      </w:r>
    </w:p>
    <w:p>
      <w:pPr>
        <w:numPr>
          <w:ilvl w:val="0"/>
          <w:numId w:val="1018"/>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7"/>
    <w:bookmarkEnd w:id="108"/>
    <w:bookmarkStart w:id="112"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13</w:t>
        </w:r>
      </w:hyperlink>
      <w:r>
        <w:t xml:space="preserve">.</w:t>
      </w:r>
    </w:p>
    <w:bookmarkStart w:id="111"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0"/>
      <w:r>
        <w:t xml:space="preserve">Figure </w:t>
      </w:r>
      <w:fldSimple w:instr="SEQ Figure \* ARABIC ">
        <w:r>
          <w:t>30</w:t>
        </w:r>
      </w:fldSimple>
      <w:r>
        <w:t xml:space="preserve">:</w:t>
      </w:r>
      <w:r>
        <w:t xml:space="preserve"> </w:t>
      </w:r>
      <w:bookmarkEnd w:id="110"/>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11"/>
    <w:bookmarkEnd w:id="112"/>
    <w:bookmarkEnd w:id="113"/>
    <w:bookmarkStart w:id="173"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14</w:t>
        </w:r>
      </w:hyperlink>
      <w:r>
        <w:t xml:space="preserve"> </w:t>
      </w:r>
      <w:r>
        <w:t xml:space="preserve">y la Resolución 940 de 2007</w:t>
      </w:r>
      <w:hyperlink w:anchor="ref-MSPS940-2007">
        <w:r>
          <w:rPr>
            <w:rStyle w:val="Hyperlink"/>
            <w:vertAlign w:val="superscript"/>
          </w:rPr>
          <w:t xml:space="preserve">15</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16</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17</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18</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19</w:t>
        </w:r>
      </w:hyperlink>
      <w:r>
        <w:t xml:space="preserve">, o estatus convulsivo</w:t>
      </w:r>
      <w:hyperlink w:anchor="ref-VergaraAguilar2019">
        <w:r>
          <w:rPr>
            <w:rStyle w:val="Hyperlink"/>
            <w:vertAlign w:val="superscript"/>
          </w:rPr>
          <w:t xml:space="preserve">20</w:t>
        </w:r>
      </w:hyperlink>
      <w:r>
        <w:t xml:space="preserve">. La primidona cuenta con un espacio limitado en la terapia moderna de la epilepsia</w:t>
      </w:r>
      <w:hyperlink w:anchor="ref-Johannessen2020">
        <w:r>
          <w:rPr>
            <w:rStyle w:val="Hyperlink"/>
            <w:vertAlign w:val="superscript"/>
          </w:rPr>
          <w:t xml:space="preserve">21</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22</w:t>
        </w:r>
      </w:hyperlink>
      <w:r>
        <w:rPr>
          <w:vertAlign w:val="superscript"/>
        </w:rPr>
        <w:t xml:space="preserve">,</w:t>
      </w:r>
      <w:hyperlink w:anchor="ref-Llanos-Lizcanoa2019">
        <w:r>
          <w:rPr>
            <w:rStyle w:val="Hyperlink"/>
            <w:vertAlign w:val="superscript"/>
          </w:rPr>
          <w:t xml:space="preserve">23</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24</w:t>
        </w:r>
      </w:hyperlink>
      <w:r>
        <w:rPr>
          <w:vertAlign w:val="superscript"/>
        </w:rPr>
        <w:t xml:space="preserve">,</w:t>
      </w:r>
      <w:hyperlink w:anchor="ref-INVIMA2018-Desabast">
        <w:r>
          <w:rPr>
            <w:rStyle w:val="Hyperlink"/>
            <w:vertAlign w:val="superscript"/>
          </w:rPr>
          <w:t xml:space="preserve">25</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26</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27</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27</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28</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28</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29</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30</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31</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23"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32</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33</w:t>
        </w:r>
      </w:hyperlink>
      <w:r>
        <w:t xml:space="preserve">:</w:t>
      </w:r>
    </w:p>
    <w:p>
      <w:pPr>
        <w:numPr>
          <w:ilvl w:val="0"/>
          <w:numId w:val="1019"/>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19"/>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19"/>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33</w:t>
        </w:r>
      </w:hyperlink>
      <w:r>
        <w:t xml:space="preserve">.</w:t>
      </w:r>
    </w:p>
    <w:bookmarkStart w:id="116"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29</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396132"/>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4"/>
                    <a:stretch>
                      <a:fillRect/>
                    </a:stretch>
                  </pic:blipFill>
                  <pic:spPr bwMode="auto">
                    <a:xfrm>
                      <a:off x="0" y="0"/>
                      <a:ext cx="5334000" cy="2396132"/>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16"/>
    <w:bookmarkStart w:id="119"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29</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32"/>
      <w:r>
        <w:t xml:space="preserve">Figure </w:t>
      </w:r>
      <w:fldSimple w:instr="SEQ Figure \* ARABIC ">
        <w:r>
          <w:t>32</w:t>
        </w:r>
      </w:fldSimple>
      <w:r>
        <w:t xml:space="preserve">:</w:t>
      </w:r>
      <w:r>
        <w:t xml:space="preserve"> </w:t>
      </w:r>
      <w:bookmarkEnd w:id="118"/>
      <w:r>
        <w:t xml:space="preserve">Figura 6.2: Frecuencia de compras de medicamentos por año al FNE.</w:t>
      </w:r>
    </w:p>
    <w:bookmarkEnd w:id="119"/>
    <w:bookmarkStart w:id="122"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34</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34</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33</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29</w:t>
        </w:r>
      </w:hyperlink>
      <w:r>
        <w:t xml:space="preserve">.</w:t>
      </w:r>
    </w:p>
    <w:p>
      <w:pPr>
        <w:pStyle w:val="CaptionedFigure"/>
      </w:pPr>
      <w:r>
        <w:drawing>
          <wp:inline>
            <wp:extent cx="5334000" cy="3556000"/>
            <wp:effectExtent b="0" l="0" r="0" t="0"/>
            <wp:docPr descr="Figura 6.3: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1" w:name="fig33"/>
      <w:r>
        <w:t xml:space="preserve">Figure </w:t>
      </w:r>
      <w:fldSimple w:instr="SEQ Figure \* ARABIC ">
        <w:r>
          <w:t>33</w:t>
        </w:r>
      </w:fldSimple>
      <w:r>
        <w:t xml:space="preserve">:</w:t>
      </w:r>
      <w:r>
        <w:t xml:space="preserve"> </w:t>
      </w:r>
      <w:bookmarkEnd w:id="121"/>
      <w:r>
        <w:t xml:space="preserve">Figura 6.3: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22"/>
    <w:bookmarkEnd w:id="123"/>
    <w:bookmarkStart w:id="137" w:name="adquisición-de-mme"/>
    <w:p>
      <w:pPr>
        <w:pStyle w:val="Heading2"/>
      </w:pPr>
      <w:r>
        <w:rPr>
          <w:rStyle w:val="SectionNumber"/>
        </w:rPr>
        <w:t xml:space="preserve">6.2</w:t>
      </w:r>
      <w:r>
        <w:tab/>
      </w:r>
      <w:r>
        <w:t xml:space="preserve">Adquisición de MME</w:t>
      </w:r>
    </w:p>
    <w:bookmarkStart w:id="127"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29</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0"/>
        </w:numPr>
      </w:pPr>
      <w:r>
        <w:t xml:space="preserve">Estimación de necesidades</w:t>
      </w:r>
    </w:p>
    <w:p>
      <w:pPr>
        <w:numPr>
          <w:ilvl w:val="0"/>
          <w:numId w:val="1020"/>
        </w:numPr>
      </w:pPr>
      <w:r>
        <w:t xml:space="preserve">Precontractual</w:t>
      </w:r>
    </w:p>
    <w:p>
      <w:pPr>
        <w:numPr>
          <w:ilvl w:val="0"/>
          <w:numId w:val="1020"/>
        </w:numPr>
      </w:pPr>
      <w:r>
        <w:t xml:space="preserve">Contractual</w:t>
      </w:r>
    </w:p>
    <w:p>
      <w:pPr>
        <w:numPr>
          <w:ilvl w:val="0"/>
          <w:numId w:val="1020"/>
        </w:numPr>
      </w:pPr>
      <w:r>
        <w:t xml:space="preserve">Solicitud en la plataforma tecnológica</w:t>
      </w:r>
    </w:p>
    <w:p>
      <w:pPr>
        <w:numPr>
          <w:ilvl w:val="0"/>
          <w:numId w:val="1020"/>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6.4</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24"/>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6.4</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6.5</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35</w:t>
        </w:r>
      </w:hyperlink>
      <w:r>
        <w:rPr>
          <w:vertAlign w:val="superscript"/>
        </w:rPr>
        <w:t xml:space="preserve">,</w:t>
      </w:r>
      <w:hyperlink w:anchor="ref-CongresodelaRepublicadeColombia2007">
        <w:r>
          <w:rPr>
            <w:rStyle w:val="Hyperlink"/>
            <w:vertAlign w:val="superscript"/>
          </w:rPr>
          <w:t xml:space="preserve">36</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w:t>
      </w:r>
      <w:hyperlink w:anchor="ref-CongresodelaRepublicadeColombia1993">
        <w:r>
          <w:rPr>
            <w:rStyle w:val="Hyperlink"/>
            <w:vertAlign w:val="superscript"/>
          </w:rPr>
          <w:t xml:space="preserve">35</w:t>
        </w:r>
      </w:hyperlink>
      <w:r>
        <w:t xml:space="preserve">. Por último, en la Figura</w:t>
      </w:r>
      <w:r>
        <w:t xml:space="preserve"> </w:t>
      </w:r>
      <w:r>
        <w:t xml:space="preserve">6.5</w:t>
      </w:r>
      <w:r>
        <w:t xml:space="preserve"> </w:t>
      </w:r>
      <w:r>
        <w:t xml:space="preserve">se muestra la mediana y el rango intercuartílico de los tiempos de cada etapa del proceso.</w:t>
      </w:r>
    </w:p>
    <w:p>
      <w:pPr>
        <w:pStyle w:val="CaptionedFigure"/>
      </w:pPr>
      <w:r>
        <w:drawing>
          <wp:inline>
            <wp:extent cx="5334000" cy="3556000"/>
            <wp:effectExtent b="0" l="0" r="0" t="0"/>
            <wp:docPr descr="Figura 6.5: Histogramas de tiempos en el proceso de adquisición por departamento. Línea negra segmentada mediana, líneas grises segmentadas primer y tercer cuartil."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2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6" w:name="fig34"/>
      <w:r>
        <w:t xml:space="preserve">Figure </w:t>
      </w:r>
      <w:fldSimple w:instr="SEQ Figure \* ARABIC ">
        <w:r>
          <w:t>34</w:t>
        </w:r>
      </w:fldSimple>
      <w:r>
        <w:t xml:space="preserve">:</w:t>
      </w:r>
      <w:r>
        <w:t xml:space="preserve"> </w:t>
      </w:r>
      <w:bookmarkEnd w:id="126"/>
      <w:r>
        <w:t xml:space="preserve">Figura 6.5: Histogramas de tiempos en el proceso de adquisición por departamento. Línea negra segmentada mediana, líneas grises segmentadas primer y tercer cuartil.</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37</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38</w:t>
        </w:r>
      </w:hyperlink>
      <w:r>
        <w:t xml:space="preserve">.</w:t>
      </w:r>
    </w:p>
    <w:bookmarkEnd w:id="127"/>
    <w:bookmarkStart w:id="130"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6.5</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39</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6.6</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6: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28"/>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29" w:name="fig35"/>
      <w:r>
        <w:t xml:space="preserve">Figure </w:t>
      </w:r>
      <w:fldSimple w:instr="SEQ Figure \* ARABIC ">
        <w:r>
          <w:t>35</w:t>
        </w:r>
      </w:fldSimple>
      <w:r>
        <w:t xml:space="preserve">:</w:t>
      </w:r>
      <w:r>
        <w:t xml:space="preserve"> </w:t>
      </w:r>
      <w:bookmarkEnd w:id="129"/>
      <w:r>
        <w:t xml:space="preserve">Figura 6.6: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0"/>
    <w:bookmarkStart w:id="133"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1"/>
        </w:numPr>
      </w:pPr>
      <w:r>
        <w:t xml:space="preserve">estudiar la documentación propia de la institución que realiza la recepción, con el fin de establecer los productos a recibir y qué condiciones requieren los mismos para su recepción.</w:t>
      </w:r>
    </w:p>
    <w:p>
      <w:pPr>
        <w:numPr>
          <w:ilvl w:val="0"/>
          <w:numId w:val="1021"/>
        </w:numPr>
      </w:pPr>
      <w:r>
        <w:t xml:space="preserve">verificar la documentación de quien hace la entrega, p.ej. guía de entrega. Las cantidades solicitadas deben corresponder con las aprobadas tras el pedido.</w:t>
      </w:r>
    </w:p>
    <w:p>
      <w:pPr>
        <w:numPr>
          <w:ilvl w:val="0"/>
          <w:numId w:val="1021"/>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40</w:t>
        </w:r>
      </w:hyperlink>
      <w:r>
        <w:rPr>
          <w:vertAlign w:val="superscript"/>
        </w:rPr>
        <w:t xml:space="preserve">,</w:t>
      </w:r>
      <w:hyperlink w:anchor="ref-GutierrezPulido2008">
        <w:r>
          <w:rPr>
            <w:rStyle w:val="Hyperlink"/>
            <w:vertAlign w:val="superscript"/>
          </w:rPr>
          <w:t xml:space="preserve">41</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2"/>
        </w:numPr>
      </w:pPr>
      <w:r>
        <w:t xml:space="preserve">fecha y hora de entrega</w:t>
      </w:r>
    </w:p>
    <w:p>
      <w:pPr>
        <w:numPr>
          <w:ilvl w:val="0"/>
          <w:numId w:val="1022"/>
        </w:numPr>
      </w:pPr>
      <w:r>
        <w:t xml:space="preserve">cantidad de unidades</w:t>
      </w:r>
    </w:p>
    <w:p>
      <w:pPr>
        <w:numPr>
          <w:ilvl w:val="0"/>
          <w:numId w:val="1022"/>
        </w:numPr>
      </w:pPr>
      <w:r>
        <w:t xml:space="preserve">número de lote</w:t>
      </w:r>
    </w:p>
    <w:p>
      <w:pPr>
        <w:numPr>
          <w:ilvl w:val="0"/>
          <w:numId w:val="1022"/>
        </w:numPr>
      </w:pPr>
      <w:r>
        <w:t xml:space="preserve">registro sanitario</w:t>
      </w:r>
    </w:p>
    <w:p>
      <w:pPr>
        <w:numPr>
          <w:ilvl w:val="0"/>
          <w:numId w:val="1022"/>
        </w:numPr>
      </w:pPr>
      <w:r>
        <w:t xml:space="preserve">fechas de vencimiento</w:t>
      </w:r>
    </w:p>
    <w:p>
      <w:pPr>
        <w:numPr>
          <w:ilvl w:val="0"/>
          <w:numId w:val="1022"/>
        </w:numPr>
      </w:pPr>
      <w:r>
        <w:t xml:space="preserve">condiciones de trasporte, manipulación y embalaje</w:t>
      </w:r>
    </w:p>
    <w:p>
      <w:pPr>
        <w:numPr>
          <w:ilvl w:val="0"/>
          <w:numId w:val="1022"/>
        </w:numPr>
      </w:pPr>
      <w:r>
        <w:t xml:space="preserve">material de empaque y envase</w:t>
      </w:r>
    </w:p>
    <w:p>
      <w:pPr>
        <w:numPr>
          <w:ilvl w:val="0"/>
          <w:numId w:val="1022"/>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6.7</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7: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1"/>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32" w:name="fig36"/>
      <w:r>
        <w:t xml:space="preserve">Figure </w:t>
      </w:r>
      <w:fldSimple w:instr="SEQ Figure \* ARABIC ">
        <w:r>
          <w:t>36</w:t>
        </w:r>
      </w:fldSimple>
      <w:r>
        <w:t xml:space="preserve">:</w:t>
      </w:r>
      <w:r>
        <w:t xml:space="preserve"> </w:t>
      </w:r>
      <w:bookmarkEnd w:id="132"/>
      <w:r>
        <w:t xml:space="preserve">Figura 6.7: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6.7</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33"/>
    <w:bookmarkStart w:id="136"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29</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42</w:t>
        </w:r>
      </w:hyperlink>
      <w:r>
        <w:t xml:space="preserve">, esto puede reducir los costos sí se utiliza en emergencias, o aumentarlos sí se utiliza de forma excesiva</w:t>
      </w:r>
      <w:hyperlink w:anchor="ref-Silver2017">
        <w:r>
          <w:rPr>
            <w:rStyle w:val="Hyperlink"/>
            <w:vertAlign w:val="superscript"/>
          </w:rPr>
          <w:t xml:space="preserve">29</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6.8</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8: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34"/>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35" w:name="fig37"/>
      <w:r>
        <w:t xml:space="preserve">Figure </w:t>
      </w:r>
      <w:fldSimple w:instr="SEQ Figure \* ARABIC ">
        <w:r>
          <w:t>37</w:t>
        </w:r>
      </w:fldSimple>
      <w:r>
        <w:t xml:space="preserve">:</w:t>
      </w:r>
      <w:r>
        <w:t xml:space="preserve"> </w:t>
      </w:r>
      <w:bookmarkEnd w:id="135"/>
      <w:r>
        <w:t xml:space="preserve">Figura 6.8: Caracterización en demoras de traslados interdepartamentales. (A) Gráfico de tiempos de traslados interdepartamentales reportados para los departamentos. (B) Mapa de tiempos de traslados interdepartamentales.</w:t>
      </w:r>
    </w:p>
    <w:bookmarkEnd w:id="136"/>
    <w:bookmarkEnd w:id="137"/>
    <w:bookmarkStart w:id="145" w:name="venta-de-mme"/>
    <w:p>
      <w:pPr>
        <w:pStyle w:val="Heading2"/>
      </w:pPr>
      <w:r>
        <w:rPr>
          <w:rStyle w:val="SectionNumber"/>
        </w:rPr>
        <w:t xml:space="preserve">6.3</w:t>
      </w:r>
      <w:r>
        <w:tab/>
      </w:r>
      <w:r>
        <w:t xml:space="preserve">Venta de MME</w:t>
      </w:r>
    </w:p>
    <w:p>
      <w:pPr>
        <w:pStyle w:val="FirstParagraph"/>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731947"/>
            <wp:effectExtent b="0" l="0" r="0" t="0"/>
            <wp:docPr descr="Figura 6.9: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38"/>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39" w:name="fig38"/>
      <w:r>
        <w:t xml:space="preserve">Figure </w:t>
      </w:r>
      <w:fldSimple w:instr="SEQ Figure \* ARABIC ">
        <w:r>
          <w:t>38</w:t>
        </w:r>
      </w:fldSimple>
      <w:r>
        <w:t xml:space="preserve">:</w:t>
      </w:r>
      <w:r>
        <w:t xml:space="preserve"> </w:t>
      </w:r>
      <w:bookmarkEnd w:id="139"/>
      <w:r>
        <w:t xml:space="preserve">Figura 6.9: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Start w:id="144"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39"/>
      <w:r>
        <w:t xml:space="preserve">Figure </w:t>
      </w:r>
      <w:fldSimple w:instr="SEQ Figure \* ARABIC ">
        <w:r>
          <w:t>39</w:t>
        </w:r>
      </w:fldSimple>
      <w:r>
        <w:t xml:space="preserve">:</w:t>
      </w:r>
      <w:r>
        <w:t xml:space="preserve"> </w:t>
      </w:r>
      <w:bookmarkEnd w:id="141"/>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40"/>
      <w:r>
        <w:t xml:space="preserve">Figure </w:t>
      </w:r>
      <w:fldSimple w:instr="SEQ Figure \* ARABIC ">
        <w:r>
          <w:t>40</w:t>
        </w:r>
      </w:fldSimple>
      <w:r>
        <w:t xml:space="preserve">:</w:t>
      </w:r>
      <w:r>
        <w:t xml:space="preserve"> </w:t>
      </w:r>
      <w:bookmarkEnd w:id="143"/>
      <w:r>
        <w:t xml:space="preserve">Figura 6.11: Existencia de otras instituciones que realizan ventas a instituciones a MME.</w:t>
      </w:r>
    </w:p>
    <w:bookmarkEnd w:id="144"/>
    <w:bookmarkEnd w:id="145"/>
    <w:bookmarkStart w:id="162" w:name="almacenamiento"/>
    <w:p>
      <w:pPr>
        <w:pStyle w:val="Heading2"/>
      </w:pPr>
      <w:r>
        <w:rPr>
          <w:rStyle w:val="SectionNumber"/>
        </w:rPr>
        <w:t xml:space="preserve">6.4</w:t>
      </w:r>
      <w:r>
        <w:tab/>
      </w:r>
      <w:r>
        <w:t xml:space="preserve">Almacenamiento</w:t>
      </w:r>
    </w:p>
    <w:bookmarkStart w:id="148"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7" w:name="fig41"/>
      <w:r>
        <w:t xml:space="preserve">Figure </w:t>
      </w:r>
      <w:fldSimple w:instr="SEQ Figure \* ARABIC ">
        <w:r>
          <w:t>41</w:t>
        </w:r>
      </w:fldSimple>
      <w:r>
        <w:t xml:space="preserve">:</w:t>
      </w:r>
      <w:r>
        <w:t xml:space="preserve"> </w:t>
      </w:r>
      <w:bookmarkEnd w:id="147"/>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8"/>
    <w:bookmarkStart w:id="152"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0" w:name="fig42"/>
      <w:r>
        <w:t xml:space="preserve">Figure </w:t>
      </w:r>
      <w:fldSimple w:instr="SEQ Figure \* ARABIC ">
        <w:r>
          <w:t>42</w:t>
        </w:r>
      </w:fldSimple>
      <w:r>
        <w:t xml:space="preserve">:</w:t>
      </w:r>
      <w:r>
        <w:t xml:space="preserve"> </w:t>
      </w:r>
      <w:bookmarkEnd w:id="150"/>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51"/>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52"/>
    <w:bookmarkStart w:id="158"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5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2667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5" w:name="fig43"/>
      <w:r>
        <w:t xml:space="preserve">Figure </w:t>
      </w:r>
      <w:fldSimple w:instr="SEQ Figure \* ARABIC ">
        <w:r>
          <w:t>43</w:t>
        </w:r>
      </w:fldSimple>
      <w:r>
        <w:t xml:space="preserve">:</w:t>
      </w:r>
      <w:r>
        <w:t xml:space="preserve"> </w:t>
      </w:r>
      <w:bookmarkEnd w:id="155"/>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29</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7" w:name="fig44"/>
      <w:r>
        <w:t xml:space="preserve">Figure </w:t>
      </w:r>
      <w:fldSimple w:instr="SEQ Figure \* ARABIC ">
        <w:r>
          <w:t>44</w:t>
        </w:r>
      </w:fldSimple>
      <w:r>
        <w:t xml:space="preserve">:</w:t>
      </w:r>
      <w:r>
        <w:t xml:space="preserve"> </w:t>
      </w:r>
      <w:bookmarkEnd w:id="157"/>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8"/>
    <w:bookmarkStart w:id="161"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3"/>
        </w:numPr>
      </w:pPr>
      <w:r>
        <w:t xml:space="preserve">Rojo: medicamento que se encuentra próximo a vencer.</w:t>
      </w:r>
    </w:p>
    <w:p>
      <w:pPr>
        <w:numPr>
          <w:ilvl w:val="0"/>
          <w:numId w:val="1023"/>
        </w:numPr>
      </w:pPr>
      <w:r>
        <w:t xml:space="preserve">Amarillo: medicamento que se encuentra en riesgo moderado de vencimiento.</w:t>
      </w:r>
    </w:p>
    <w:p>
      <w:pPr>
        <w:numPr>
          <w:ilvl w:val="0"/>
          <w:numId w:val="1023"/>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4"/>
        </w:numPr>
      </w:pPr>
      <w:r>
        <w:t xml:space="preserve">El producto cuenta con una vida útil de 18 meses.</w:t>
      </w:r>
    </w:p>
    <w:p>
      <w:pPr>
        <w:numPr>
          <w:ilvl w:val="0"/>
          <w:numId w:val="1024"/>
        </w:numPr>
      </w:pPr>
      <w:r>
        <w:t xml:space="preserve">Este medicamento es importado y en ocasiones la casa matriz entrega el producto con una vida útil efectiva menor a los 18 meses mencionados.</w:t>
      </w:r>
    </w:p>
    <w:p>
      <w:pPr>
        <w:numPr>
          <w:ilvl w:val="0"/>
          <w:numId w:val="1024"/>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0" w:name="fig45"/>
      <w:r>
        <w:t xml:space="preserve">Figure </w:t>
      </w:r>
      <w:fldSimple w:instr="SEQ Figure \* ARABIC ">
        <w:r>
          <w:t>45</w:t>
        </w:r>
      </w:fldSimple>
      <w:r>
        <w:t xml:space="preserve">:</w:t>
      </w:r>
      <w:r>
        <w:t xml:space="preserve"> </w:t>
      </w:r>
      <w:bookmarkEnd w:id="160"/>
      <w:r>
        <w:t xml:space="preserve">Figura 6.18: Vencimiento de medicamentos. (A) Presentación de casos de vencimiento de MME. (B) Medicamentos implicados en casos de vencimiento de MME.</w:t>
      </w:r>
    </w:p>
    <w:bookmarkEnd w:id="161"/>
    <w:bookmarkEnd w:id="162"/>
    <w:bookmarkStart w:id="165"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555875"/>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63"/>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64" w:name="fig46"/>
      <w:r>
        <w:t xml:space="preserve">Figure </w:t>
      </w:r>
      <w:fldSimple w:instr="SEQ Figure \* ARABIC ">
        <w:r>
          <w:t>46</w:t>
        </w:r>
      </w:fldSimple>
      <w:r>
        <w:t xml:space="preserve">:</w:t>
      </w:r>
      <w:r>
        <w:t xml:space="preserve"> </w:t>
      </w:r>
      <w:bookmarkEnd w:id="164"/>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65"/>
    <w:bookmarkStart w:id="172"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44</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45</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46</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46</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7" w:name="fig47"/>
      <w:r>
        <w:t xml:space="preserve">Figure </w:t>
      </w:r>
      <w:fldSimple w:instr="SEQ Figure \* ARABIC ">
        <w:r>
          <w:t>47</w:t>
        </w:r>
      </w:fldSimple>
      <w:r>
        <w:t xml:space="preserve">:</w:t>
      </w:r>
      <w:r>
        <w:t xml:space="preserve"> </w:t>
      </w:r>
      <w:bookmarkEnd w:id="167"/>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9" w:name="fig48"/>
      <w:r>
        <w:t xml:space="preserve">Figure </w:t>
      </w:r>
      <w:fldSimple w:instr="SEQ Figure \* ARABIC ">
        <w:r>
          <w:t>48</w:t>
        </w:r>
      </w:fldSimple>
      <w:r>
        <w:t xml:space="preserve">:</w:t>
      </w:r>
      <w:r>
        <w:t xml:space="preserve"> </w:t>
      </w:r>
      <w:bookmarkEnd w:id="169"/>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m,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0"/>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71" w:name="fig49"/>
      <w:r>
        <w:t xml:space="preserve">Figure </w:t>
      </w:r>
      <w:fldSimple w:instr="SEQ Figure \* ARABIC ">
        <w:r>
          <w:t>49</w:t>
        </w:r>
      </w:fldSimple>
      <w:r>
        <w:t xml:space="preserve">:</w:t>
      </w:r>
      <w:r>
        <w:t xml:space="preserve"> </w:t>
      </w:r>
      <w:bookmarkEnd w:id="171"/>
      <w:r>
        <w:t xml:space="preserve">Figura 6.22: Relación de márgen de ganancia y otras variables. (A) Distancia física en Km,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29</w:t>
        </w:r>
      </w:hyperlink>
      <w:r>
        <w:t xml:space="preserve">. Se deben revisar a profundidad los precios de los medicamentos en el territorio de manera que se articule una política de precios de medicamentos monopolio del Estado.</w:t>
      </w:r>
    </w:p>
    <w:bookmarkEnd w:id="172"/>
    <w:bookmarkEnd w:id="173"/>
    <w:bookmarkStart w:id="195"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5" w:name="fig50"/>
      <w:r>
        <w:t xml:space="preserve">Figure </w:t>
      </w:r>
      <w:fldSimple w:instr="SEQ Figure \* ARABIC ">
        <w:r>
          <w:t>50</w:t>
        </w:r>
      </w:fldSimple>
      <w:r>
        <w:t xml:space="preserve">:</w:t>
      </w:r>
      <w:r>
        <w:t xml:space="preserve"> </w:t>
      </w:r>
      <w:bookmarkEnd w:id="175"/>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0"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4532312"/>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6"/>
                    <a:stretch>
                      <a:fillRect/>
                    </a:stretch>
                  </pic:blipFill>
                  <pic:spPr bwMode="auto">
                    <a:xfrm>
                      <a:off x="0" y="0"/>
                      <a:ext cx="5334000" cy="4532312"/>
                    </a:xfrm>
                    <a:prstGeom prst="rect">
                      <a:avLst/>
                    </a:prstGeom>
                    <a:noFill/>
                    <a:ln w="9525">
                      <a:noFill/>
                      <a:headEnd/>
                      <a:tailEnd/>
                    </a:ln>
                  </pic:spPr>
                </pic:pic>
              </a:graphicData>
            </a:graphic>
          </wp:inline>
        </w:drawing>
      </w:r>
    </w:p>
    <w:p>
      <w:pPr>
        <w:pStyle w:val="ImageCaption"/>
      </w:pPr>
      <w:bookmarkStart w:id="177" w:name="fig51"/>
      <w:r>
        <w:t xml:space="preserve">Figure </w:t>
      </w:r>
      <w:fldSimple w:instr="SEQ Figure \* ARABIC ">
        <w:r>
          <w:t>51</w:t>
        </w:r>
      </w:fldSimple>
      <w:r>
        <w:t xml:space="preserve">:</w:t>
      </w:r>
      <w:r>
        <w:t xml:space="preserve"> </w:t>
      </w:r>
      <w:bookmarkEnd w:id="177"/>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9" w:name="fig52"/>
      <w:r>
        <w:t xml:space="preserve">Figure </w:t>
      </w:r>
      <w:fldSimple w:instr="SEQ Figure \* ARABIC ">
        <w:r>
          <w:t>52</w:t>
        </w:r>
      </w:fldSimple>
      <w:r>
        <w:t xml:space="preserve">:</w:t>
      </w:r>
      <w:r>
        <w:t xml:space="preserve"> </w:t>
      </w:r>
      <w:bookmarkEnd w:id="179"/>
      <w:r>
        <w:t xml:space="preserve">Figura 7.3: Velocidad de conexión de internet.</w:t>
      </w:r>
    </w:p>
    <w:bookmarkEnd w:id="180"/>
    <w:bookmarkStart w:id="187"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2" w:name="fig53"/>
      <w:r>
        <w:t xml:space="preserve">Figure </w:t>
      </w:r>
      <w:fldSimple w:instr="SEQ Figure \* ARABIC ">
        <w:r>
          <w:t>53</w:t>
        </w:r>
      </w:fldSimple>
      <w:r>
        <w:t xml:space="preserve">:</w:t>
      </w:r>
      <w:r>
        <w:t xml:space="preserve"> </w:t>
      </w:r>
      <w:bookmarkEnd w:id="182"/>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4"/>
      <w:r>
        <w:t xml:space="preserve">Figure </w:t>
      </w:r>
      <w:fldSimple w:instr="SEQ Figure \* ARABIC ">
        <w:r>
          <w:t>54</w:t>
        </w:r>
      </w:fldSimple>
      <w:r>
        <w:t xml:space="preserve">:</w:t>
      </w:r>
      <w:r>
        <w:t xml:space="preserve"> </w:t>
      </w:r>
      <w:bookmarkEnd w:id="184"/>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6" w:name="fig55"/>
      <w:r>
        <w:t xml:space="preserve">Figure </w:t>
      </w:r>
      <w:fldSimple w:instr="SEQ Figure \* ARABIC ">
        <w:r>
          <w:t>55</w:t>
        </w:r>
      </w:fldSimple>
      <w:r>
        <w:t xml:space="preserve">:</w:t>
      </w:r>
      <w:r>
        <w:t xml:space="preserve"> </w:t>
      </w:r>
      <w:bookmarkEnd w:id="186"/>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87"/>
    <w:bookmarkStart w:id="194" w:name="control-de-la-información"/>
    <w:p>
      <w:pPr>
        <w:pStyle w:val="Heading2"/>
      </w:pPr>
      <w:r>
        <w:rPr>
          <w:rStyle w:val="SectionNumber"/>
        </w:rPr>
        <w:t xml:space="preserve">7.3</w:t>
      </w:r>
      <w:r>
        <w:tab/>
      </w:r>
      <w:r>
        <w:t xml:space="preserve">Control de la información</w:t>
      </w:r>
    </w:p>
    <w:bookmarkStart w:id="190"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9" w:name="fig56"/>
      <w:r>
        <w:t xml:space="preserve">Figure </w:t>
      </w:r>
      <w:fldSimple w:instr="SEQ Figure \* ARABIC ">
        <w:r>
          <w:t>56</w:t>
        </w:r>
      </w:fldSimple>
      <w:r>
        <w:t xml:space="preserve">:</w:t>
      </w:r>
      <w:r>
        <w:t xml:space="preserve"> </w:t>
      </w:r>
      <w:bookmarkEnd w:id="189"/>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0"/>
    <w:bookmarkStart w:id="193"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92" w:name="fig57"/>
      <w:r>
        <w:t xml:space="preserve">Figure </w:t>
      </w:r>
      <w:fldSimple w:instr="SEQ Figure \* ARABIC ">
        <w:r>
          <w:t>57</w:t>
        </w:r>
      </w:fldSimple>
      <w:r>
        <w:t xml:space="preserve">:</w:t>
      </w:r>
      <w:r>
        <w:t xml:space="preserve"> </w:t>
      </w:r>
      <w:bookmarkEnd w:id="192"/>
      <w:r>
        <w:t xml:space="preserve">Figura 7.8: Proporción de FRE que cuenta con: (A) bases de datos con información de inscritos, o (B) bases de datos con información de pacientes a los que se les dispensa MME.</w:t>
      </w:r>
    </w:p>
    <w:bookmarkEnd w:id="193"/>
    <w:bookmarkEnd w:id="194"/>
    <w:bookmarkEnd w:id="195"/>
    <w:bookmarkStart w:id="222"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25"/>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5"/>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5"/>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5"/>
        </w:numPr>
      </w:pPr>
      <w:r>
        <w:t xml:space="preserve">Novedades sobre la inscripción de los Establecimientos Farmacéuticos e IPS autorizados, de acuerdo al formato (Anexo número 3) de la presente resolución.</w:t>
      </w:r>
    </w:p>
    <w:p>
      <w:pPr>
        <w:numPr>
          <w:ilvl w:val="0"/>
          <w:numId w:val="1025"/>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5"/>
        </w:numPr>
      </w:pPr>
      <w:r>
        <w:t xml:space="preserve">Informe mensual consolidado sobre las transformaciones realizadas en el mes inmediatamente anterior, dentro de los diez (10) primeros días calendarios de cada mes. (Anexo número 4)</w:t>
      </w:r>
    </w:p>
    <w:p>
      <w:pPr>
        <w:numPr>
          <w:ilvl w:val="0"/>
          <w:numId w:val="1025"/>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5"/>
        </w:numPr>
      </w:pPr>
      <w:r>
        <w:t xml:space="preserve">Informe trimestral de sanciones impuestas por infracciones administrativas en la fabricación, distribución y dispensación de medicamentos de Control Especial.</w:t>
      </w:r>
    </w:p>
    <w:p>
      <w:pPr>
        <w:numPr>
          <w:ilvl w:val="0"/>
          <w:numId w:val="1025"/>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15"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7" w:name="fig58"/>
      <w:r>
        <w:t xml:space="preserve">Figure </w:t>
      </w:r>
      <w:fldSimple w:instr="SEQ Figure \* ARABIC ">
        <w:r>
          <w:t>58</w:t>
        </w:r>
      </w:fldSimple>
      <w:r>
        <w:t xml:space="preserve">:</w:t>
      </w:r>
      <w:r>
        <w:t xml:space="preserve"> </w:t>
      </w:r>
      <w:bookmarkEnd w:id="197"/>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04"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8"/>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9" w:name="fig59"/>
      <w:r>
        <w:t xml:space="preserve">Figure </w:t>
      </w:r>
      <w:fldSimple w:instr="SEQ Figure \* ARABIC ">
        <w:r>
          <w:t>59</w:t>
        </w:r>
      </w:fldSimple>
      <w:r>
        <w:t xml:space="preserve">:</w:t>
      </w:r>
      <w:r>
        <w:t xml:space="preserve"> </w:t>
      </w:r>
      <w:bookmarkEnd w:id="199"/>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1" w:name="fig60"/>
      <w:r>
        <w:t xml:space="preserve">Figure </w:t>
      </w:r>
      <w:fldSimple w:instr="SEQ Figure \* ARABIC ">
        <w:r>
          <w:t>60</w:t>
        </w:r>
      </w:fldSimple>
      <w:r>
        <w:t xml:space="preserve">:</w:t>
      </w:r>
      <w:r>
        <w:t xml:space="preserve"> </w:t>
      </w:r>
      <w:bookmarkEnd w:id="201"/>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1"/>
      <w:r>
        <w:t xml:space="preserve">Figure </w:t>
      </w:r>
      <w:fldSimple w:instr="SEQ Figure \* ARABIC ">
        <w:r>
          <w:t>61</w:t>
        </w:r>
      </w:fldSimple>
      <w:r>
        <w:t xml:space="preserve">:</w:t>
      </w:r>
      <w:r>
        <w:t xml:space="preserve"> </w:t>
      </w:r>
      <w:bookmarkEnd w:id="203"/>
      <w:r>
        <w:t xml:space="preserve">Figura 8.4: Tiempo en la consolidación del Anexo 1 de la Resolución 1479 de 2006 vs N° de instituciones que realizan compra en un año.</w:t>
      </w:r>
    </w:p>
    <w:bookmarkEnd w:id="204"/>
    <w:bookmarkStart w:id="211"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5"/>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6" w:name="fig62"/>
      <w:r>
        <w:t xml:space="preserve">Figure </w:t>
      </w:r>
      <w:fldSimple w:instr="SEQ Figure \* ARABIC ">
        <w:r>
          <w:t>62</w:t>
        </w:r>
      </w:fldSimple>
      <w:r>
        <w:t xml:space="preserve">:</w:t>
      </w:r>
      <w:r>
        <w:t xml:space="preserve"> </w:t>
      </w:r>
      <w:bookmarkEnd w:id="206"/>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8" w:name="fig63"/>
      <w:r>
        <w:t xml:space="preserve">Figure </w:t>
      </w:r>
      <w:fldSimple w:instr="SEQ Figure \* ARABIC ">
        <w:r>
          <w:t>63</w:t>
        </w:r>
      </w:fldSimple>
      <w:r>
        <w:t xml:space="preserve">:</w:t>
      </w:r>
      <w:r>
        <w:t xml:space="preserve"> </w:t>
      </w:r>
      <w:bookmarkEnd w:id="208"/>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0" w:name="fig64"/>
      <w:r>
        <w:t xml:space="preserve">Figure </w:t>
      </w:r>
      <w:fldSimple w:instr="SEQ Figure \* ARABIC ">
        <w:r>
          <w:t>64</w:t>
        </w:r>
      </w:fldSimple>
      <w:r>
        <w:t xml:space="preserve">:</w:t>
      </w:r>
      <w:r>
        <w:t xml:space="preserve"> </w:t>
      </w:r>
      <w:bookmarkEnd w:id="210"/>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11"/>
    <w:bookmarkStart w:id="214"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3" w:name="fig65"/>
      <w:r>
        <w:t xml:space="preserve">Figure </w:t>
      </w:r>
      <w:fldSimple w:instr="SEQ Figure \* ARABIC ">
        <w:r>
          <w:t>65</w:t>
        </w:r>
      </w:fldSimple>
      <w:r>
        <w:t xml:space="preserve">:</w:t>
      </w:r>
      <w:r>
        <w:t xml:space="preserve"> </w:t>
      </w:r>
      <w:bookmarkEnd w:id="213"/>
      <w:r>
        <w:t xml:space="preserve">Figura 8.8: Tiempo de archivo de Anexo 13 de la Resolución 1478 de 2006.</w:t>
      </w:r>
    </w:p>
    <w:bookmarkEnd w:id="214"/>
    <w:bookmarkEnd w:id="215"/>
    <w:bookmarkStart w:id="218"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7" w:name="fig66"/>
      <w:r>
        <w:t xml:space="preserve">Figure </w:t>
      </w:r>
      <w:fldSimple w:instr="SEQ Figure \* ARABIC ">
        <w:r>
          <w:t>66</w:t>
        </w:r>
      </w:fldSimple>
      <w:r>
        <w:t xml:space="preserve">:</w:t>
      </w:r>
      <w:r>
        <w:t xml:space="preserve"> </w:t>
      </w:r>
      <w:bookmarkEnd w:id="217"/>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8"/>
    <w:bookmarkStart w:id="221"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20" w:name="fig67"/>
      <w:r>
        <w:t xml:space="preserve">Figure </w:t>
      </w:r>
      <w:fldSimple w:instr="SEQ Figure \* ARABIC ">
        <w:r>
          <w:t>67</w:t>
        </w:r>
      </w:fldSimple>
      <w:r>
        <w:t xml:space="preserve">:</w:t>
      </w:r>
      <w:r>
        <w:t xml:space="preserve"> </w:t>
      </w:r>
      <w:bookmarkEnd w:id="220"/>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21"/>
    <w:bookmarkEnd w:id="222"/>
    <w:bookmarkStart w:id="228" w:name="lineamientos-y-recomendaciones"/>
    <w:p>
      <w:pPr>
        <w:pStyle w:val="Heading1"/>
      </w:pPr>
      <w:r>
        <w:rPr>
          <w:rStyle w:val="SectionNumber"/>
        </w:rPr>
        <w:t xml:space="preserve">9</w:t>
      </w:r>
      <w:r>
        <w:tab/>
      </w:r>
      <w:r>
        <w:t xml:space="preserve">Lineamientos y Recomendaciones</w:t>
      </w:r>
    </w:p>
    <w:bookmarkStart w:id="223"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26"/>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26"/>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26"/>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26"/>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26"/>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23"/>
    <w:bookmarkStart w:id="224"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7"/>
        </w:numPr>
      </w:pPr>
      <w:r>
        <w:t xml:space="preserve">Tener una espacio exclusivo y seguro para el almacenamiento de los recetarios, en el cual sólo se tenga acceso cierto personal del FRE.</w:t>
      </w:r>
    </w:p>
    <w:p>
      <w:pPr>
        <w:numPr>
          <w:ilvl w:val="0"/>
          <w:numId w:val="1027"/>
        </w:numPr>
      </w:pPr>
      <w:r>
        <w:t xml:space="preserve">Realizar un seguimiento de los recetarios por medio de la codificación al momento de venderse, puesto que al no llevar registro de los mismos hay una posibilidad de falsificación y/o desvío.</w:t>
      </w:r>
    </w:p>
    <w:p>
      <w:pPr>
        <w:numPr>
          <w:ilvl w:val="0"/>
          <w:numId w:val="1027"/>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7"/>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7"/>
        </w:numPr>
      </w:pPr>
      <w:r>
        <w:t xml:space="preserve">Tener niveles de seguridad para realizar la compra de nuevos recetarios, evitando desabastecimientos y llegando a planes de contingencia que pueden llegar a ser reprocesos en los entes territoriales.</w:t>
      </w:r>
    </w:p>
    <w:bookmarkEnd w:id="224"/>
    <w:bookmarkStart w:id="225"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28"/>
        </w:numPr>
      </w:pPr>
      <w:r>
        <w:t xml:space="preserve">Usar herramientas informáticas que permitan tener un mejor manejo de trazabilidad del inventario.</w:t>
      </w:r>
    </w:p>
    <w:p>
      <w:pPr>
        <w:numPr>
          <w:ilvl w:val="0"/>
          <w:numId w:val="1028"/>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28"/>
        </w:numPr>
      </w:pPr>
      <w:r>
        <w:t xml:space="preserve">Actualizar los equipos de cómputo en el FRE que deben estar en cantidad suficiente de forma que permitan realizar un control del inventario.</w:t>
      </w:r>
    </w:p>
    <w:p>
      <w:pPr>
        <w:numPr>
          <w:ilvl w:val="0"/>
          <w:numId w:val="1028"/>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28"/>
        </w:numPr>
      </w:pPr>
      <w:r>
        <w:t xml:space="preserve">Implementar un adecuado proceso de recepción técnica con inspección a niveles de 100% o utilización de planes de muestreo como el expuesto por la tabla militar estándar.</w:t>
      </w:r>
    </w:p>
    <w:p>
      <w:pPr>
        <w:numPr>
          <w:ilvl w:val="0"/>
          <w:numId w:val="1028"/>
        </w:numPr>
      </w:pPr>
      <w:r>
        <w:t xml:space="preserve">Seguir con buenas prácticas de almacenamiento de los medicamentos evitando utilizar los lugares destinados para esto con otros fines.</w:t>
      </w:r>
    </w:p>
    <w:p>
      <w:pPr>
        <w:numPr>
          <w:ilvl w:val="0"/>
          <w:numId w:val="1028"/>
        </w:numPr>
      </w:pPr>
      <w:r>
        <w:t xml:space="preserve">Comunicar de manera eficiente y oportuna sobre problemas relacionados con la distribución de MME por parte del FNE.</w:t>
      </w:r>
    </w:p>
    <w:p>
      <w:pPr>
        <w:numPr>
          <w:ilvl w:val="0"/>
          <w:numId w:val="1028"/>
        </w:numPr>
      </w:pPr>
      <w:r>
        <w:t xml:space="preserve">Realizar ajustes en los esquemas de precios por parte del FNE para disminuir la utilización del canal de compra directa.</w:t>
      </w:r>
    </w:p>
    <w:p>
      <w:pPr>
        <w:numPr>
          <w:ilvl w:val="0"/>
          <w:numId w:val="1028"/>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25"/>
    <w:bookmarkStart w:id="226"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29"/>
        </w:numPr>
      </w:pPr>
      <w:r>
        <w:t xml:space="preserve">Exigir a las instituciones inscritas un formato único estandarizado digital para enviar los informes mensuales, referentes al Anexo 13 de la Resolución 1478 de 2006. Preferiblemente, se debe enviar el archivo en formato PDF y Excel para la revisión de los datos, por parte del personal del FRE. Además, con este requisito se asegura la integridad de la información.</w:t>
      </w:r>
    </w:p>
    <w:p>
      <w:pPr>
        <w:numPr>
          <w:ilvl w:val="0"/>
          <w:numId w:val="1029"/>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29"/>
        </w:numPr>
      </w:pPr>
      <w:r>
        <w:t xml:space="preserve">Asegurar que el envío de informes mensuales, se haga en el tiempo estipulado según la Resolución 1479 de 2006. Esta actividad debe considerándose como un indicador de buena gestión al interior del ente territorial.</w:t>
      </w:r>
    </w:p>
    <w:bookmarkEnd w:id="226"/>
    <w:bookmarkStart w:id="227"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0"/>
        </w:numPr>
      </w:pPr>
      <w:r>
        <w:t xml:space="preserve">Adecuar un (1) computador en óptimas condiciones, para adelantar las principales tareas y cumplir las funciones estipuladas en la Resolución 1479 del 2006.</w:t>
      </w:r>
    </w:p>
    <w:p>
      <w:pPr>
        <w:numPr>
          <w:ilvl w:val="0"/>
          <w:numId w:val="1030"/>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0"/>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27"/>
    <w:bookmarkEnd w:id="228"/>
    <w:bookmarkStart w:id="229" w:name="glosario"/>
    <w:p>
      <w:pPr>
        <w:pStyle w:val="Heading1"/>
      </w:pPr>
      <w:r>
        <w:t xml:space="preserve">Glosario</w:t>
      </w:r>
    </w:p>
    <w:p>
      <w:pPr>
        <w:numPr>
          <w:ilvl w:val="0"/>
          <w:numId w:val="1031"/>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47</w:t>
        </w:r>
      </w:hyperlink>
      <w:r>
        <w:t xml:space="preserve">.</w:t>
      </w:r>
    </w:p>
    <w:p>
      <w:pPr>
        <w:numPr>
          <w:ilvl w:val="0"/>
          <w:numId w:val="1031"/>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1"/>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numPr>
          <w:ilvl w:val="0"/>
          <w:numId w:val="1031"/>
        </w:numPr>
      </w:pPr>
      <w:r>
        <w:rPr>
          <w:bCs/>
          <w:b/>
        </w:rPr>
        <w:t xml:space="preserve">Disponibilidad</w:t>
      </w:r>
      <w:r>
        <w:t xml:space="preserve">: condición en la cual se cuentan con existencias del medicamento en el territorio nacional.</w:t>
      </w:r>
    </w:p>
    <w:p>
      <w:pPr>
        <w:numPr>
          <w:ilvl w:val="0"/>
          <w:numId w:val="1031"/>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48</w:t>
        </w:r>
      </w:hyperlink>
      <w:r>
        <w:t xml:space="preserve">.</w:t>
      </w:r>
    </w:p>
    <w:p>
      <w:pPr>
        <w:numPr>
          <w:ilvl w:val="0"/>
          <w:numId w:val="1031"/>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1"/>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1"/>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1"/>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1"/>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1"/>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1"/>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1"/>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13</w:t>
        </w:r>
      </w:hyperlink>
      <w:r>
        <w:t xml:space="preserve">.</w:t>
      </w:r>
    </w:p>
    <w:p>
      <w:pPr>
        <w:numPr>
          <w:ilvl w:val="0"/>
          <w:numId w:val="1031"/>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1"/>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1"/>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1"/>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29"/>
    <w:bookmarkStart w:id="232" w:name="créditos"/>
    <w:p>
      <w:pPr>
        <w:pStyle w:val="Heading1"/>
      </w:pPr>
      <w:r>
        <w:t xml:space="preserve">Créditos</w:t>
      </w:r>
    </w:p>
    <w:bookmarkStart w:id="23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Comunicación</w:t>
      </w:r>
      <w:r>
        <w:t xml:space="preserve"> </w:t>
      </w:r>
    </w:p>
    <w:bookmarkEnd w:id="230"/>
    <w:bookmarkStart w:id="231"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durante la realización de estas encuestas.</w:t>
      </w:r>
    </w:p>
    <w:p>
      <w:pPr>
        <w:pStyle w:val="BodyText"/>
      </w:pPr>
      <w:r>
        <w:t xml:space="preserve">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2"/>
        </w:numPr>
      </w:pPr>
      <w:r>
        <w:t xml:space="preserve">Heliodoro Kerguelen y Erick Novoa (FRE Córdoba)</w:t>
      </w:r>
    </w:p>
    <w:p>
      <w:pPr>
        <w:numPr>
          <w:ilvl w:val="0"/>
          <w:numId w:val="1032"/>
        </w:numPr>
      </w:pPr>
      <w:r>
        <w:t xml:space="preserve">Jovana Vitola Julio, Leidy Llorente Villadiego y Dilia Borge Bonadiez (FRE Atlántico)</w:t>
      </w:r>
    </w:p>
    <w:p>
      <w:pPr>
        <w:numPr>
          <w:ilvl w:val="0"/>
          <w:numId w:val="1032"/>
        </w:numPr>
      </w:pPr>
      <w:r>
        <w:t xml:space="preserve">Paola Andrea Gómez Llano (FRE Antioquia)</w:t>
      </w:r>
    </w:p>
    <w:p>
      <w:pPr>
        <w:numPr>
          <w:ilvl w:val="0"/>
          <w:numId w:val="1032"/>
        </w:numPr>
      </w:pPr>
      <w:r>
        <w:t xml:space="preserve">Rafael Tapia Buendia (FRE Magdalena)</w:t>
      </w:r>
    </w:p>
    <w:p>
      <w:pPr>
        <w:numPr>
          <w:ilvl w:val="0"/>
          <w:numId w:val="1032"/>
        </w:numPr>
      </w:pPr>
      <w:r>
        <w:t xml:space="preserve">Maria Eugenia Barrios (FRE Bolivar)</w:t>
      </w:r>
    </w:p>
    <w:p>
      <w:pPr>
        <w:numPr>
          <w:ilvl w:val="0"/>
          <w:numId w:val="1032"/>
        </w:numPr>
      </w:pPr>
      <w:r>
        <w:t xml:space="preserve">Amilcar Marquez (FRE Norte De Santander)</w:t>
      </w:r>
    </w:p>
    <w:p>
      <w:pPr>
        <w:numPr>
          <w:ilvl w:val="0"/>
          <w:numId w:val="1032"/>
        </w:numPr>
      </w:pPr>
      <w:r>
        <w:t xml:space="preserve">Diana Carolina Valbuena Sterling y Edimer Covaleda Yustres (FRE Huila)</w:t>
      </w:r>
    </w:p>
    <w:p>
      <w:pPr>
        <w:numPr>
          <w:ilvl w:val="0"/>
          <w:numId w:val="1032"/>
        </w:numPr>
      </w:pPr>
      <w:r>
        <w:t xml:space="preserve">Julieta Palacios Pinzón y Jonathan Sánchez Mateus (FRE Casanare)</w:t>
      </w:r>
    </w:p>
    <w:p>
      <w:pPr>
        <w:numPr>
          <w:ilvl w:val="0"/>
          <w:numId w:val="1032"/>
        </w:numPr>
      </w:pPr>
      <w:r>
        <w:t xml:space="preserve">Marly Julieth Espitia y Stella Torres Sanabria (FRE Tolima)</w:t>
      </w:r>
    </w:p>
    <w:p>
      <w:pPr>
        <w:numPr>
          <w:ilvl w:val="0"/>
          <w:numId w:val="1032"/>
        </w:numPr>
      </w:pPr>
      <w:r>
        <w:t xml:space="preserve">Adriana María Murillo (FRE Quindío)</w:t>
      </w:r>
    </w:p>
    <w:p>
      <w:pPr>
        <w:numPr>
          <w:ilvl w:val="0"/>
          <w:numId w:val="1032"/>
        </w:numPr>
      </w:pPr>
      <w:r>
        <w:t xml:space="preserve">Sara Bacares y Pilar Pacheco (FRE Boyacá)</w:t>
      </w:r>
    </w:p>
    <w:p>
      <w:pPr>
        <w:numPr>
          <w:ilvl w:val="0"/>
          <w:numId w:val="1032"/>
        </w:numPr>
      </w:pPr>
      <w:r>
        <w:t xml:space="preserve">Andrea Porras (FRE Valle Del Cauca)</w:t>
      </w:r>
    </w:p>
    <w:p>
      <w:pPr>
        <w:numPr>
          <w:ilvl w:val="0"/>
          <w:numId w:val="1032"/>
        </w:numPr>
      </w:pPr>
      <w:r>
        <w:t xml:space="preserve">Juan David Apraez (FRE Putumayo)</w:t>
      </w:r>
    </w:p>
    <w:p>
      <w:pPr>
        <w:numPr>
          <w:ilvl w:val="0"/>
          <w:numId w:val="1032"/>
        </w:numPr>
      </w:pPr>
      <w:r>
        <w:t xml:space="preserve">Andrés Alexander Benavides Salazar y Zully Bolaños Guerrero (FRE Nariño)</w:t>
      </w:r>
    </w:p>
    <w:p>
      <w:pPr>
        <w:numPr>
          <w:ilvl w:val="0"/>
          <w:numId w:val="1032"/>
        </w:numPr>
      </w:pPr>
      <w:r>
        <w:t xml:space="preserve">Silvia Espitia Vergara y Greici Castilla (FRE Cauca)</w:t>
      </w:r>
    </w:p>
    <w:p>
      <w:pPr>
        <w:numPr>
          <w:ilvl w:val="0"/>
          <w:numId w:val="1032"/>
        </w:numPr>
      </w:pPr>
      <w:r>
        <w:t xml:space="preserve">Sara Ramírez Acosta (FRE Vichada)</w:t>
      </w:r>
    </w:p>
    <w:p>
      <w:pPr>
        <w:numPr>
          <w:ilvl w:val="0"/>
          <w:numId w:val="1032"/>
        </w:numPr>
      </w:pPr>
      <w:r>
        <w:t xml:space="preserve">Enith Del Carmen Gil y Milena Arnero (FRE Sucre)</w:t>
      </w:r>
    </w:p>
    <w:p>
      <w:pPr>
        <w:numPr>
          <w:ilvl w:val="0"/>
          <w:numId w:val="1032"/>
        </w:numPr>
      </w:pPr>
      <w:r>
        <w:t xml:space="preserve">Carlos Manuel Cantillo (FRE Chocó)</w:t>
      </w:r>
    </w:p>
    <w:p>
      <w:pPr>
        <w:numPr>
          <w:ilvl w:val="0"/>
          <w:numId w:val="1032"/>
        </w:numPr>
      </w:pPr>
      <w:r>
        <w:t xml:space="preserve">Dina Luz Gómez Mena y Dairys Isabel Medina Cujia (FRE Cesar)</w:t>
      </w:r>
    </w:p>
    <w:p>
      <w:pPr>
        <w:numPr>
          <w:ilvl w:val="0"/>
          <w:numId w:val="1032"/>
        </w:numPr>
      </w:pPr>
      <w:r>
        <w:t xml:space="preserve">Armando Pulido y Libardo Padilla Molina (FRE La Guajira)</w:t>
      </w:r>
    </w:p>
    <w:p>
      <w:pPr>
        <w:numPr>
          <w:ilvl w:val="0"/>
          <w:numId w:val="1032"/>
        </w:numPr>
      </w:pPr>
      <w:r>
        <w:t xml:space="preserve">Yudislay Prado Restrepo (FRE Caquetá)</w:t>
      </w:r>
    </w:p>
    <w:p>
      <w:pPr>
        <w:numPr>
          <w:ilvl w:val="0"/>
          <w:numId w:val="1032"/>
        </w:numPr>
      </w:pPr>
      <w:r>
        <w:t xml:space="preserve">Marcia Medina y Camilo Tananta (FRE Amazonas)</w:t>
      </w:r>
    </w:p>
    <w:p>
      <w:pPr>
        <w:numPr>
          <w:ilvl w:val="0"/>
          <w:numId w:val="1032"/>
        </w:numPr>
      </w:pPr>
      <w:r>
        <w:t xml:space="preserve">Luz Marina Hernández (FRE Risaralda)</w:t>
      </w:r>
    </w:p>
    <w:p>
      <w:pPr>
        <w:numPr>
          <w:ilvl w:val="0"/>
          <w:numId w:val="1032"/>
        </w:numPr>
      </w:pPr>
      <w:r>
        <w:t xml:space="preserve">Lourdres Cristina Tous Tous (FRE San Andrés, Providencia y Santa Catalina)</w:t>
      </w:r>
    </w:p>
    <w:p>
      <w:pPr>
        <w:numPr>
          <w:ilvl w:val="0"/>
          <w:numId w:val="1032"/>
        </w:numPr>
      </w:pPr>
      <w:r>
        <w:t xml:space="preserve">Brenda Colina Moreno y Kiara Bolívar (FRE Arauca)</w:t>
      </w:r>
    </w:p>
    <w:p>
      <w:pPr>
        <w:numPr>
          <w:ilvl w:val="0"/>
          <w:numId w:val="1032"/>
        </w:numPr>
      </w:pPr>
      <w:r>
        <w:t xml:space="preserve">Enna Rossana Ruiz (FRE Meta)</w:t>
      </w:r>
    </w:p>
    <w:p>
      <w:pPr>
        <w:numPr>
          <w:ilvl w:val="0"/>
          <w:numId w:val="1032"/>
        </w:numPr>
      </w:pPr>
      <w:r>
        <w:t xml:space="preserve">Ludy Rivera y Luis Felipe Salamanca (FRE Santander)</w:t>
      </w:r>
    </w:p>
    <w:p>
      <w:pPr>
        <w:numPr>
          <w:ilvl w:val="0"/>
          <w:numId w:val="1032"/>
        </w:numPr>
      </w:pPr>
      <w:r>
        <w:t xml:space="preserve">Ener Mauricio Hernández y Dany Leandro Hidalgo Méndez (FRE Guainia)</w:t>
      </w:r>
    </w:p>
    <w:p>
      <w:pPr>
        <w:numPr>
          <w:ilvl w:val="0"/>
          <w:numId w:val="1032"/>
        </w:numPr>
      </w:pPr>
      <w:r>
        <w:t xml:space="preserve">Gilberto Jimenez Jaramillo y Juan David Cadavid Rendón (FRE Caldas)</w:t>
      </w:r>
    </w:p>
    <w:p>
      <w:pPr>
        <w:numPr>
          <w:ilvl w:val="0"/>
          <w:numId w:val="1032"/>
        </w:numPr>
      </w:pPr>
      <w:r>
        <w:t xml:space="preserve">Gregorio Figueroa Cruz y Juan Pablo Arias (FRE Guaviare)</w:t>
      </w:r>
    </w:p>
    <w:p>
      <w:pPr>
        <w:numPr>
          <w:ilvl w:val="0"/>
          <w:numId w:val="1032"/>
        </w:numPr>
      </w:pPr>
      <w:r>
        <w:t xml:space="preserve">Leyda Lugo y Carlos Guzman (FRE Vaupés)</w:t>
      </w:r>
    </w:p>
    <w:bookmarkEnd w:id="231"/>
    <w:bookmarkEnd w:id="232"/>
    <w:bookmarkStart w:id="288" w:name="referencias"/>
    <w:p>
      <w:pPr>
        <w:pStyle w:val="Heading1"/>
      </w:pPr>
      <w:r>
        <w:t xml:space="preserve">Referencias</w:t>
      </w:r>
    </w:p>
    <w:bookmarkStart w:id="287" w:name="refs"/>
    <w:bookmarkStart w:id="233"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33"/>
    <w:bookmarkStart w:id="234"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34"/>
    <w:bookmarkStart w:id="235"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35"/>
    <w:bookmarkStart w:id="236"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36"/>
    <w:bookmarkStart w:id="237"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37"/>
    <w:bookmarkStart w:id="238"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38"/>
    <w:bookmarkStart w:id="239"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39"/>
    <w:bookmarkStart w:id="240" w:name="ref-MSPS2200-2005"/>
    <w:p>
      <w:pPr>
        <w:pStyle w:val="Bibliography"/>
      </w:pPr>
      <w:r>
        <w:t xml:space="preserve">8.</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40"/>
    <w:bookmarkStart w:id="241" w:name="ref-MinisteriodeRelacionesExteriores2014"/>
    <w:p>
      <w:pPr>
        <w:pStyle w:val="Bibliography"/>
      </w:pPr>
      <w:r>
        <w:t xml:space="preserve">9.</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41"/>
    <w:bookmarkStart w:id="242" w:name="ref-ColombiaCompraEficiente2019"/>
    <w:p>
      <w:pPr>
        <w:pStyle w:val="Bibliography"/>
      </w:pPr>
      <w:r>
        <w:t xml:space="preserve">10.</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42"/>
    <w:bookmarkStart w:id="243" w:name="ref-FNE2015-9"/>
    <w:p>
      <w:pPr>
        <w:pStyle w:val="Bibliography"/>
      </w:pPr>
      <w:r>
        <w:t xml:space="preserve">11.</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43"/>
    <w:bookmarkStart w:id="244" w:name="X4242f5a7e44b24d61e2675796eed085a7e5e2cf"/>
    <w:p>
      <w:pPr>
        <w:pStyle w:val="Bibliography"/>
      </w:pPr>
      <w:r>
        <w:t xml:space="preserve">12.</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44"/>
    <w:bookmarkStart w:id="245" w:name="ref-CuervoBustamante2021"/>
    <w:p>
      <w:pPr>
        <w:pStyle w:val="Bibliography"/>
      </w:pPr>
      <w:r>
        <w:t xml:space="preserve">13.</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45"/>
    <w:bookmarkStart w:id="246" w:name="ref-MSPS262-2009"/>
    <w:p>
      <w:pPr>
        <w:pStyle w:val="Bibliography"/>
      </w:pPr>
      <w:r>
        <w:t xml:space="preserve">14.</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46"/>
    <w:bookmarkStart w:id="247" w:name="ref-MSPS940-2007"/>
    <w:p>
      <w:pPr>
        <w:pStyle w:val="Bibliography"/>
      </w:pPr>
      <w:r>
        <w:t xml:space="preserve">15.</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47"/>
    <w:bookmarkStart w:id="248" w:name="ref-ColombiaCompraEficiente2021"/>
    <w:p>
      <w:pPr>
        <w:pStyle w:val="Bibliography"/>
      </w:pPr>
      <w:r>
        <w:t xml:space="preserve">16.</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48"/>
    <w:bookmarkStart w:id="249" w:name="ref-LeonDelgado2018"/>
    <w:p>
      <w:pPr>
        <w:pStyle w:val="Bibliography"/>
      </w:pPr>
      <w:r>
        <w:t xml:space="preserve">17.</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49"/>
    <w:bookmarkStart w:id="250" w:name="ref-Pastrana2020"/>
    <w:p>
      <w:pPr>
        <w:pStyle w:val="Bibliography"/>
      </w:pPr>
      <w:r>
        <w:t xml:space="preserve">18.</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50"/>
    <w:bookmarkStart w:id="251" w:name="ref-WatsonLewis2014"/>
    <w:p>
      <w:pPr>
        <w:pStyle w:val="Bibliography"/>
      </w:pPr>
      <w:r>
        <w:t xml:space="preserve">19.</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51"/>
    <w:bookmarkStart w:id="253" w:name="ref-VergaraAguilar2019"/>
    <w:p>
      <w:pPr>
        <w:pStyle w:val="Bibliography"/>
      </w:pPr>
      <w:r>
        <w:t xml:space="preserve">20.</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52">
        <w:r>
          <w:rPr>
            <w:rStyle w:val="Hyperlink"/>
          </w:rPr>
          <w:t xml:space="preserve">10.22379/24224022237</w:t>
        </w:r>
      </w:hyperlink>
      <w:r>
        <w:t xml:space="preserve">.</w:t>
      </w:r>
    </w:p>
    <w:bookmarkEnd w:id="253"/>
    <w:bookmarkStart w:id="255" w:name="ref-Johannessen2020"/>
    <w:p>
      <w:pPr>
        <w:pStyle w:val="Bibliography"/>
      </w:pPr>
      <w:r>
        <w:t xml:space="preserve">21.</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54">
        <w:r>
          <w:rPr>
            <w:rStyle w:val="Hyperlink"/>
          </w:rPr>
          <w:t xml:space="preserve">10.1007/978-3-319-56015-1_302-1</w:t>
        </w:r>
      </w:hyperlink>
      <w:r>
        <w:t xml:space="preserve">.</w:t>
      </w:r>
    </w:p>
    <w:bookmarkEnd w:id="255"/>
    <w:bookmarkStart w:id="257" w:name="ref-Pineda2001"/>
    <w:p>
      <w:pPr>
        <w:pStyle w:val="Bibliography"/>
      </w:pPr>
      <w:r>
        <w:t xml:space="preserve">22.</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56">
        <w:r>
          <w:rPr>
            <w:rStyle w:val="Hyperlink"/>
          </w:rPr>
          <w:t xml:space="preserve">10.33588/rn.3203.2000499</w:t>
        </w:r>
      </w:hyperlink>
      <w:r>
        <w:t xml:space="preserve">.</w:t>
      </w:r>
    </w:p>
    <w:bookmarkEnd w:id="257"/>
    <w:bookmarkStart w:id="258" w:name="ref-Llanos-Lizcanoa2019"/>
    <w:p>
      <w:pPr>
        <w:pStyle w:val="Bibliography"/>
      </w:pPr>
      <w:r>
        <w:t xml:space="preserve">23.</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58"/>
    <w:bookmarkStart w:id="259" w:name="ref-LopezLopez2021"/>
    <w:p>
      <w:pPr>
        <w:pStyle w:val="Bibliography"/>
      </w:pPr>
      <w:r>
        <w:t xml:space="preserve">24.</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59"/>
    <w:bookmarkStart w:id="260" w:name="ref-INVIMA2018-Desabast"/>
    <w:p>
      <w:pPr>
        <w:pStyle w:val="Bibliography"/>
      </w:pPr>
      <w:r>
        <w:t xml:space="preserve">25.</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60"/>
    <w:bookmarkStart w:id="261" w:name="ref-FDA2014"/>
    <w:p>
      <w:pPr>
        <w:pStyle w:val="Bibliography"/>
      </w:pPr>
      <w:r>
        <w:t xml:space="preserve">26.</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61"/>
    <w:bookmarkStart w:id="262" w:name="ref-Barbosa-Povoa2019"/>
    <w:p>
      <w:pPr>
        <w:pStyle w:val="Bibliography"/>
      </w:pPr>
      <w:r>
        <w:t xml:space="preserve">27.</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62"/>
    <w:bookmarkStart w:id="264" w:name="ref-Pettit2013"/>
    <w:p>
      <w:pPr>
        <w:pStyle w:val="Bibliography"/>
      </w:pPr>
      <w:r>
        <w:t xml:space="preserve">28.</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63">
        <w:r>
          <w:rPr>
            <w:rStyle w:val="Hyperlink"/>
          </w:rPr>
          <w:t xml:space="preserve">10.1111/jbl.12009</w:t>
        </w:r>
      </w:hyperlink>
      <w:r>
        <w:t xml:space="preserve">.</w:t>
      </w:r>
    </w:p>
    <w:bookmarkEnd w:id="264"/>
    <w:bookmarkStart w:id="265" w:name="ref-Silver2017"/>
    <w:p>
      <w:pPr>
        <w:pStyle w:val="Bibliography"/>
      </w:pPr>
      <w:r>
        <w:t xml:space="preserve">29.</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5"/>
    <w:bookmarkStart w:id="267" w:name="ref-Cachon2007"/>
    <w:p>
      <w:pPr>
        <w:pStyle w:val="Bibliography"/>
      </w:pPr>
      <w:r>
        <w:t xml:space="preserve">30.</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66">
        <w:r>
          <w:rPr>
            <w:rStyle w:val="Hyperlink"/>
          </w:rPr>
          <w:t xml:space="preserve">10.1287/msom.1060.0149</w:t>
        </w:r>
      </w:hyperlink>
      <w:r>
        <w:t xml:space="preserve">.</w:t>
      </w:r>
    </w:p>
    <w:bookmarkEnd w:id="267"/>
    <w:bookmarkStart w:id="268" w:name="ref-Hollmann2015"/>
    <w:p>
      <w:pPr>
        <w:pStyle w:val="Bibliography"/>
      </w:pPr>
      <w:r>
        <w:t xml:space="preserve">31.</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68"/>
    <w:bookmarkStart w:id="269" w:name="ref-Nahmias2007"/>
    <w:p>
      <w:pPr>
        <w:pStyle w:val="Bibliography"/>
      </w:pPr>
      <w:r>
        <w:t xml:space="preserve">32.</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69"/>
    <w:bookmarkStart w:id="270" w:name="ref-Krajewski2016"/>
    <w:p>
      <w:pPr>
        <w:pStyle w:val="Bibliography"/>
      </w:pPr>
      <w:r>
        <w:t xml:space="preserve">33.</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70"/>
    <w:bookmarkStart w:id="271" w:name="X4e956815ca1199d73a39485c932e7d8485463a0"/>
    <w:p>
      <w:pPr>
        <w:pStyle w:val="Bibliography"/>
      </w:pPr>
      <w:r>
        <w:t xml:space="preserve">34.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71"/>
    <w:bookmarkStart w:id="272" w:name="ref-CongresodelaRepublicadeColombia1993"/>
    <w:p>
      <w:pPr>
        <w:pStyle w:val="Bibliography"/>
      </w:pPr>
      <w:r>
        <w:t xml:space="preserve">35.</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72"/>
    <w:bookmarkStart w:id="273" w:name="ref-CongresodelaRepublicadeColombia2007"/>
    <w:p>
      <w:pPr>
        <w:pStyle w:val="Bibliography"/>
      </w:pPr>
      <w:r>
        <w:t xml:space="preserve">36.</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73"/>
    <w:bookmarkStart w:id="274" w:name="ref-OMS2021"/>
    <w:p>
      <w:pPr>
        <w:pStyle w:val="Bibliography"/>
      </w:pPr>
      <w:r>
        <w:t xml:space="preserve">37.</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74"/>
    <w:bookmarkStart w:id="275" w:name="ref-PDSPMinSalud2019"/>
    <w:p>
      <w:pPr>
        <w:pStyle w:val="Bibliography"/>
      </w:pPr>
      <w:r>
        <w:t xml:space="preserve">38.</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75"/>
    <w:bookmarkStart w:id="276" w:name="ref-FNE005-2019"/>
    <w:p>
      <w:pPr>
        <w:pStyle w:val="Bibliography"/>
      </w:pPr>
      <w:r>
        <w:t xml:space="preserve">39.</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76"/>
    <w:bookmarkStart w:id="277" w:name="X151870ab54b01afcd5b4b1f9212b983bdc4c06e"/>
    <w:p>
      <w:pPr>
        <w:pStyle w:val="Bibliography"/>
      </w:pPr>
      <w:r>
        <w:t xml:space="preserve">40.</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77"/>
    <w:bookmarkStart w:id="278" w:name="ref-GutierrezPulido2008"/>
    <w:p>
      <w:pPr>
        <w:pStyle w:val="Bibliography"/>
      </w:pPr>
      <w:r>
        <w:t xml:space="preserve">41.</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78"/>
    <w:bookmarkStart w:id="280" w:name="ref-Paterson2011"/>
    <w:p>
      <w:pPr>
        <w:pStyle w:val="Bibliography"/>
      </w:pPr>
      <w:r>
        <w:t xml:space="preserve">42.</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79">
        <w:r>
          <w:rPr>
            <w:rStyle w:val="Hyperlink"/>
          </w:rPr>
          <w:t xml:space="preserve">10.1016/j.ejor.2010.05.048</w:t>
        </w:r>
      </w:hyperlink>
      <w:r>
        <w:t xml:space="preserve">.</w:t>
      </w:r>
    </w:p>
    <w:bookmarkEnd w:id="280"/>
    <w:bookmarkStart w:id="281" w:name="ref-HernandezVera2017"/>
    <w:p>
      <w:pPr>
        <w:pStyle w:val="Bibliography"/>
      </w:pPr>
      <w:r>
        <w:t xml:space="preserve">43.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1"/>
    <w:bookmarkStart w:id="282" w:name="ref-AvilaRoncancio2019"/>
    <w:p>
      <w:pPr>
        <w:pStyle w:val="Bibliography"/>
      </w:pPr>
      <w:r>
        <w:t xml:space="preserve">44.</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82"/>
    <w:bookmarkStart w:id="283" w:name="ref-CongresodelaRepublicadeColombia1988"/>
    <w:p>
      <w:pPr>
        <w:pStyle w:val="Bibliography"/>
      </w:pPr>
      <w:r>
        <w:t xml:space="preserve">45.</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83"/>
    <w:bookmarkStart w:id="284" w:name="ref-SecretariaTecnicaCNPDM-2019"/>
    <w:p>
      <w:pPr>
        <w:pStyle w:val="Bibliography"/>
      </w:pPr>
      <w:r>
        <w:t xml:space="preserve">46.</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84"/>
    <w:bookmarkStart w:id="285" w:name="ref-INVIMA2021-ALERTAS"/>
    <w:p>
      <w:pPr>
        <w:pStyle w:val="Bibliography"/>
      </w:pPr>
      <w:r>
        <w:t xml:space="preserve">47.</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85"/>
    <w:bookmarkStart w:id="286" w:name="ref-INVIMA2006-FV"/>
    <w:p>
      <w:pPr>
        <w:pStyle w:val="Bibliography"/>
      </w:pPr>
      <w:r>
        <w:t xml:space="preserve">48.</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286"/>
    <w:bookmarkEnd w:id="287"/>
    <w:bookmarkEnd w:id="2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2" Target="media/rId212.png" /><Relationship Type="http://schemas.openxmlformats.org/officeDocument/2006/relationships/image" Id="rId89" Target="media/rId89.png" /><Relationship Type="http://schemas.openxmlformats.org/officeDocument/2006/relationships/image" Id="rId159" Target="media/rId159.png" /><Relationship Type="http://schemas.openxmlformats.org/officeDocument/2006/relationships/image" Id="rId128" Target="media/rId128.png" /><Relationship Type="http://schemas.openxmlformats.org/officeDocument/2006/relationships/image" Id="rId105" Target="media/rId105.png" /><Relationship Type="http://schemas.openxmlformats.org/officeDocument/2006/relationships/image" Id="rId178" Target="media/rId178.png" /><Relationship Type="http://schemas.openxmlformats.org/officeDocument/2006/relationships/image" Id="rId140" Target="media/rId140.png" /><Relationship Type="http://schemas.openxmlformats.org/officeDocument/2006/relationships/image" Id="rId65" Target="media/rId65.png" /><Relationship Type="http://schemas.openxmlformats.org/officeDocument/2006/relationships/image" Id="rId181" Target="media/rId181.png" /><Relationship Type="http://schemas.openxmlformats.org/officeDocument/2006/relationships/image" Id="rId124" Target="media/rId124.png" /><Relationship Type="http://schemas.openxmlformats.org/officeDocument/2006/relationships/image" Id="rId125" Target="media/rId125.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49" Target="media/rId149.png" /><Relationship Type="http://schemas.openxmlformats.org/officeDocument/2006/relationships/image" Id="rId138" Target="media/rId138.png" /><Relationship Type="http://schemas.openxmlformats.org/officeDocument/2006/relationships/image" Id="rId188" Target="media/rId188.png" /><Relationship Type="http://schemas.openxmlformats.org/officeDocument/2006/relationships/image" Id="rId196" Target="media/rId196.png" /><Relationship Type="http://schemas.openxmlformats.org/officeDocument/2006/relationships/image" Id="rId114" Target="media/rId114.png" /><Relationship Type="http://schemas.openxmlformats.org/officeDocument/2006/relationships/image" Id="rId219" Target="media/rId219.png" /><Relationship Type="http://schemas.openxmlformats.org/officeDocument/2006/relationships/image" Id="rId191" Target="media/rId19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42" Target="media/rId142.png" /><Relationship Type="http://schemas.openxmlformats.org/officeDocument/2006/relationships/image" Id="rId96" Target="media/rId96.png" /><Relationship Type="http://schemas.openxmlformats.org/officeDocument/2006/relationships/image" Id="rId146" Target="media/rId146.png" /><Relationship Type="http://schemas.openxmlformats.org/officeDocument/2006/relationships/image" Id="rId103" Target="media/rId103.png" /><Relationship Type="http://schemas.openxmlformats.org/officeDocument/2006/relationships/image" Id="rId176" Target="media/rId176.png" /><Relationship Type="http://schemas.openxmlformats.org/officeDocument/2006/relationships/image" Id="rId151" Target="media/rId151.png" /><Relationship Type="http://schemas.openxmlformats.org/officeDocument/2006/relationships/image" Id="rId185" Target="media/rId18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153" Target="media/rId153.png" /><Relationship Type="http://schemas.openxmlformats.org/officeDocument/2006/relationships/image" Id="rId174" Target="media/rId174.png" /><Relationship Type="http://schemas.openxmlformats.org/officeDocument/2006/relationships/image" Id="rId154" Target="media/rId154.png" /><Relationship Type="http://schemas.openxmlformats.org/officeDocument/2006/relationships/image" Id="rId207" Target="media/rId207.png" /><Relationship Type="http://schemas.openxmlformats.org/officeDocument/2006/relationships/image" Id="rId81" Target="media/rId81.png" /><Relationship Type="http://schemas.openxmlformats.org/officeDocument/2006/relationships/image" Id="rId183" Target="media/rId183.png" /><Relationship Type="http://schemas.openxmlformats.org/officeDocument/2006/relationships/image" Id="rId216" Target="media/rId21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image" Id="rId202" Target="media/rId202.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63" Target="media/rId163.png" /><Relationship Type="http://schemas.openxmlformats.org/officeDocument/2006/relationships/image" Id="rId120" Target="media/rId120.png" /><Relationship Type="http://schemas.openxmlformats.org/officeDocument/2006/relationships/image" Id="rId168" Target="media/rId16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100" Target="media/rId10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24" Target="media/rId24.png" /><Relationship Type="http://schemas.openxmlformats.org/officeDocument/2006/relationships/image" Id="rId77" Target="media/rId77.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74" Target="media/rId74.jpg" /><Relationship Type="http://schemas.openxmlformats.org/officeDocument/2006/relationships/image" Id="rId84" Target="media/rId84.png" /><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a Fondos Rotatorios de Estupefacientes</dc:title>
  <dc:creator>Proyecto de Inversión Mision PRI - 1901 Fondo Nacional de Estupefacientes</dc:creator>
  <dc:description>Este es el informe final de visitas de asistencias técnicas realizadas a los FRE por parte del Proyecto de Inversión Misión PRI 1901.</dc:description>
  <cp:keywords/>
  <dcterms:created xsi:type="dcterms:W3CDTF">2021-10-22T04:18:40Z</dcterms:created>
  <dcterms:modified xsi:type="dcterms:W3CDTF">2021-10-22T04:18:40Z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over-image">
    <vt:lpwstr>../www/duckimage.jpg</vt:lpwstr>
  </property>
  <property fmtid="{D5CDD505-2E9C-101B-9397-08002B2CF9AE}" pid="6" name="csl">
    <vt:lpwstr>infectio.csl</vt:lpwstr>
  </property>
  <property fmtid="{D5CDD505-2E9C-101B-9397-08002B2CF9AE}" pid="7" name="css">
    <vt:lpwstr>../www/style.css</vt:lpwstr>
  </property>
  <property fmtid="{D5CDD505-2E9C-101B-9397-08002B2CF9AE}" pid="8" name="date">
    <vt:lpwstr>10 de octubre de 2021</vt:lpwstr>
  </property>
  <property fmtid="{D5CDD505-2E9C-101B-9397-08002B2CF9AE}" pid="9" name="documentclass">
    <vt:lpwstr>book</vt:lpwstr>
  </property>
  <property fmtid="{D5CDD505-2E9C-101B-9397-08002B2CF9AE}" pid="10" name="encoding">
    <vt:lpwstr>UTF-8</vt:lpwstr>
  </property>
  <property fmtid="{D5CDD505-2E9C-101B-9397-08002B2CF9AE}" pid="11" name="favicon">
    <vt:lpwstr>../www/icon1.png</vt:lpwstr>
  </property>
  <property fmtid="{D5CDD505-2E9C-101B-9397-08002B2CF9AE}" pid="12" name="institution">
    <vt:lpwstr>Fondo Nacional de Estupefacientes</vt:lpwstr>
  </property>
  <property fmtid="{D5CDD505-2E9C-101B-9397-08002B2CF9AE}" pid="13" name="link-citations">
    <vt:lpwstr>yes</vt:lpwstr>
  </property>
  <property fmtid="{D5CDD505-2E9C-101B-9397-08002B2CF9AE}" pid="14" name="output">
    <vt:lpwstr/>
  </property>
  <property fmtid="{D5CDD505-2E9C-101B-9397-08002B2CF9AE}" pid="15" name="site">
    <vt:lpwstr>bookdown::bookdown_site</vt:lpwstr>
  </property>
  <property fmtid="{D5CDD505-2E9C-101B-9397-08002B2CF9AE}" pid="16" name="toc-title">
    <vt:lpwstr>Tabla de Contenidos</vt:lpwstr>
  </property>
</Properties>
</file>