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4.png" ContentType="image/png"/>
  <Override PartName="/word/media/rId71.png" ContentType="image/png"/>
  <Override PartName="/word/media/rId134.png" ContentType="image/png"/>
  <Override PartName="/word/media/rId136.png" ContentType="image/png"/>
  <Override PartName="/word/media/rId103.png" ContentType="image/png"/>
  <Override PartName="/word/media/rId78.png" ContentType="image/png"/>
  <Override PartName="/word/media/rId154.png" ContentType="image/png"/>
  <Override PartName="/word/media/rId165.png" ContentType="image/png"/>
  <Override PartName="/word/media/rId62.png" ContentType="image/png"/>
  <Override PartName="/word/media/rId156.png" ContentType="image/png"/>
  <Override PartName="/word/media/rId96.png" ContentType="image/png"/>
  <Override PartName="/word/media/rId97.png" ContentType="image/png"/>
  <Override PartName="/word/media/rId88.png" ContentType="image/png"/>
  <Override PartName="/word/media/rId106.png" ContentType="image/png"/>
  <Override PartName="/word/media/rId131.png" ContentType="image/png"/>
  <Override PartName="/word/media/rId124.png" ContentType="image/png"/>
  <Override PartName="/word/media/rId108.png" ContentType="image/png"/>
  <Override PartName="/word/media/rId177.png" ContentType="image/png"/>
  <Override PartName="/word/media/rId163.png" ContentType="image/png"/>
  <Override PartName="/word/media/rId94.png" ContentType="image/png"/>
  <Override PartName="/word/media/rId176.png" ContentType="image/png"/>
  <Override PartName="/word/media/rId178.png" ContentType="image/png"/>
  <Override PartName="/word/media/rId179.png" ContentType="image/png"/>
  <Override PartName="/word/media/rId43.png" ContentType="image/png"/>
  <Override PartName="/word/media/rId45.png" ContentType="image/png"/>
  <Override PartName="/word/media/rId180.png" ContentType="image/png"/>
  <Override PartName="/word/media/rId86.png" ContentType="image/png"/>
  <Override PartName="/word/media/rId121.png" ContentType="image/png"/>
  <Override PartName="/word/media/rId76.png" ContentType="image/png"/>
  <Override PartName="/word/media/rId152.png" ContentType="image/png"/>
  <Override PartName="/word/media/rId126.png" ContentType="image/png"/>
  <Override PartName="/word/media/rId160.png" ContentType="image/png"/>
  <Override PartName="/word/media/rId64.png" ContentType="image/png"/>
  <Override PartName="/word/media/rId128.png" ContentType="image/png"/>
  <Override PartName="/word/media/rId129.png" ContentType="image/png"/>
  <Override PartName="/word/media/rId173.png" ContentType="image/png"/>
  <Override PartName="/word/media/rId80.png" ContentType="image/png"/>
  <Override PartName="/word/media/rId158.png" ContentType="image/png"/>
  <Override PartName="/word/media/rId175.png" ContentType="image/png"/>
  <Override PartName="/word/media/rId73.png" ContentType="image/png"/>
  <Override PartName="/word/media/rId84.png" ContentType="image/png"/>
  <Override PartName="/word/media/rId82.png" ContentType="image/png"/>
  <Override PartName="/word/media/rId90.png" ContentType="image/png"/>
  <Override PartName="/word/media/rId169.png" ContentType="image/png"/>
  <Override PartName="/word/media/rId167.png" ContentType="image/png"/>
  <Override PartName="/word/media/rId171.png" ContentType="image/png"/>
  <Override PartName="/word/media/rId112.png" ContentType="image/png"/>
  <Override PartName="/word/media/rId116.png" ContentType="image/png"/>
  <Override PartName="/word/media/rId114.png" ContentType="image/png"/>
  <Override PartName="/word/media/rId100.png" ContentType="image/png"/>
  <Override PartName="/word/media/rId139.png" ContentType="image/png"/>
  <Override PartName="/word/media/rId118.png" ContentType="image/png"/>
  <Override PartName="/word/media/rId145.png" ContentType="image/png"/>
  <Override PartName="/word/media/rId60.png" ContentType="image/png"/>
  <Override PartName="/word/media/rId58.png" ContentType="image/png"/>
  <Override PartName="/word/media/rId53.png" ContentType="image/png"/>
  <Override PartName="/word/media/rId55.png" ContentType="image/png"/>
  <Override PartName="/word/media/rId49.png" ContentType="image/png"/>
  <Override PartName="/word/media/rId51.png" ContentType="image/png"/>
  <Override PartName="/word/media/rId36.png" ContentType="image/png"/>
  <Override PartName="/word/media/rId38.png" ContentType="image/png"/>
  <Override PartName="/word/media/rId40.png" ContentType="image/png"/>
  <Override PartName="/word/media/rId67.png" ContentType="image/png"/>
  <Override PartName="/word/media/rId29.png" ContentType="image/png"/>
  <Override PartName="/word/media/rId30.png" ContentType="image/png"/>
  <Override PartName="/word/media/rId27.png" ContentType="image/png"/>
  <Override PartName="/word/media/rId32.png" ContentType="image/png"/>
  <Override PartName="/word/media/rId143.png" ContentType="image/png"/>
  <Override PartName="/word/media/rId147.png" ContentType="image/png"/>
  <Override PartName="/word/media/rId24.png" ContentType="image/png"/>
  <Override PartName="/word/media/rId69.png" ContentType="image/png"/>
  <Override PartName="/word/media/rId184.jpg" ContentType="image/jpeg"/>
  <Override PartName="/word/media/rId208.jpg" ContentType="image/jpeg"/>
  <Override PartName="/word/media/rId210.png" ContentType="image/png"/>
  <Override PartName="/word/media/rId212.png" ContentType="image/png"/>
  <Override PartName="/word/media/rId214.png" ContentType="image/png"/>
  <Override PartName="/word/media/rId216.png" ContentType="image/png"/>
  <Override PartName="/word/media/rId186.png" ContentType="image/png"/>
  <Override PartName="/word/media/rId221.png" ContentType="image/png"/>
  <Override PartName="/word/media/rId224.png" ContentType="image/png"/>
  <Override PartName="/word/media/rId227.png" ContentType="image/png"/>
  <Override PartName="/word/media/rId230.png" ContentType="image/png"/>
  <Override PartName="/word/media/rId235.png" ContentType="image/png"/>
  <Override PartName="/word/media/rId237.png" ContentType="image/png"/>
  <Override PartName="/word/media/rId188.png" ContentType="image/png"/>
  <Override PartName="/word/media/rId240.png" ContentType="image/png"/>
  <Override PartName="/word/media/rId242.png" ContentType="image/png"/>
  <Override PartName="/word/media/rId190.png" ContentType="image/png"/>
  <Override PartName="/word/media/rId245.png" ContentType="image/png"/>
  <Override PartName="/word/media/rId247.png" ContentType="image/png"/>
  <Override PartName="/word/media/rId195.png" ContentType="image/png"/>
  <Override PartName="/word/media/rId197.png" ContentType="image/png"/>
  <Override PartName="/word/media/rId2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8"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1</w:t>
        </w:r>
      </w:hyperlink>
      <w:r>
        <w:t xml:space="preserve">.</w:t>
      </w:r>
    </w:p>
    <w:bookmarkStart w:id="26" w:name="fecha-de-constitución-de-fre"/>
    <w:p>
      <w:pPr>
        <w:pStyle w:val="Heading2"/>
      </w:pPr>
      <w:r>
        <w:rPr>
          <w:rStyle w:val="SectionNumber"/>
        </w:rPr>
        <w:t xml:space="preserve">4.1</w:t>
      </w:r>
      <w:r>
        <w:tab/>
      </w:r>
      <w:r>
        <w:t xml:space="preserve">Fecha de constitución de FRE</w:t>
      </w:r>
    </w:p>
    <w:p>
      <w:pPr>
        <w:pStyle w:val="FirstParagraph"/>
      </w:pPr>
      <w:r>
        <w:t xml:space="preserve">La fecha de constitución de los FRE departamentales divergen unas de otras. Esto se explica de acuerdo con lo estipulado en el Artículo 2° de la Resolución 1479 de 2006, donde se menciona que la creación de cada FRE será definida mediante acto administrativo suscrito por el gobernador del departamento</w:t>
      </w:r>
      <w:hyperlink w:anchor="ref-MSPS1479-2006">
        <w:r>
          <w:rPr>
            <w:rStyle w:val="Hyperlink"/>
            <w:vertAlign w:val="superscript"/>
          </w:rPr>
          <w:t xml:space="preserve">1</w:t>
        </w:r>
      </w:hyperlink>
      <w:r>
        <w:t xml:space="preserve">. Lo anterior, permitió someter a consideración, la creación y constitución del FRE departamental, por parte del gobernador en cada territorio del país. Estas determinaciones, posiblemente contemplaron condiciones y capacidades técnicas que tenía la dirección departamental en salud, en ese tiempo, para evaluar y definir la constitución del FRE.</w:t>
      </w:r>
    </w:p>
    <w:p>
      <w:pPr>
        <w:pStyle w:val="BodyText"/>
      </w:pPr>
      <w:r>
        <w:t xml:space="preserve">Existen tres tipos de actos administrativos para la creación del FRE:</w:t>
      </w:r>
    </w:p>
    <w:p>
      <w:pPr>
        <w:numPr>
          <w:ilvl w:val="0"/>
          <w:numId w:val="1008"/>
        </w:numPr>
        <w:pStyle w:val="Compact"/>
      </w:pPr>
      <w:r>
        <w:t xml:space="preserve">Ordenanzas</w:t>
      </w:r>
    </w:p>
    <w:p>
      <w:pPr>
        <w:numPr>
          <w:ilvl w:val="0"/>
          <w:numId w:val="1008"/>
        </w:numPr>
        <w:pStyle w:val="Compact"/>
      </w:pPr>
      <w:r>
        <w:t xml:space="preserve">Resoluciones</w:t>
      </w:r>
    </w:p>
    <w:p>
      <w:pPr>
        <w:numPr>
          <w:ilvl w:val="0"/>
          <w:numId w:val="1008"/>
        </w:numPr>
        <w:pStyle w:val="Compact"/>
      </w:pPr>
      <w:r>
        <w:t xml:space="preserve">Decretos</w:t>
      </w:r>
    </w:p>
    <w:p>
      <w:pPr>
        <w:pStyle w:val="FirstParagraph"/>
      </w:pPr>
      <w:r>
        <w:t xml:space="preserve">A partir de lo anterior, la Figura</w:t>
      </w:r>
      <w:r>
        <w:t xml:space="preserve"> </w:t>
      </w:r>
      <w:r>
        <w:t xml:space="preserve">4.1</w:t>
      </w:r>
      <w:r>
        <w:t xml:space="preserve"> </w:t>
      </w:r>
      <w:r>
        <w:t xml:space="preserve">muestra en detalle, la creación de cada FRE departamental en una línea del tiempo. Inicialmente se logra evidenciar que los primeros FRE constituidos en el país, fueron creados luego de la ratificación en Colombia de la Convención Única de Estupefacientes mediante la Ley 13 de 1974</w:t>
      </w:r>
      <w:hyperlink w:anchor="ref-CongresodelaRepublica1974">
        <w:r>
          <w:rPr>
            <w:rStyle w:val="Hyperlink"/>
            <w:vertAlign w:val="superscript"/>
          </w:rPr>
          <w:t xml:space="preserve">2</w:t>
        </w:r>
      </w:hyperlink>
      <w:r>
        <w:t xml:space="preserve">. La creación de los primeros FRE departamentales permite evidenciar que ya algunos territorios a nivel nacional, tenían un panorama claro del impacto de la implementación de esta convención en el país.</w:t>
      </w:r>
    </w:p>
    <w:p>
      <w:pPr>
        <w:pStyle w:val="BodyText"/>
      </w:pPr>
      <w:r>
        <w:t xml:space="preserve">Posteriormente, con la entrada en rigor de la Ley 30 de 1986 que adopta el Estatuto Nacional de Estupefacientes y dicta otras disposiciones, se ordenó a los departamentos controlar y fiscalizar las sustancias incluidas en las listas de estupefacientes de la Convención Única de Estupefacientes. Para este periodo de tiempo, la Figura</w:t>
      </w:r>
      <w:r>
        <w:t xml:space="preserve"> </w:t>
      </w:r>
      <w:r>
        <w:t xml:space="preserve">4.1</w:t>
      </w:r>
      <w:r>
        <w:t xml:space="preserve"> </w:t>
      </w:r>
      <w:r>
        <w:t xml:space="preserve">permite ver varios FRE constituidos, cuyos gobernadores se alinearon y adoptaron la con la Ley 30 de 1986. Cabe resaltar que los entes territoriales creados hasta finales de los años 90, posiblemente contaron con suficientes capacidades internas para la pronta creación de sus respectivos FRE, diferente a los demás FRE creados posteriormente, cuyas capacidades son inferiores.</w:t>
      </w:r>
    </w:p>
    <w:p>
      <w:pPr>
        <w:pStyle w:val="CaptionedFigure"/>
      </w:pPr>
      <w:r>
        <w:drawing>
          <wp:inline>
            <wp:extent cx="5334000" cy="4267200"/>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p>
      <w:pPr>
        <w:pStyle w:val="BodyText"/>
      </w:pPr>
      <w:r>
        <w:t xml:space="preserve">Más adelante, la creación de la Federación Nacional de Departamentos (FND) permitió a los departamentos con niveles de gobernanza mucho más simples, la creación y constitución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FND. Además, las asesorías en las áreas jurídica, económica, financiera y administrativa, a cargo de la FND, facultaron a los departamentos con capacidades inferiores para la constitución de sus FRE. En este periodo de tiempo se logran ver distintos FRE creados, a partir de la fecha de creación de la Federación Nacional de Departamentos (FND) en 1994</w:t>
      </w:r>
      <w:hyperlink w:anchor="X9486f9f085ab4ce8af67cf8503137529dfa00a3">
        <w:r>
          <w:rPr>
            <w:rStyle w:val="Hyperlink"/>
            <w:vertAlign w:val="superscript"/>
          </w:rPr>
          <w:t xml:space="preserve">3</w:t>
        </w:r>
      </w:hyperlink>
      <w:r>
        <w:t xml:space="preserve">.</w:t>
      </w:r>
    </w:p>
    <w:p>
      <w:pPr>
        <w:pStyle w:val="BodyText"/>
      </w:pPr>
      <w:r>
        <w:t xml:space="preserve">Sin embargo, también hay algunos territorios considerados</w:t>
      </w:r>
      <w:r>
        <w:t xml:space="preserve"> </w:t>
      </w:r>
      <w:r>
        <w:t xml:space="preserve">“</w:t>
      </w:r>
      <w:r>
        <w:t xml:space="preserve">grandes</w:t>
      </w:r>
      <w:r>
        <w:t xml:space="preserve">”</w:t>
      </w:r>
      <w:r>
        <w:t xml:space="preserve">, debido a su situación demográfica y desarrollo económico, cuyos FRE fueron creados en la primera parte de los años 2000. Estos casos particulares (p.ej. Antioquia, Santander, Norte de Santander, y Nariño), posiblemente se podrían explicar en función de la organización interna de cada dirección departamental de salud. Especialmente, hasta ese tiempo, aquellos departamentos mostraron un interés primigenio en regular la venta de estos productos en su territorio.</w:t>
      </w:r>
    </w:p>
    <w:p>
      <w:pPr>
        <w:pStyle w:val="BodyText"/>
      </w:pPr>
      <w:r>
        <w:t xml:space="preserve">Particularmente en algunos territorios del país, no se cuenta con un FRE propiamente constituido, por medio de acto administrativo, suscrito por el gobernador. Por lo tanto, el control que se tiene sobre los medicamentos denominados Monopolio del Estado, lo ejercen a partir de su propia interpretación de la Resolución 1478 del 2006</w:t>
      </w:r>
      <w:hyperlink w:anchor="ref-MSPS1478-2006">
        <w:r>
          <w:rPr>
            <w:rStyle w:val="Hyperlink"/>
            <w:vertAlign w:val="superscript"/>
          </w:rPr>
          <w:t xml:space="preserve">4</w:t>
        </w:r>
      </w:hyperlink>
      <w:r>
        <w:t xml:space="preserve"> </w:t>
      </w:r>
      <w:r>
        <w:t xml:space="preserve">y Resolución 1479 del 2006</w:t>
      </w:r>
      <w:hyperlink w:anchor="ref-MSPS1479-2006">
        <w:r>
          <w:rPr>
            <w:rStyle w:val="Hyperlink"/>
            <w:vertAlign w:val="superscript"/>
          </w:rPr>
          <w:t xml:space="preserve">1</w:t>
        </w:r>
      </w:hyperlink>
      <w:r>
        <w:t xml:space="preserve">. Durante las asistencias técnicas desarrolladas, se presentaron algunos casos como Córdoba y Vaupés en los cuales no fue posibles verificar el acto administrativo de creación.</w:t>
      </w:r>
    </w:p>
    <w:bookmarkEnd w:id="26"/>
    <w:bookmarkStart w:id="35" w:name="estructura-organizacional"/>
    <w:p>
      <w:pPr>
        <w:pStyle w:val="Heading2"/>
      </w:pPr>
      <w:r>
        <w:rPr>
          <w:rStyle w:val="SectionNumber"/>
        </w:rPr>
        <w:t xml:space="preserve">4.2</w:t>
      </w:r>
      <w:r>
        <w:tab/>
      </w:r>
      <w:r>
        <w:t xml:space="preserve">Estructura organizacional</w:t>
      </w:r>
    </w:p>
    <w:p>
      <w:pPr>
        <w:pStyle w:val="FirstParagraph"/>
      </w:pPr>
      <w:r>
        <w:t xml:space="preserve">La estructura organizacional de los FRE departamentales es un elemento crítico para evaluar las condiciones y características actuales de cada ente territorial, en virtud de su capacidad para cumplir todas las funciones expuestas en el Artículo 2° de la Resolución 1479 del 2006. Por este motivo, en la Figura</w:t>
      </w:r>
      <w:r>
        <w:t xml:space="preserve"> </w:t>
      </w:r>
      <w:r>
        <w:t xml:space="preserve">4.2</w:t>
      </w:r>
      <w:r>
        <w:t xml:space="preserve"> </w:t>
      </w:r>
      <w:r>
        <w:t xml:space="preserve">y</w:t>
      </w:r>
      <w:r>
        <w:t xml:space="preserve"> </w:t>
      </w:r>
      <w:r>
        <w:t xml:space="preserve">4.3</w:t>
      </w:r>
      <w:r>
        <w:t xml:space="preserve"> </w:t>
      </w:r>
      <w:r>
        <w:t xml:space="preserve">se muestran los diferentes profesionales que conforman los equipos de trabajo de todos los FRE a nivel nacional.</w:t>
      </w:r>
    </w:p>
    <w:p>
      <w:pPr>
        <w:pStyle w:val="BodyText"/>
      </w:pPr>
      <w:r>
        <w:t xml:space="preserve">En el panel izquierdo de la Figura</w:t>
      </w:r>
      <w:r>
        <w:t xml:space="preserve"> </w:t>
      </w:r>
      <w:r>
        <w:t xml:space="preserve">4.2</w:t>
      </w:r>
      <w:r>
        <w:t xml:space="preserve"> </w:t>
      </w:r>
      <w:r>
        <w:t xml:space="preserve">se observa especialmente la distribución de los perfiles profesionales de los encargados de cada FRE departamental. Se evidencia que la mayoría de departamento cuentan con Químicos Farmacéuticos como responsables encargados de los entes territoriales. De manera similar, se observan Técnicos en Regencia en Farmacia ocupando este cargo a nivel territorial, cuyos perfiles permanecen en la misma línea profesional de trabajo, referente al conocimiento y habilidades en la gestión de los medicamentos. Lo anterior, tiene ventajas en los procesos internos del FRE, ya que permite un adecuado desarrollo de las funciones principales del ente territorial y la resolución de problemas técnicos es más probable.</w:t>
      </w:r>
    </w:p>
    <w:p>
      <w:pPr>
        <w:pStyle w:val="BodyText"/>
      </w:pPr>
      <w:r>
        <w:t xml:space="preserve">Por otro lado, se evidencia un grupo de profesionales diferentes a los anteriores, pero denominados como profesionales de la salud, cuyas competencias pueden relacionarse de alguna manera con la adecuada administración y gestión de los medicamentos. Por el contrario, se deben resaltar (4) profesionales, encargados de algunos FRE, que no poseen este tipo de habilidades idóneas y apropiadas, desde su formación profesional, lo que podría resultar en dificultades técnicas para el desarrollo interno de las entidades territoriales.</w:t>
      </w:r>
    </w:p>
    <w:p>
      <w:pPr>
        <w:pStyle w:val="BodyText"/>
      </w:pPr>
      <w:r>
        <w:t xml:space="preserve">Para el análisis del recurso humano de los FRE se tuvieron en cuanto dos clasificaciones:</w:t>
      </w:r>
    </w:p>
    <w:p>
      <w:pPr>
        <w:numPr>
          <w:ilvl w:val="0"/>
          <w:numId w:val="1009"/>
        </w:numPr>
      </w:pPr>
      <w:r>
        <w:t xml:space="preserve">De acuerdo con sí la persona era la encargada del FRE o un apoyo del(a) encargado(a).</w:t>
      </w:r>
    </w:p>
    <w:p>
      <w:pPr>
        <w:numPr>
          <w:ilvl w:val="0"/>
          <w:numId w:val="1009"/>
        </w:numPr>
      </w:pPr>
      <w:r>
        <w:t xml:space="preserve">De acuerdo con la carga laboral relacionada con actividades del FRE. Se consideró como personal directo a aquel que desempeña más de un 50% de su tiempo en actividades relacionadas al FRE y personal vinculado como aquel que desempeña menos del 50% de su tiempo en estas actividades FRE.</w:t>
      </w:r>
    </w:p>
    <w:p>
      <w:pPr>
        <w:pStyle w:val="CaptionedFigure"/>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BodyText"/>
      </w:pPr>
      <w:r>
        <w:t xml:space="preserve">En la Figura</w:t>
      </w:r>
      <w:r>
        <w:t xml:space="preserve"> </w:t>
      </w:r>
      <w:r>
        <w:t xml:space="preserve">4.3</w:t>
      </w:r>
      <w:r>
        <w:t xml:space="preserve"> </w:t>
      </w:r>
      <w:r>
        <w:t xml:space="preserve">se observan los perfiles profesionales del personal de apoyo de los FRE a nivel nacional. Principalmente, se destaca una gran mayoría de Técnicos en Regencia en Farmacia (39) seguido de un grupo menor de profesionales Químicos Farmacéuticos (10), apoyando en las actividades de los FRE departamentales. Esto demuestra que gran parte de los entes territoriales están alineados con lo expuesto en el Artículo 3° de la Resolución 1479 del 2006</w:t>
      </w:r>
      <w:hyperlink w:anchor="ref-MSPS1479-2006">
        <w:r>
          <w:rPr>
            <w:rStyle w:val="Hyperlink"/>
            <w:vertAlign w:val="superscript"/>
          </w:rPr>
          <w:t xml:space="preserve">1</w:t>
        </w:r>
      </w:hyperlink>
      <w:r>
        <w:t xml:space="preserve">, donde mencionan que el Químicos Farmacéuticos y Tecnólogos en Regencia en Farmacia son profesionales considerados como personal calificado para el cumplimiento de las funciones requeridas por el FRE.</w:t>
      </w:r>
    </w:p>
    <w:p>
      <w:pPr>
        <w:pStyle w:val="BodyText"/>
      </w:pPr>
      <w:r>
        <w:drawing>
          <wp:inline>
            <wp:extent cx="5334000" cy="4000500"/>
            <wp:effectExtent b="0" l="0" r="0" t="0"/>
            <wp:docPr descr="Figura 4.3: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Adicionalmente, la Figura</w:t>
      </w:r>
      <w:r>
        <w:t xml:space="preserve"> </w:t>
      </w:r>
      <w:r>
        <w:t xml:space="preserve">4.3</w:t>
      </w:r>
      <w:r>
        <w:t xml:space="preserve"> </w:t>
      </w:r>
      <w:r>
        <w:t xml:space="preserve">también muestra otro tipo de profesionales de apoyo al encargado del FRE, diferente al personal calificado mencionado anteriormente. Este factor podría brindar ventajas al equipo de trabajo del FRE particularmente, en función de la multidisciplinariedad. La participación de distintas disciplinas puede entregar más conocimientos y alternativas en el desarrollo laboral interno de cada FRE departamental. No obstante, es importante aclarar que ningún FRE debería dejar de contar con la participación del personal calificado, estipulado en el Artículo 3° de la Resolución 1479 del 2006</w:t>
      </w:r>
      <w:hyperlink w:anchor="ref-MSPS1479-2006">
        <w:r>
          <w:rPr>
            <w:rStyle w:val="Hyperlink"/>
            <w:vertAlign w:val="superscript"/>
          </w:rPr>
          <w:t xml:space="preserve">1</w:t>
        </w:r>
      </w:hyperlink>
      <w:r>
        <w:t xml:space="preserve">.</w:t>
      </w:r>
    </w:p>
    <w:p>
      <w:pPr>
        <w:pStyle w:val="BodyText"/>
      </w:pPr>
      <w:r>
        <w:t xml:space="preserve">El número de personas que trabajan en cada FRE, es otro elemento crítico para la evaluación de condiciones y características actuales de cada ente territorial, en virtud de su capacidad para cumplir todas las funciones expuestas en el Artículo 2° de la Resolución 1479 del 2006</w:t>
      </w:r>
      <w:hyperlink w:anchor="ref-MSPS1479-2006">
        <w:r>
          <w:rPr>
            <w:rStyle w:val="Hyperlink"/>
            <w:vertAlign w:val="superscript"/>
          </w:rPr>
          <w:t xml:space="preserve">1</w:t>
        </w:r>
      </w:hyperlink>
      <w:r>
        <w:t xml:space="preserve">. La Figura</w:t>
      </w:r>
      <w:r>
        <w:t xml:space="preserve"> </w:t>
      </w:r>
      <w:r>
        <w:t xml:space="preserve">4.4</w:t>
      </w:r>
      <w:r>
        <w:t xml:space="preserve"> </w:t>
      </w:r>
      <w:r>
        <w:t xml:space="preserve">exhibe la frecuencia absoluta del número de personas que se encuentran vinculadas a los entes territoriales del país. Es decir, la cantidad de profesionales que conforman los equipos de trabajo de todos los FRE departamentales.</w:t>
      </w:r>
    </w:p>
    <w:p>
      <w:pPr>
        <w:pStyle w:val="CaptionedFigure"/>
      </w:pPr>
      <w:r>
        <w:drawing>
          <wp:inline>
            <wp:extent cx="5334000" cy="2051538"/>
            <wp:effectExtent b="0" l="0" r="0" t="0"/>
            <wp:docPr descr="Figura 4.4: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0"/>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1" w:name="fig3"/>
      <w:r>
        <w:t xml:space="preserve">Figure </w:t>
      </w:r>
      <w:fldSimple w:instr="SEQ Figure \* ARABIC ">
        <w:r>
          <w:t>3</w:t>
        </w:r>
      </w:fldSimple>
      <w:r>
        <w:t xml:space="preserve">:</w:t>
      </w:r>
      <w:r>
        <w:t xml:space="preserve"> </w:t>
      </w:r>
      <w:bookmarkEnd w:id="31"/>
      <w:r>
        <w:t xml:space="preserve">Figura 4.4: N.° de personas que trabajan en el FRE</w:t>
      </w:r>
    </w:p>
    <w:p>
      <w:pPr>
        <w:pStyle w:val="BodyText"/>
      </w:pPr>
      <w:r>
        <w:t xml:space="preserve">Según lo anterior, podemos evidenciar que no son muchas personas vinculadas a los FRE para conformar su equipo de trabajo. En su gran mayoría tienen únicamente hasta tres personas para el desempeño del FRE, contemplando que nueve FRE tienen solo 2 personas vinculadas. Son muy pocos entes territoriales que mantienen un grupo de trabajo grande con profesionales interdisciplinarios. La Figura</w:t>
      </w:r>
      <w:r>
        <w:t xml:space="preserve"> </w:t>
      </w:r>
      <w:r>
        <w:t xml:space="preserve">4.4</w:t>
      </w:r>
      <w:r>
        <w:t xml:space="preserve"> </w:t>
      </w:r>
      <w:r>
        <w:t xml:space="preserve">exhibe de manera completa los datos que acompañan el análisis anterior.</w:t>
      </w:r>
    </w:p>
    <w:p>
      <w:pPr>
        <w:pStyle w:val="BodyText"/>
      </w:pPr>
      <w:r>
        <w:t xml:space="preserve">El tipo de contrato que los diferentes entes territoriales emplean para vincular el personal es otro factor crítico en el cumplimiento de las funciones de los FRE. De acuerdo con lo anterior, la Figura</w:t>
      </w:r>
      <w:r>
        <w:t xml:space="preserve"> </w:t>
      </w:r>
      <w:r>
        <w:t xml:space="preserve">4.5</w:t>
      </w:r>
      <w:r>
        <w:t xml:space="preserve"> </w:t>
      </w:r>
      <w:r>
        <w:t xml:space="preserve">muestra la proporción del tipo de vinculación del personal del FRE a nivel nacional, diferenciándose entre personal directo y personal vinculado. Este último, tiene cierta exclusividad con el FRE al destinar más del 50% en actividades de este, y de acuerdo a sus obligaciones contractuales, también adelanta otras actividades con otras dependencias de la dirección departamental de salud.</w:t>
      </w:r>
    </w:p>
    <w:p>
      <w:pPr>
        <w:pStyle w:val="BodyText"/>
      </w:pPr>
      <w:r>
        <w:t xml:space="preserve">A partir de la Figura</w:t>
      </w:r>
      <w:r>
        <w:t xml:space="preserve"> </w:t>
      </w:r>
      <w:r>
        <w:t xml:space="preserve">4.5</w:t>
      </w:r>
      <w:r>
        <w:t xml:space="preserve"> </w:t>
      </w:r>
      <w:r>
        <w:t xml:space="preserve">se puede notar una gran tendencia que tienen todos los FRE a nivel nacional, referente al tipo de vinculación por medio de Contrato Por Prestación De Servicios (CPS). La gran mayoría, precisamente, el 98%, del personal de apoyo de los FRE está relacionado con contratos CPS.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en su mayoría, por nombramiento, es decir, como servidor público. En muchos departamentos, la persona encargada del FRE es el único profesional nombrado, mientras que el resto del equipo de trabajo del FRE, guardan una predisposición para ser relacionados como contratistas, por medio de CPS.</w:t>
      </w:r>
    </w:p>
    <w:p>
      <w:pPr>
        <w:pStyle w:val="CaptionedFigure"/>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3" w:name="fig4"/>
      <w:r>
        <w:t xml:space="preserve">Figure </w:t>
      </w:r>
      <w:fldSimple w:instr="SEQ Figure \* ARABIC ">
        <w:r>
          <w:t>4</w:t>
        </w:r>
      </w:fldSimple>
      <w:r>
        <w:t xml:space="preserve">:</w:t>
      </w:r>
      <w:r>
        <w:t xml:space="preserve"> </w:t>
      </w:r>
      <w:bookmarkEnd w:id="33"/>
      <w:r>
        <w:t xml:space="preserve">Figura 4.5: Tipo de vinculación al FRE</w:t>
      </w:r>
    </w:p>
    <w:p>
      <w:pPr>
        <w:pStyle w:val="BodyText"/>
      </w:pPr>
      <w:r>
        <w:t xml:space="preserve">La anterior tendencia puede interferir y generar inconvenientes en la continuidad del desarrollo adecuado del FRE, afectando la funcionalidad y abandonando algunas actividades críticas para el cumplimiento de sus objetivos de creación. En algunos casos, este tipo de personas vinculadas por CPS, dejan de laborar los primeros meses del año, ya que su contrato finalizó el año pasado, y debido a barreras administrativas, no son contratadas hasta el segundo bimestre del año. El personal nombrado en muchos casos es la persona encargada del FRE, cuyos temas operativos no están dentro de su cotidianidad y no son fáciles cumplirlos. Por tal motivo estas actividades operativas se dejan de hacer en el territorio hasta que sea contratado el personal de apoyo. Como es el caso de la consolidación de los informes que deben ser enviados mensualmente al FNE.</w:t>
      </w:r>
    </w:p>
    <w:p>
      <w:pPr>
        <w:pStyle w:val="BodyText"/>
      </w:pPr>
      <w:r>
        <w:t xml:space="preserve">Adicionalmente, en la Tabla</w:t>
      </w:r>
      <w:r>
        <w:t xml:space="preserve"> </w:t>
      </w:r>
      <w:r>
        <w:t xml:space="preserve">4.1</w:t>
      </w:r>
      <w:r>
        <w:t xml:space="preserve"> </w:t>
      </w:r>
      <w:r>
        <w:t xml:space="preserve">se observa la proporción del tipo de vinculación del personal del FRE, discriminado por cada región del país. A partir de esta información, se observa que en 5 regiones predomina la Contratación por Prestación de Servicios respecto al Nombramiento del personal del FRE. Además, se logra observar que en las regiones más alejadas de la capital Bogotá D.C., existe una prevalencia mucho más fuerte con esta CPS. Por consiguiente, los problemas mencionados anteriormente relacionados con la CPS, se pueden notar con mayor evidencia en estos territorios apartados del centro del país.</w:t>
      </w:r>
    </w:p>
    <w:p>
      <w:pPr>
        <w:pStyle w:val="TableCaption"/>
      </w:pPr>
      <w:bookmarkStart w:id="34" w:name="table1"/>
      <w:r>
        <w:t xml:space="preserve">Table </w:t>
      </w:r>
      <w:fldSimple w:instr="SEQ Table \* ARABIC ">
        <w:r>
          <w:t>1</w:t>
        </w:r>
      </w:fldSimple>
      <w:r>
        <w:t xml:space="preserve">:</w:t>
      </w:r>
      <w:bookmarkEnd w:id="34"/>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5"/>
    <w:bookmarkStart w:id="42" w:name="instituciones-inscritas-en-el-fre"/>
    <w:p>
      <w:pPr>
        <w:pStyle w:val="Heading2"/>
      </w:pPr>
      <w:r>
        <w:rPr>
          <w:rStyle w:val="SectionNumber"/>
        </w:rPr>
        <w:t xml:space="preserve">4.3</w:t>
      </w:r>
      <w:r>
        <w:tab/>
      </w:r>
      <w:r>
        <w:t xml:space="preserve">Instituciones inscritas en el FRE</w:t>
      </w:r>
    </w:p>
    <w:p>
      <w:pPr>
        <w:pStyle w:val="FirstParagraph"/>
      </w:pPr>
      <w:r>
        <w:t xml:space="preserve">El número de instituciones inscritas en los FRE de cada departamento, puede variar según las condiciones demográficas particulares en cada territorio. Lo anterior se puede ver plasmado en la siguiente Figura</w:t>
      </w:r>
      <w:r>
        <w:t xml:space="preserve"> </w:t>
      </w:r>
      <w:r>
        <w:t xml:space="preserve">4.6</w:t>
      </w:r>
      <w:r>
        <w:t xml:space="preserve">, donde se exhibe el número de inscritos en cada FRE departamental. A partir de esta información, se puede apreciar el ente territorial con mayor inscritos en su territorio, correspondiendo al FRE Antioquia con un total de 1054 inscritos. Luego se posiciona en segundo lugar el FRE Valle del Cauca con 570 inscritos. Particularmente, estos dos departamentos se mantienen en los primeros lugares de los departamentos más poblados en Colombia, exceptuando Bogotá D.C. y Cundinamarca, según los datos obtenidos por el DANE en el</w:t>
      </w:r>
      <w:r>
        <w:t xml:space="preserve"> </w:t>
      </w:r>
      <w:r>
        <w:t xml:space="preserve">“</w:t>
      </w:r>
      <w:r>
        <w:t xml:space="preserve">Censo Nacional de Población y Vivienda 2018</w:t>
      </w:r>
      <w:r>
        <w:t xml:space="preserve">”</w:t>
      </w:r>
      <w:hyperlink w:anchor="ref-DANE2021">
        <w:r>
          <w:rPr>
            <w:rStyle w:val="Hyperlink"/>
            <w:vertAlign w:val="superscript"/>
          </w:rPr>
          <w:t xml:space="preserve">5</w:t>
        </w:r>
      </w:hyperlink>
      <w:r>
        <w:t xml:space="preserve">.</w:t>
      </w:r>
    </w:p>
    <w:p>
      <w:pPr>
        <w:pStyle w:val="CaptionedFigure"/>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7" w:name="fig5"/>
      <w:r>
        <w:t xml:space="preserve">Figure </w:t>
      </w:r>
      <w:fldSimple w:instr="SEQ Figure \* ARABIC ">
        <w:r>
          <w:t>5</w:t>
        </w:r>
      </w:fldSimple>
      <w:r>
        <w:t xml:space="preserve">:</w:t>
      </w:r>
      <w:r>
        <w:t xml:space="preserve"> </w:t>
      </w:r>
      <w:bookmarkEnd w:id="37"/>
      <w:r>
        <w:t xml:space="preserve">Figura 4.6: N° de instituciones inscritas en el departamento</w:t>
      </w:r>
    </w:p>
    <w:p>
      <w:pPr>
        <w:pStyle w:val="BodyText"/>
      </w:pPr>
      <w:r>
        <w:t xml:space="preserve">Los FRE que continúan en la lista de mayor número de inscritos, corresponden a los entes territoriales de Norte de Santander, Santander, Atlántico y Cesar, con un rango entre 298 y 358 inscritos territorialmente. Seguidamente, se encuentran los FRE departamentales Boyacá, Caldas, Nariño y Magdalena, con un rango de instituciones inscritas territorialmente ubicado entre 208 y 245. Por otro lado, los FRE con menor número de inscritos en su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5</w:t>
        </w:r>
      </w:hyperlink>
      <w:r>
        <w:t xml:space="preserve">.</w:t>
      </w:r>
    </w:p>
    <w:p>
      <w:pPr>
        <w:pStyle w:val="BodyText"/>
      </w:pPr>
      <w:r>
        <w:t xml:space="preserve">Por lo tanto, se puede determinar una relación directa entre los factores demográficos de cada territorio y el número de instituciones inscritas en cada FRE. Es decir, entre menos población habite en el departamento, menos instituciones se pueden encontrar en el territorio y así mismo son menos instituciones responsables de la gestión de MME.</w:t>
      </w:r>
    </w:p>
    <w:p>
      <w:pPr>
        <w:pStyle w:val="BodyText"/>
      </w:pPr>
      <w:r>
        <w:t xml:space="preserve">Existe una relación demográfica en los departamentos sobre la cantidad de instituciones inscritas y los departamentos con más densidad de población. Lo anterior se explica de acuerdo cob la capacidad del departamento para atender la necesidad de MME en su población, en función del número de personas que integran el equipo de trabajo del ente territorial. En teoría, los FRE con mayor número de inscritos, deberían estar mucho más desarrollados para atender la necesidad de MME de su población local. No obstante, en las visitas técnicas se evidenció que el recurso humano de los FRE no da abasto con todas las tareas requeridas para su funcionamiento integral.</w:t>
      </w:r>
    </w:p>
    <w:p>
      <w:pPr>
        <w:pStyle w:val="BodyText"/>
      </w:pPr>
      <w:r>
        <w:t xml:space="preserve">Un claro ejemplo de estas capacidades reducidas se puede evidenciar en el desempeño de cada FRE, referente a la entrega de informes mensuales al FNE. Actualmente existen varios FRE que cuentan con un recurso humano muy amplio, pero se quedan cortos con la entrega de estos informes al FNE, como es el caso del FRE Caldas, que pese a tener una cantidad de colaboradores por encima de la media, tiene un rezago importante en la entrega de informes de consumo de medicamentos al FNE. Por consiguiente, se puede deducir que el número de personas vinculadas al FRE no comprende una garantía en el cumplimiento de todas las funciones del FRE.</w:t>
      </w:r>
    </w:p>
    <w:p>
      <w:pPr>
        <w:pStyle w:val="BodyText"/>
      </w:pPr>
      <w:r>
        <w:t xml:space="preserve">También se puede observar que la distribución geográfica de las regiones no se puede relacionar con la puntualidad en el envío de informes, tomando por ejemplo el caso de la región pacífico que está compuesta por Valle del Cauca, Cauca, Chocó y Nariño. Los departamentos de Valle del Cauca y Nariño tienen una alta densidad poblacional y en la Figura</w:t>
      </w:r>
      <w:r>
        <w:t xml:space="preserve"> </w:t>
      </w:r>
      <w:r>
        <w:t xml:space="preserve">4.7</w:t>
      </w:r>
      <w:r>
        <w:t xml:space="preserve"> </w:t>
      </w:r>
      <w:r>
        <w:t xml:space="preserve">también se puede observar que están respectivamente por encima y por debajo de la media en el recurso humano que tienen para su funcionamiento y son quienes envían informes de manera puntual al FNE, mientras que el departamento del Cauca supera en recurso humano a Nariño por más del doble de personal y existe un importante atraso en el envío de estos informes, posiblemente sean factores externos cómo los tipos de contratación u otras responsabilidades adquiridas por parte de los coordinadores de los FRE en su territorio.</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9" w:name="fig6"/>
      <w:r>
        <w:t xml:space="preserve">Figure </w:t>
      </w:r>
      <w:fldSimple w:instr="SEQ Figure \* ARABIC ">
        <w:r>
          <w:t>6</w:t>
        </w:r>
      </w:fldSimple>
      <w:r>
        <w:t xml:space="preserve">:</w:t>
      </w:r>
      <w:r>
        <w:t xml:space="preserve"> </w:t>
      </w:r>
      <w:bookmarkEnd w:id="39"/>
      <w:r>
        <w:t xml:space="preserve">Figura 4.7: Relación entre N° de instituciones inscritas y personal del FRE</w:t>
      </w:r>
    </w:p>
    <w:p>
      <w:pPr>
        <w:pStyle w:val="CaptionedFigure"/>
      </w:pPr>
      <w:r>
        <w:drawing>
          <wp:inline>
            <wp:extent cx="5334000" cy="2133600"/>
            <wp:effectExtent b="0" l="0" r="0" t="0"/>
            <wp:docPr descr="Figura 4.8: Relación entre N° de instituciones inscritas y tamaño poblacional del departamento y número de camas de acuerdo a REP" title="" id="1" name="Picture"/>
            <a:graphic>
              <a:graphicData uri="http://schemas.openxmlformats.org/drawingml/2006/picture">
                <pic:pic>
                  <pic:nvPicPr>
                    <pic:cNvPr descr="InformeFinal_files/figure-docx/institucionesInscritasVARdemo-1.png" id="0" name="Picture"/>
                    <pic:cNvPicPr>
                      <a:picLocks noChangeArrowheads="1" noChangeAspect="1"/>
                    </pic:cNvPicPr>
                  </pic:nvPicPr>
                  <pic:blipFill>
                    <a:blip r:embed="rId4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41" w:name="fig7"/>
      <w:r>
        <w:t xml:space="preserve">Figure </w:t>
      </w:r>
      <w:fldSimple w:instr="SEQ Figure \* ARABIC ">
        <w:r>
          <w:t>7</w:t>
        </w:r>
      </w:fldSimple>
      <w:r>
        <w:t xml:space="preserve">:</w:t>
      </w:r>
      <w:r>
        <w:t xml:space="preserve"> </w:t>
      </w:r>
      <w:bookmarkEnd w:id="41"/>
      <w:r>
        <w:t xml:space="preserve">Figura 4.8: Relación entre N° de instituciones inscritas y tamaño poblacional del departamento y número de camas de acuerdo a REP</w:t>
      </w:r>
    </w:p>
    <w:bookmarkEnd w:id="42"/>
    <w:bookmarkStart w:id="47"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t xml:space="preserve">Para analizar las fuentes de ingreso que poseen los diferentes FRE departamentales, se debe tener en cuenta la posición del FRE dentro del organigrama de cada dirección departamental en salud. El análisis de las fuentes de ingresos de los FRE, en este punto, se hará exclusivamente con la información recolectada a partir del instrumento de encuesta que se usó para la recolección de información pertinente en este informe.</w:t>
      </w:r>
    </w:p>
    <w:p>
      <w:pPr>
        <w:pStyle w:val="BodyText"/>
      </w:pPr>
      <w:r>
        <w:t xml:space="preserve">Cómo antecedente en el análisis, se entiende según las definiciones de la Resolución 1478 del 2006</w:t>
      </w:r>
      <w:hyperlink w:anchor="ref-MSPS1478-2006">
        <w:r>
          <w:rPr>
            <w:rStyle w:val="Hyperlink"/>
            <w:vertAlign w:val="superscript"/>
          </w:rPr>
          <w:t xml:space="preserve">4</w:t>
        </w:r>
      </w:hyperlink>
      <w:r>
        <w:t xml:space="preserve">, que un Fondo Rotatorio de Estupefacientes es:</w:t>
      </w:r>
    </w:p>
    <w:p>
      <w:pPr>
        <w:pStyle w:val="BlockText"/>
      </w:pPr>
      <w:r>
        <w:rPr>
          <w:iCs/>
          <w:i/>
        </w:rPr>
        <w:t xml:space="preserve">“</w:t>
      </w:r>
      <w:r>
        <w:rPr>
          <w:iCs/>
          <w:i/>
        </w:rPr>
        <w:t xml:space="preserve">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r>
        <w:rPr>
          <w:iCs/>
          <w:i/>
        </w:rPr>
        <w:t xml:space="preserve">”</w:t>
      </w:r>
    </w:p>
    <w:p>
      <w:pPr>
        <w:pStyle w:val="FirstParagraph"/>
      </w:pPr>
      <w:r>
        <w:t xml:space="preserve">Por lo tanto, es una dependencia del ente territorial y no goza de autonomía administrativa o financiera cómo para ser considerada una Unidad Administrativa Especial, cómo si lo es el Fondo Nacional de Estupefacientes con sede en Bogotá, sin embargo, de acuerdo al Artículo 3 de la Resolución 1479 del 2006, los FRE</w:t>
      </w:r>
      <w:hyperlink w:anchor="ref-MSPS1479-2006">
        <w:r>
          <w:rPr>
            <w:rStyle w:val="Hyperlink"/>
            <w:vertAlign w:val="superscript"/>
          </w:rPr>
          <w:t xml:space="preserve">1</w:t>
        </w:r>
      </w:hyperlink>
      <w:r>
        <w:t xml:space="preserve">:</w:t>
      </w:r>
    </w:p>
    <w:p>
      <w:pPr>
        <w:pStyle w:val="BlockText"/>
      </w:pPr>
      <w:r>
        <w:rPr>
          <w:iCs/>
          <w:i/>
        </w:rPr>
        <w:t xml:space="preserve">“</w:t>
      </w:r>
      <w:r>
        <w:rPr>
          <w:iCs/>
          <w:i/>
        </w:rPr>
        <w:t xml:space="preserve">[…] deben tener una cuenta específica denominada “Fondo Rotatorio de Estupefacientes</w:t>
      </w:r>
      <w:r>
        <w:rPr>
          <w:iCs/>
          <w:i/>
        </w:rPr>
        <w:t xml:space="preserve">”</w:t>
      </w:r>
      <w:r>
        <w:rPr>
          <w:iCs/>
          <w:i/>
        </w:rPr>
        <w:t xml:space="preserve"> </w:t>
      </w:r>
      <w:r>
        <w:rPr>
          <w:iCs/>
          <w:i/>
        </w:rPr>
        <w:t xml:space="preserve">para manejar sus operaciones. Las utilidades que se obtengan sólo podrán emplearse, para su administración, mejoras de dotación, buen funcionamiento del mismo y ejecutar programas contra la farmacodependencia y toxicología que adelante el Gobierno Nacional.”</w:t>
      </w:r>
    </w:p>
    <w:p>
      <w:pPr>
        <w:pStyle w:val="FirstParagraph"/>
      </w:pPr>
      <w:r>
        <w:t xml:space="preserve">De modo que la normativa interna de cada departamento podría entrar en conflicto con la misma resolución anteriormente citada que define las funciones y capacidades de los FRE, pudiendo generar bloqueos o demoras en determinados procesos internos que permitan un funcionamiento integral en el manejo de los MME.</w:t>
      </w:r>
    </w:p>
    <w:p>
      <w:pPr>
        <w:pStyle w:val="BodyText"/>
      </w:pPr>
      <w:r>
        <w:t xml:space="preserve">Hecho este primer paso sobre entender de manera sucinta la relación que tienen los FRE con sus respectivas entidades territoriales, se puede comenzar a hacer el análisis de las gráficas con los resultados del instrumento de encuesta realizado.</w:t>
      </w:r>
    </w:p>
    <w:p>
      <w:pPr>
        <w:pStyle w:val="CaptionedFigure"/>
      </w:pPr>
      <w:r>
        <w:drawing>
          <wp:inline>
            <wp:extent cx="5334000" cy="4000500"/>
            <wp:effectExtent b="0" l="0" r="0" t="0"/>
            <wp:docPr descr="Figura 4.9: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4" w:name="fig8"/>
      <w:r>
        <w:t xml:space="preserve">Figure </w:t>
      </w:r>
      <w:fldSimple w:instr="SEQ Figure \* ARABIC ">
        <w:r>
          <w:t>8</w:t>
        </w:r>
      </w:fldSimple>
      <w:r>
        <w:t xml:space="preserve">:</w:t>
      </w:r>
      <w:r>
        <w:t xml:space="preserve"> </w:t>
      </w:r>
      <w:bookmarkEnd w:id="44"/>
      <w:r>
        <w:t xml:space="preserve">Figura 4.9: Proporción de fuentes de ingresos de los FRE</w:t>
      </w:r>
    </w:p>
    <w:p>
      <w:pPr>
        <w:pStyle w:val="BodyText"/>
      </w:pPr>
      <w:r>
        <w:t xml:space="preserve">La Figura</w:t>
      </w:r>
      <w:r>
        <w:t xml:space="preserve"> </w:t>
      </w:r>
      <w:r>
        <w:t xml:space="preserve">4.9</w:t>
      </w:r>
      <w:r>
        <w:t xml:space="preserve">, nos muestra la proporción de los ingresos del FRE en sus cuentas bancarias, en base a las que serían sus principales actividades, cómo lo son:</w:t>
      </w:r>
    </w:p>
    <w:p>
      <w:pPr>
        <w:numPr>
          <w:ilvl w:val="0"/>
          <w:numId w:val="1010"/>
        </w:numPr>
      </w:pPr>
      <w:r>
        <w:t xml:space="preserve">Venta de Medicamentos Monopolio del Estado</w:t>
      </w:r>
    </w:p>
    <w:p>
      <w:pPr>
        <w:numPr>
          <w:ilvl w:val="0"/>
          <w:numId w:val="1010"/>
        </w:numPr>
      </w:pPr>
      <w:r>
        <w:t xml:space="preserve">Venta de Recetarios Oficiales</w:t>
      </w:r>
    </w:p>
    <w:p>
      <w:pPr>
        <w:numPr>
          <w:ilvl w:val="0"/>
          <w:numId w:val="1010"/>
        </w:numPr>
      </w:pPr>
      <w:r>
        <w:t xml:space="preserve">Producción y emisión de actos administrativos pertinentes al manejo de MME</w:t>
      </w:r>
    </w:p>
    <w:p>
      <w:pPr>
        <w:numPr>
          <w:ilvl w:val="0"/>
          <w:numId w:val="1010"/>
        </w:numPr>
      </w:pPr>
      <w:r>
        <w:t xml:space="preserve">Inspección, Vigilancia y Control de Instituciones que manejen MCE</w:t>
      </w:r>
    </w:p>
    <w:p>
      <w:pPr>
        <w:pStyle w:val="FirstParagraph"/>
      </w:pPr>
      <w:r>
        <w:t xml:space="preserve">Aunque también los FRE pueden recibir recursos por parte de la gobernación o por parte del FNE.</w:t>
      </w:r>
    </w:p>
    <w:p>
      <w:pPr>
        <w:pStyle w:val="BodyText"/>
      </w:pPr>
      <w:r>
        <w:t xml:space="preserve">A partir de la Figura</w:t>
      </w:r>
      <w:r>
        <w:t xml:space="preserve"> </w:t>
      </w:r>
      <w:r>
        <w:t xml:space="preserve">4.9</w:t>
      </w:r>
      <w:r>
        <w:t xml:space="preserve">, se observa que la venta de MME tiene una tendencia a ser la proporción más grande sobre los ingresos que reciben los FRE departamentales. Esto se puede deber a que cada departamento maneja independencia en los precios de venta de estos medicamentos y desde ahí se podría obtener una rentabilidad mayor. En el desarrollo del apartado 6.4 Precio de medicamentos del presente informe, se desglosará un análisis más profundo sobre los precios de venta de los MME por departamento, pero grosso modo se puede notar que el margen es lo suficientemente alto para abarcar el porcentaje mayoritario de ingresos.</w:t>
      </w:r>
    </w:p>
    <w:p>
      <w:pPr>
        <w:pStyle w:val="BodyText"/>
      </w:pPr>
      <w:r>
        <w:t xml:space="preserve">Particularmente, en la Figura</w:t>
      </w:r>
      <w:r>
        <w:t xml:space="preserve"> </w:t>
      </w:r>
      <w:r>
        <w:t xml:space="preserve">4.10</w:t>
      </w:r>
      <w:r>
        <w:t xml:space="preserve"> </w:t>
      </w:r>
      <w:r>
        <w:t xml:space="preserve">se observa que en algunos departamentos cómo Magdalena, Atlántico o Tolima, la venta de recetarios oficiales es el ingreso más prominente del FRE. Así mismo, en todos los demás departamentos representa un ingreso importante para el ente territorial, aunque no sea la principal fuente de ingreso. A nivel nacional, esta fuente de ingreso carga con una parte muy importante del erario de cada FRE departamental. Con la desaparición de los recetarios oficiales físicos en el mediano plazo, es necesario generar alternativas económicas para subsanar este recurso que desaparecería y adecuar estrategias financieras para el auto sostenimiento de cada FRE.</w:t>
      </w:r>
    </w:p>
    <w:p>
      <w:pPr>
        <w:pStyle w:val="CaptionedFigure"/>
      </w:pPr>
      <w:r>
        <w:drawing>
          <wp:inline>
            <wp:extent cx="5334000" cy="4000500"/>
            <wp:effectExtent b="0" l="0" r="0" t="0"/>
            <wp:docPr descr="Figura 4.10: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6" w:name="fig9"/>
      <w:r>
        <w:t xml:space="preserve">Figure </w:t>
      </w:r>
      <w:fldSimple w:instr="SEQ Figure \* ARABIC ">
        <w:r>
          <w:t>9</w:t>
        </w:r>
      </w:fldSimple>
      <w:r>
        <w:t xml:space="preserve">:</w:t>
      </w:r>
      <w:r>
        <w:t xml:space="preserve"> </w:t>
      </w:r>
      <w:bookmarkEnd w:id="46"/>
      <w:r>
        <w:t xml:space="preserve">Figura 4.10: Mapa con fuentes de ingresos de los FRE</w:t>
      </w:r>
    </w:p>
    <w:p>
      <w:pPr>
        <w:pStyle w:val="BodyText"/>
      </w:pPr>
      <w:r>
        <w:rPr>
          <w:bCs/>
          <w:b/>
        </w:rPr>
        <w:t xml:space="preserve">En algunos casos no se logró obtener información de las fuentes de información…</w:t>
      </w:r>
    </w:p>
    <w:bookmarkEnd w:id="47"/>
    <w:bookmarkEnd w:id="48"/>
    <w:bookmarkStart w:id="93" w:name="recetarios-oficiales"/>
    <w:p>
      <w:pPr>
        <w:pStyle w:val="Heading1"/>
      </w:pPr>
      <w:r>
        <w:rPr>
          <w:rStyle w:val="SectionNumber"/>
        </w:rPr>
        <w:t xml:space="preserve">5</w:t>
      </w:r>
      <w:r>
        <w:tab/>
      </w:r>
      <w:r>
        <w:t xml:space="preserve">Recetarios oficiales</w:t>
      </w:r>
    </w:p>
    <w:bookmarkStart w:id="57" w:name="existencia-de-recetarios"/>
    <w:p>
      <w:pPr>
        <w:pStyle w:val="Heading2"/>
      </w:pPr>
      <w:r>
        <w:rPr>
          <w:rStyle w:val="SectionNumber"/>
        </w:rPr>
        <w:t xml:space="preserve">5.1</w:t>
      </w:r>
      <w:r>
        <w:tab/>
      </w:r>
      <w:r>
        <w:t xml:space="preserve">Existencia de recetarios</w:t>
      </w:r>
    </w:p>
    <w:p>
      <w:pPr>
        <w:pStyle w:val="FirstParagraph"/>
      </w:pPr>
      <w:r>
        <w:t xml:space="preserve">En el marco de las Jornadas de inmersión territoriales con los FRE del país se pudo determinar la cantidad de recetarios oficiales con los que cuentan en la actualidad. Así pues, como se observa en la Figura</w:t>
      </w:r>
      <w:r>
        <w:t xml:space="preserve"> </w:t>
      </w:r>
      <w:r>
        <w:t xml:space="preserve">5.1</w:t>
      </w:r>
      <w:r>
        <w:t xml:space="preserve">, se observa la tendencia de los departamentos más distantes de la capital de la nación, son los que cuentan con menor cantidad de recetarios actualmente.</w:t>
      </w:r>
    </w:p>
    <w:p>
      <w:pPr>
        <w:pStyle w:val="CaptionedFigure"/>
      </w:pPr>
      <w:r>
        <w:drawing>
          <wp:inline>
            <wp:extent cx="5334000" cy="4000500"/>
            <wp:effectExtent b="0" l="0" r="0" t="0"/>
            <wp:docPr descr="Figura 5.1: N.°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4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50" w:name="fig10"/>
      <w:r>
        <w:t xml:space="preserve">Figure </w:t>
      </w:r>
      <w:fldSimple w:instr="SEQ Figure \* ARABIC ">
        <w:r>
          <w:t>10</w:t>
        </w:r>
      </w:fldSimple>
      <w:r>
        <w:t xml:space="preserve">:</w:t>
      </w:r>
      <w:r>
        <w:t xml:space="preserve"> </w:t>
      </w:r>
      <w:bookmarkEnd w:id="50"/>
      <w:r>
        <w:t xml:space="preserve">Figura 5.1: N.° de existencias de recetarios en el FRE</w:t>
      </w:r>
    </w:p>
    <w:p>
      <w:pPr>
        <w:pStyle w:val="BodyText"/>
      </w:pPr>
      <w:r>
        <w:t xml:space="preserve">En los extremos norte y sur, es decir, la región caribe y amazónica se tiene la mayor proporción de inexistencias de recetarios, en comparación con el resto de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es la más alta ya que su población actual supera a la de los demás departamentos que cuentan con recetarios oficiales.</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2" w:name="fig11"/>
      <w:r>
        <w:t xml:space="preserve">Figure </w:t>
      </w:r>
      <w:fldSimple w:instr="SEQ Figure \* ARABIC ">
        <w:r>
          <w:t>11</w:t>
        </w:r>
      </w:fldSimple>
      <w:r>
        <w:t xml:space="preserve">:</w:t>
      </w:r>
      <w:r>
        <w:t xml:space="preserve"> </w:t>
      </w:r>
      <w:bookmarkEnd w:id="52"/>
      <w:r>
        <w:t xml:space="preserve">Figura 5.2: N.° de recetarios circulantes en el departamento</w:t>
      </w:r>
    </w:p>
    <w:p>
      <w:pPr>
        <w:pStyle w:val="BodyText"/>
      </w:pPr>
      <w:r>
        <w:t xml:space="preserve">Ahora bien, dentro del censo realizado en los diferentes departamentos del país, se observa en la Figura</w:t>
      </w:r>
      <w:r>
        <w:t xml:space="preserve"> </w:t>
      </w:r>
      <w:r>
        <w:t xml:space="preserve">5.3</w:t>
      </w:r>
      <w:r>
        <w:t xml:space="preserve"> </w:t>
      </w:r>
      <w:r>
        <w:t xml:space="preserve">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funcionarios en el país (Figura</w:t>
      </w:r>
      <w:r>
        <w:t xml:space="preserve"> </w:t>
      </w:r>
      <w:r>
        <w:t xml:space="preserve">4.5</w:t>
      </w:r>
      <w:r>
        <w:t xml:space="preserve">).</w:t>
      </w:r>
    </w:p>
    <w:p>
      <w:pPr>
        <w:pStyle w:val="CaptionedFigure"/>
      </w:pPr>
      <w:r>
        <w:drawing>
          <wp:inline>
            <wp:extent cx="5334000" cy="3809999"/>
            <wp:effectExtent b="0" l="0" r="0" t="0"/>
            <wp:docPr descr="Figura 5.3: Duración de existencia de recetarios en el FRE" title="" id="1" name="Picture"/>
            <a:graphic>
              <a:graphicData uri="http://schemas.openxmlformats.org/drawingml/2006/picture">
                <pic:pic>
                  <pic:nvPicPr>
                    <pic:cNvPr descr="InformeFinal_files/figure-docx/existenciaRecetarios3-1.png" id="0" name="Picture"/>
                    <pic:cNvPicPr>
                      <a:picLocks noChangeArrowheads="1" noChangeAspect="1"/>
                    </pic:cNvPicPr>
                  </pic:nvPicPr>
                  <pic:blipFill>
                    <a:blip r:embed="rId5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4" w:name="fig12"/>
      <w:r>
        <w:t xml:space="preserve">Figure </w:t>
      </w:r>
      <w:fldSimple w:instr="SEQ Figure \* ARABIC ">
        <w:r>
          <w:t>12</w:t>
        </w:r>
      </w:fldSimple>
      <w:r>
        <w:t xml:space="preserve">:</w:t>
      </w:r>
      <w:r>
        <w:t xml:space="preserve"> </w:t>
      </w:r>
      <w:bookmarkEnd w:id="54"/>
      <w:r>
        <w:t xml:space="preserve">Figura 5.3: Duración de existencia de recetarios en el FRE</w:t>
      </w:r>
    </w:p>
    <w:p>
      <w:pPr>
        <w:pStyle w:val="BodyText"/>
      </w:pPr>
      <w:r>
        <w:t xml:space="preserve">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p>
      <w:pPr>
        <w:pStyle w:val="BodyText"/>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5.4</w:t>
      </w:r>
      <w:r>
        <w:t xml:space="preserve">. Cabe aclarar que según las normas de regulación de MME y recetarios oficiales, como los son las Resoluciones 1478 y 1479 de 2006</w:t>
      </w:r>
      <w:hyperlink w:anchor="ref-MSPS1479-2006">
        <w:r>
          <w:rPr>
            <w:rStyle w:val="Hyperlink"/>
            <w:vertAlign w:val="superscript"/>
          </w:rPr>
          <w:t xml:space="preserve">1</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4: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6" w:name="fig13"/>
      <w:r>
        <w:t xml:space="preserve">Figure </w:t>
      </w:r>
      <w:fldSimple w:instr="SEQ Figure \* ARABIC ">
        <w:r>
          <w:t>13</w:t>
        </w:r>
      </w:fldSimple>
      <w:r>
        <w:t xml:space="preserve">:</w:t>
      </w:r>
      <w:r>
        <w:t xml:space="preserve"> </w:t>
      </w:r>
      <w:bookmarkEnd w:id="56"/>
      <w:r>
        <w:t xml:space="preserve">Figura 5.4: N.° de prescripciones por recetario</w:t>
      </w:r>
    </w:p>
    <w:bookmarkEnd w:id="57"/>
    <w:bookmarkStart w:id="66" w:name="costos-de-recetarios"/>
    <w:p>
      <w:pPr>
        <w:pStyle w:val="Heading2"/>
      </w:pPr>
      <w:r>
        <w:rPr>
          <w:rStyle w:val="SectionNumber"/>
        </w:rPr>
        <w:t xml:space="preserve">5.2</w:t>
      </w:r>
      <w:r>
        <w:tab/>
      </w:r>
      <w:r>
        <w:t xml:space="preserve">Costos de recetarios</w:t>
      </w:r>
    </w:p>
    <w:p>
      <w:pPr>
        <w:pStyle w:val="FirstParagraph"/>
      </w:pPr>
      <w:r>
        <w:t xml:space="preserve">Dentro del estudio de costos realizado se realizó el comparativo entre el costo de compra del recetario contra su precio de venta. Así pues, se determinó que dentro del territorio el costo de los recetarios ronda entre los 10.000 COP y los 20.000 COP, con territorios como Valle del Cauca y Casanare, en donde dicho costo se aproxima a 30.000 COP. Algunos departamentos quedan fuera de la escala de medición (Figura</w:t>
      </w:r>
      <w:r>
        <w:t xml:space="preserve"> </w:t>
      </w:r>
      <w:r>
        <w:t xml:space="preserve">5.5</w:t>
      </w:r>
      <w:r>
        <w:t xml:space="preserve">), dada sus particularidades en la contratación, puesto que se encargan del proceso de licitación y contratación de recetarios, únicamente realizan estudios de necesidad que son enviados al ente encargado de concretar la contratación, en mucho casos, la gobernación departamental.</w:t>
      </w:r>
    </w:p>
    <w:p>
      <w:pPr>
        <w:pStyle w:val="CaptionedFigure"/>
      </w:pPr>
      <w:r>
        <w:drawing>
          <wp:inline>
            <wp:extent cx="5334000" cy="3333750"/>
            <wp:effectExtent b="0" l="0" r="0" t="0"/>
            <wp:docPr descr="Figura 5.5: Comparativo de costo vs precio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59" w:name="fig14"/>
      <w:r>
        <w:t xml:space="preserve">Figure </w:t>
      </w:r>
      <w:fldSimple w:instr="SEQ Figure \* ARABIC ">
        <w:r>
          <w:t>14</w:t>
        </w:r>
      </w:fldSimple>
      <w:r>
        <w:t xml:space="preserve">:</w:t>
      </w:r>
      <w:r>
        <w:t xml:space="preserve"> </w:t>
      </w:r>
      <w:bookmarkEnd w:id="59"/>
      <w:r>
        <w:t xml:space="preserve">Figura 5.5: Comparativo de costo vs precio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5.6</w:t>
      </w:r>
      <w:r>
        <w:t xml:space="preserve">, en donde se puede establecer que con mayor frecuencia los entes territoriales obtienen entre 100 y 200% de ganancia. Por otro lado los FRE de La Guajira y Nariño, poseen ganancias entre 800 y 900% en la venta de sus recetarios oficiales.</w:t>
      </w:r>
    </w:p>
    <w:p>
      <w:pPr>
        <w:pStyle w:val="CaptionedFigure"/>
      </w:pPr>
      <w:r>
        <w:drawing>
          <wp:inline>
            <wp:extent cx="5334000" cy="2667000"/>
            <wp:effectExtent b="0" l="0" r="0" t="0"/>
            <wp:docPr descr="Figura 5.6: Márgen de ganancia por recetari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1" w:name="fig15"/>
      <w:r>
        <w:t xml:space="preserve">Figure </w:t>
      </w:r>
      <w:fldSimple w:instr="SEQ Figure \* ARABIC ">
        <w:r>
          <w:t>15</w:t>
        </w:r>
      </w:fldSimple>
      <w:r>
        <w:t xml:space="preserve">:</w:t>
      </w:r>
      <w:r>
        <w:t xml:space="preserve"> </w:t>
      </w:r>
      <w:bookmarkEnd w:id="61"/>
      <w:r>
        <w:t xml:space="preserve">Figura 5.6: Márgen de ganancia por recetario</w:t>
      </w:r>
    </w:p>
    <w:p>
      <w:pPr>
        <w:pStyle w:val="BodyText"/>
      </w:pPr>
      <w:r>
        <w:t xml:space="preserve">Los amplios márgenes de ganancia y las proporciones distintas entre unos FRE y otros, se podrían relacionar con la cantidad de medidas de seguridad del recetario, la facilidad de acceso del departamento, el número de prescripciones, el tipo de licitación o la cantidad de empresas oferentes en los concursos de licitación de recetarios. En la Figura</w:t>
      </w:r>
      <w:r>
        <w:t xml:space="preserve"> </w:t>
      </w:r>
      <w:r>
        <w:t xml:space="preserve">5.7</w:t>
      </w:r>
      <w:r>
        <w:t xml:space="preserve"> </w:t>
      </w:r>
      <w:r>
        <w:t xml:space="preserve">se ilustra algunas de las variantes mencionadas en donde se logran establecer tendencias como que el número de prescripciones en general, elevan el costo de los recetarios. Pese a ello y contrario a lo que se podría suponer, la disposición estadística indica que a mayor número de medidas de seguridad en el recetario, es menor su precio. Esto podría deberse a la forma en que se adjudican los contratos y a la facilidad de elaboración en departamentos con capacidad tecnológica adecuada y diferentes oferentes en el concurso de contratación.</w:t>
      </w:r>
    </w:p>
    <w:p>
      <w:pPr>
        <w:pStyle w:val="CaptionedFigure"/>
      </w:pPr>
      <w:r>
        <w:drawing>
          <wp:inline>
            <wp:extent cx="5334000" cy="2963333"/>
            <wp:effectExtent b="0" l="0" r="0" t="0"/>
            <wp:docPr descr="Figura 5.7: Gráficos de dependencia parcial - Modelo de Cost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62"/>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3" w:name="fig16"/>
      <w:r>
        <w:t xml:space="preserve">Figure </w:t>
      </w:r>
      <w:fldSimple w:instr="SEQ Figure \* ARABIC ">
        <w:r>
          <w:t>16</w:t>
        </w:r>
      </w:fldSimple>
      <w:r>
        <w:t xml:space="preserve">:</w:t>
      </w:r>
      <w:r>
        <w:t xml:space="preserve"> </w:t>
      </w:r>
      <w:bookmarkEnd w:id="63"/>
      <w:r>
        <w:t xml:space="preserve">Figura 5.7: Gráficos de dependencia parcial - Modelo de Costos</w:t>
      </w:r>
    </w:p>
    <w:p>
      <w:pPr>
        <w:pStyle w:val="BodyText"/>
      </w:pPr>
      <w:r>
        <w:t xml:space="preserve">De igual forma, el tipo de contratación que se concreta con las empresas fabricante de los recetarios es una variable que influye en el costo de los recetarios, así pues, las modalidades de contratacion por licitacion publica, minima cuantia y selección abreviada tienden a disminuir el costo del recetario, sin embargo, los FRE que concretaron órdenes de compra de recetarios por mínima cuantía, tienden a presentar precios mayores de adquisición, con costo alrededor de los 10.000 COP y 15.000 COP. Por otro lado, se evidencia que los entes territoriales que optaron por la modalidad de contratación directa, tienden a ser los recetarios más costosos en relación con las demás, con costos superiores a los 15.000 COP por recetario en promedio, factor esperado ya que al no haber competencia entre empresas oferentes, quien posee el monopolio de fabricación es libre de disponer los precios de venta a las entidades territoriales.</w:t>
      </w:r>
    </w:p>
    <w:p>
      <w:pPr>
        <w:pStyle w:val="BodyText"/>
      </w:pPr>
      <w:r>
        <w:t xml:space="preserve">Finalmente se pude concluir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5.8</w:t>
      </w:r>
      <w:r>
        <w:t xml:space="preserve">).</w:t>
      </w:r>
    </w:p>
    <w:p>
      <w:pPr>
        <w:pStyle w:val="CaptionedFigure"/>
      </w:pPr>
      <w:r>
        <w:drawing>
          <wp:inline>
            <wp:extent cx="5334000" cy="2963333"/>
            <wp:effectExtent b="0" l="0" r="0" t="0"/>
            <wp:docPr descr="Figura 5.8: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5" w:name="fig17"/>
      <w:r>
        <w:t xml:space="preserve">Figure </w:t>
      </w:r>
      <w:fldSimple w:instr="SEQ Figure \* ARABIC ">
        <w:r>
          <w:t>17</w:t>
        </w:r>
      </w:fldSimple>
      <w:r>
        <w:t xml:space="preserve">:</w:t>
      </w:r>
      <w:r>
        <w:t xml:space="preserve"> </w:t>
      </w:r>
      <w:bookmarkEnd w:id="65"/>
      <w:r>
        <w:t xml:space="preserve">Figura 5.8: Precio de venta de recetario por prescripción</w:t>
      </w:r>
    </w:p>
    <w:p>
      <w:pPr>
        <w:pStyle w:val="BodyText"/>
      </w:pPr>
      <w:r>
        <w:t xml:space="preserve">El valor por prescripción más alto a nivel nacional se presenta en el departamento de Casanare; pese a que el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bookmarkEnd w:id="66"/>
    <w:bookmarkStart w:id="75" w:name="tiempos-de-adquisición-de-recetarios"/>
    <w:p>
      <w:pPr>
        <w:pStyle w:val="Heading2"/>
      </w:pPr>
      <w:r>
        <w:rPr>
          <w:rStyle w:val="SectionNumber"/>
        </w:rPr>
        <w:t xml:space="preserve">5.3</w:t>
      </w:r>
      <w:r>
        <w:tab/>
      </w:r>
      <w:r>
        <w:t xml:space="preserve">Tiempos de adquisición de recetarios</w:t>
      </w:r>
    </w:p>
    <w:p>
      <w:pPr>
        <w:pStyle w:val="FirstParagraph"/>
      </w:pPr>
      <w:r>
        <w:t xml:space="preserve">La adquisición de recetarios oficiales por parte de los FRE es un proceso que se lleva a cabe mediante contratación pública. En la Figura</w:t>
      </w:r>
      <w:r>
        <w:t xml:space="preserve"> </w:t>
      </w:r>
      <w:r>
        <w:t xml:space="preserve">5.9</w:t>
      </w:r>
      <w:r>
        <w:t xml:space="preserve">, se muestra un resumen de las modalidades de selección en el último proceso de adquisición de recetarios por parte de los FRE. Se evidencia que la modalidad más utilizada en este último periodo de reabastecimiento de recetario fue mínima cuantía.</w:t>
      </w:r>
    </w:p>
    <w:p>
      <w:pPr>
        <w:pStyle w:val="BodyText"/>
      </w:pPr>
      <w:r>
        <w:t xml:space="preserve">De acuerdo con los entes territoriales, esta modalidad de selección presenta favorabilidad desde el punto de vista financiero respecto a la inversión y recaudo posterior tras la venta de los recetarios oficiales. El ingreso por venta de recetarios es una de las principales fuentes de financiación de varios FRE (ver Figura</w:t>
      </w:r>
      <w:r>
        <w:t xml:space="preserve"> </w:t>
      </w:r>
      <w:r>
        <w:t xml:space="preserve">4.9</w:t>
      </w:r>
      <w:r>
        <w:t xml:space="preserve">).</w:t>
      </w:r>
    </w:p>
    <w:p>
      <w:pPr>
        <w:pStyle w:val="CaptionedFigure"/>
      </w:pPr>
      <w:r>
        <w:drawing>
          <wp:inline>
            <wp:extent cx="5334000" cy="3048000"/>
            <wp:effectExtent b="0" l="0" r="0" t="0"/>
            <wp:docPr descr="Figura 5.9: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67"/>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8" w:name="fig18"/>
      <w:r>
        <w:t xml:space="preserve">Figure </w:t>
      </w:r>
      <w:fldSimple w:instr="SEQ Figure \* ARABIC ">
        <w:r>
          <w:t>18</w:t>
        </w:r>
      </w:fldSimple>
      <w:r>
        <w:t xml:space="preserve">:</w:t>
      </w:r>
      <w:r>
        <w:t xml:space="preserve"> </w:t>
      </w:r>
      <w:bookmarkEnd w:id="68"/>
      <w:r>
        <w:t xml:space="preserve">Figura 5.9: Modalidad de selección para contratos de adquisición de recetarios</w:t>
      </w:r>
    </w:p>
    <w:p>
      <w:pPr>
        <w:pStyle w:val="BodyText"/>
      </w:pPr>
      <w:r>
        <w:t xml:space="preserve">La selección por mínima cuantía tiene como desventaja que algunos requerimientos funcionales del objeto a contratar pueden ser pasados por alto, y esto puede poner en riesgo el cumplimiento de las especificaciones del usuario en cuanto a los recetarios recibidos. De hecho, se observaron ejemplos donde debido a la falta de: (i) verificación de la experiencia del proponente, (ii) seguimiento y/o (iii) auditoria del avance de entrega, se recibieron recetarios no conformes, con prescripciones sin codificación o tintas desgastadas.</w:t>
      </w:r>
    </w:p>
    <w:p>
      <w:pPr>
        <w:pStyle w:val="BodyText"/>
      </w:pPr>
      <w:r>
        <w:t xml:space="preserve">La segunda modalidad de selección más frecuente fue licitación pública, en la cual se exige demostrar tiempo de experiencia relacionada a la elaboración de este tipo de insumos. Por ejemplo, sí el recetario cuenta con medidas de seguridad específica (ver Figura</w:t>
      </w:r>
      <w:r>
        <w:t xml:space="preserve"> </w:t>
      </w:r>
      <w:r>
        <w:t xml:space="preserve">??</w:t>
      </w:r>
      <w:r>
        <w:t xml:space="preserve">) se espera que el proponente logre demostrar la capacidad de cumplir con la entrega del producto especificado.</w:t>
      </w:r>
    </w:p>
    <w:p>
      <w:pPr>
        <w:pStyle w:val="BodyText"/>
      </w:pPr>
      <w:r>
        <w:t xml:space="preserve">Los departamentos con mayor número de características de seguridad en el recetario oficial suelen realizar la contratación mediante licitación pública. Esta modalidad de selección podría favorecer la calidad del producto recibido y esto podría evitar problemas por falsificación del recetario. Sin embargo, en varios departamentos se podrían tener problemas para implementar esta modalidad debido a la falta de oferentes.</w:t>
      </w:r>
    </w:p>
    <w:p>
      <w:pPr>
        <w:pStyle w:val="BodyText"/>
      </w:pPr>
      <w:r>
        <w:t xml:space="preserve">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w:t>
      </w:r>
    </w:p>
    <w:p>
      <w:pPr>
        <w:pStyle w:val="BodyText"/>
      </w:pPr>
      <w:r>
        <w:t xml:space="preserve">Pese a que la modalidad de selección en los contratos de adquisición de recetarios es un factor que afecta de forma importante el costo, se debe tener en cuenta que en algunos departamentos existe un rubro dentro de la gobernación para papelería y de este mismo se compran los recetarios, sin tener conocimiento del valor destinado para estos insumos por parte del FRE.</w:t>
      </w:r>
    </w:p>
    <w:p>
      <w:pPr>
        <w:pStyle w:val="CaptionedFigure"/>
      </w:pPr>
      <w:r>
        <w:drawing>
          <wp:inline>
            <wp:extent cx="5334000" cy="3809999"/>
            <wp:effectExtent b="0" l="0" r="0" t="0"/>
            <wp:docPr descr="Figura 5.10: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6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0" w:name="fig19"/>
      <w:r>
        <w:t xml:space="preserve">Figure </w:t>
      </w:r>
      <w:fldSimple w:instr="SEQ Figure \* ARABIC ">
        <w:r>
          <w:t>19</w:t>
        </w:r>
      </w:fldSimple>
      <w:r>
        <w:t xml:space="preserve">:</w:t>
      </w:r>
      <w:r>
        <w:t xml:space="preserve"> </w:t>
      </w:r>
      <w:bookmarkEnd w:id="70"/>
      <w:r>
        <w:t xml:space="preserve">Figura 5.10: Tiempo de demora para adquisición de recetarios</w:t>
      </w:r>
    </w:p>
    <w:p>
      <w:pPr>
        <w:pStyle w:val="BodyText"/>
      </w:pPr>
      <w:r>
        <w:t xml:space="preserve">En la Figura</w:t>
      </w:r>
      <w:r>
        <w:t xml:space="preserve"> </w:t>
      </w:r>
      <w:r>
        <w:t xml:space="preserve">5.10</w:t>
      </w:r>
      <w:r>
        <w:t xml:space="preserve"> </w:t>
      </w:r>
      <w:r>
        <w:t xml:space="preserve">se muestra el tiempo promedio que toma el proceso de adquisición de recetarios oficiales por parte de los entes territoriales, se evidencia que el tiempo promedio se encuentra entre 60 y 120 días (2 a 4 meses).</w:t>
      </w:r>
    </w:p>
    <w:p>
      <w:pPr>
        <w:pStyle w:val="BodyText"/>
      </w:pPr>
      <w:r>
        <w:t xml:space="preserve">Por otro lado, se observó que los departamentos que compran los recetarios por la modalidad de contratación directa son aquellos con menores tiempos de adquisición, tiempos de aproximadamente 1 mes. Mientras que, los departamentos que compran por medio de mínima cuantía y licitación pública tienen mayor variabilidad en el tiempo de adquisición que pueden tardar entre 1 a 8 meses.</w:t>
      </w:r>
    </w:p>
    <w:p>
      <w:pPr>
        <w:pStyle w:val="BodyText"/>
      </w:pPr>
      <w:r>
        <w:t xml:space="preserve">La</w:t>
      </w:r>
      <w:r>
        <w:t xml:space="preserve"> </w:t>
      </w:r>
      <w:r>
        <w:rPr>
          <w:iCs/>
          <w:i/>
        </w:rPr>
        <w:t xml:space="preserve">etapa precontractual</w:t>
      </w:r>
      <w:r>
        <w:t xml:space="preserve"> </w:t>
      </w:r>
      <w:r>
        <w:t xml:space="preserve">(estudios previos, estudios de mercado y estimación de necesidad) del proceso de adquisición suele ser realizada por el personal del FRE. Estos procesos iniciales toman poco tiempo y suelen tomar entre 1 semana y 2 meses.</w:t>
      </w:r>
    </w:p>
    <w:p>
      <w:pPr>
        <w:pStyle w:val="BodyText"/>
      </w:pPr>
      <w:r>
        <w:t xml:space="preserve">Por otra parte, la</w:t>
      </w:r>
      <w:r>
        <w:t xml:space="preserve"> </w:t>
      </w:r>
      <w:r>
        <w:rPr>
          <w:iCs/>
          <w:i/>
        </w:rPr>
        <w:t xml:space="preserve">etapa contractual</w:t>
      </w:r>
      <w:r>
        <w:t xml:space="preserve"> </w:t>
      </w:r>
      <w:r>
        <w:t xml:space="preserve">suele ser realizada por la gobernación y puede tardar en completarse de 1 a 2 meses, o en casos particulares más de 2 meses. Estos tiempos estimados en la etapa contractual fueron informados por los FRE, sin embargo, los mismos desconocen el detalle el proceso que se lleva a cabo.</w:t>
      </w:r>
    </w:p>
    <w:p>
      <w:pPr>
        <w:pStyle w:val="BodyText"/>
      </w:pPr>
      <w:r>
        <w:t xml:space="preserve">La etapa de despacho de los recetarios puede tomar entre 1 a 3 meses en ejecutarse por parte de los contratistas, y estos tiempos son particulares para cada departamento dependiendo del volumen de recetarios adquiridos y el nivel de especificación acordado, entre otros.</w:t>
      </w:r>
    </w:p>
    <w:p>
      <w:pPr>
        <w:pStyle w:val="BodyText"/>
      </w:pPr>
      <w:r>
        <w:t xml:space="preserve">Existen casos atípicos como el FRE del departamento de Putumayo, el cual lleva sin concretar la compra de recetarios oficiales desde el mes de noviembre del año 2020. La principal problemática de adquisición del FRE Putumayo es debida a dificultades de la gobernación con el proceso de licitación.</w:t>
      </w:r>
    </w:p>
    <w:p>
      <w:pPr>
        <w:pStyle w:val="BodyText"/>
      </w:pPr>
      <w:r>
        <w:t xml:space="preserve">En algunos departamentos se utiliza la plataforma Colombia Compra Eficiente para la adquisición de recetarios. Se encuentran algunos departamentos que han experimentado dificultades con esta plataforma y esto ha resultado en demoras en el proceso de adquisición de recetarios.</w:t>
      </w:r>
    </w:p>
    <w:p>
      <w:pPr>
        <w:pStyle w:val="BodyText"/>
      </w:pPr>
      <w:r>
        <w:t xml:space="preserve">La figura</w:t>
      </w:r>
      <w:r>
        <w:t xml:space="preserve"> </w:t>
      </w:r>
      <w:r>
        <w:t xml:space="preserve">5.11</w:t>
      </w:r>
      <w:r>
        <w:t xml:space="preserve"> </w:t>
      </w:r>
      <w:r>
        <w:t xml:space="preserve">muestra los campos de información recolectada en bases de datos por los FRE al momento de realizar la venta de un recetario oficial, la información recolectada permite conocer entre otras cosas:</w:t>
      </w:r>
    </w:p>
    <w:p>
      <w:pPr>
        <w:numPr>
          <w:ilvl w:val="0"/>
          <w:numId w:val="1011"/>
        </w:numPr>
      </w:pPr>
      <w:r>
        <w:t xml:space="preserve">Datos básicos de las entidades y prescriptores inscritos en el FRE.</w:t>
      </w:r>
    </w:p>
    <w:p>
      <w:pPr>
        <w:numPr>
          <w:ilvl w:val="0"/>
          <w:numId w:val="1011"/>
        </w:numPr>
      </w:pPr>
      <w:r>
        <w:t xml:space="preserve">Unidades consumidas y su respectivo valor.</w:t>
      </w:r>
    </w:p>
    <w:p>
      <w:pPr>
        <w:numPr>
          <w:ilvl w:val="0"/>
          <w:numId w:val="1011"/>
        </w:numPr>
      </w:pPr>
      <w:r>
        <w:t xml:space="preserve">Datos de identificación de los recetarios.</w:t>
      </w:r>
    </w:p>
    <w:p>
      <w:pPr>
        <w:numPr>
          <w:ilvl w:val="0"/>
          <w:numId w:val="1011"/>
        </w:numPr>
      </w:pPr>
      <w:r>
        <w:t xml:space="preserve">Número de talonarios que se distribuyen en los respectivos departamentos.</w:t>
      </w:r>
    </w:p>
    <w:p>
      <w:pPr>
        <w:pStyle w:val="CaptionedFigure"/>
      </w:pPr>
      <w:r>
        <w:drawing>
          <wp:inline>
            <wp:extent cx="5334000" cy="3048000"/>
            <wp:effectExtent b="0" l="0" r="0" t="0"/>
            <wp:docPr descr="Figura 5.11: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7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2" w:name="fig20"/>
      <w:r>
        <w:t xml:space="preserve">Figure </w:t>
      </w:r>
      <w:fldSimple w:instr="SEQ Figure \* ARABIC ">
        <w:r>
          <w:t>20</w:t>
        </w:r>
      </w:fldSimple>
      <w:r>
        <w:t xml:space="preserve">:</w:t>
      </w:r>
      <w:r>
        <w:t xml:space="preserve"> </w:t>
      </w:r>
      <w:bookmarkEnd w:id="72"/>
      <w:r>
        <w:t xml:space="preserve">Figura 5.11: Proporción de FRE que diligencian campos en BD de venta de recetarios</w:t>
      </w:r>
    </w:p>
    <w:p>
      <w:pPr>
        <w:pStyle w:val="BodyText"/>
      </w:pPr>
      <w:r>
        <w:t xml:space="preserve">Durante la jornada de inmersión territorial, se puedo observar que los FRE utilizan dichas bases con dos propósitos principales:</w:t>
      </w:r>
    </w:p>
    <w:p>
      <w:pPr>
        <w:numPr>
          <w:ilvl w:val="0"/>
          <w:numId w:val="1012"/>
        </w:numPr>
      </w:pPr>
      <w:r>
        <w:t xml:space="preserve">Realizar estimaciones de necesidad de recetarios, control de inventarios y control en las cantidades que los compradores adquieren. Esto permite llevar un seguimiento del consumo promedio de las entidades. Este control permitió a los FRE realizar un seguimiento a posibles desvíos o anormalidades en los consumos. Por ejemplo, con el inicio de la pandemia el consumo de ROs y MME aumentó en la mayoría de los departamentos, por lo que los FRE tuvieron que fortalecer el trabajo en equipo con las entidades para mitigar desabastecimientos.</w:t>
      </w:r>
    </w:p>
    <w:p>
      <w:pPr>
        <w:numPr>
          <w:ilvl w:val="0"/>
          <w:numId w:val="1012"/>
        </w:numPr>
      </w:pPr>
      <w:r>
        <w:t xml:space="preserve">Evitar fraudes o falsificaciones al realizar un control en el manejo de talonarios, y contrastando la información de las bases con la entregada o solicitada durante visitas.</w:t>
      </w:r>
    </w:p>
    <w:p>
      <w:pPr>
        <w:pStyle w:val="FirstParagraph"/>
      </w:pPr>
      <w:r>
        <w:t xml:space="preserve">Se observó que la mayoría de FRE (proporción mayor a 50% en la Figura</w:t>
      </w:r>
      <w:r>
        <w:t xml:space="preserve"> </w:t>
      </w:r>
      <w:r>
        <w:t xml:space="preserve">5.11</w:t>
      </w:r>
      <w:r>
        <w:t xml:space="preserve">) llevaban un control de información con el fin de identificar a los compradores (Nombre del comprador persona o institución) y las cantidades adquiridas – Unidades compradas. Se almacenan datos de contacto, como dirección o teléfono en tan solo 25% de los FRE. Por otro lado, se evidenció que la mayoría de departamentos (83%) optan por realizar seguimiento a los recetarios con el código de serial, debido a que estos son únicos en cada recetario.</w:t>
      </w:r>
    </w:p>
    <w:p>
      <w:pPr>
        <w:pStyle w:val="BodyText"/>
      </w:pPr>
      <w:r>
        <w:t xml:space="preserve">Así mismo, se observaron otros tipos de campos almacenados por los FRE (opción Otros) en la venta de recetarios. Entre estos otros se encuentra: (a) consecutivos de las facturas emitidas en cada compra, (b) registro REPS, (c) saldo de recetarios oficiales tras la compra, o (d) códigos de recetarios oficiales prescritos allegados para su revisión. Algunos FRE cierran el ciclo de control del RO, en la misma base de datos, al relacionar los RO prescritos que son devueltos para su revisión.</w:t>
      </w:r>
    </w:p>
    <w:p>
      <w:pPr>
        <w:pStyle w:val="BodyText"/>
      </w:pPr>
      <w:r>
        <w:t xml:space="preserve">Los FRE realizan una serie de actividades para el seguimiento de uso de los recetarios. En la Figura</w:t>
      </w:r>
      <w:r>
        <w:t xml:space="preserve"> </w:t>
      </w:r>
      <w:r>
        <w:t xml:space="preserve">5.12</w:t>
      </w:r>
      <w:r>
        <w:t xml:space="preserve"> </w:t>
      </w:r>
      <w:r>
        <w:t xml:space="preserve">se muestra las distintas acciones realizadas por parte de los FRE para el seguimiento al manejo de los RO. La actividad de control más realizada, alrededor de un 70%, es la visita a las instituciones y médicos independientes inscritos en el FRE. La dinámica principal de la visita consiste en actividades propias de IVC, y a su vez en la revisión del anexo 13 junto con otros informes particulares vs las copias de las prescripciones de los RO que las entidades tengan disponibles.</w:t>
      </w:r>
    </w:p>
    <w:p>
      <w:pPr>
        <w:pStyle w:val="BodyText"/>
      </w:pPr>
      <w:r>
        <w:t xml:space="preserve">Las visitas a instituciones han permitido evidenciar en algunos departamentos, falencias en el uso adecuado de los RO, como por ejemplo prescripciones en las cuales se formulan antibióticos u otros medicamentos en conjunto con MME o solos, así mismo se tienen casos donde se encuentran recetarios en blanco, pero con firma y sello del médico prescriptor, generando un alto riesgo de desvío en las instituciones.</w:t>
      </w:r>
    </w:p>
    <w:p>
      <w:pPr>
        <w:pStyle w:val="BodyText"/>
      </w:pPr>
      <w:r>
        <w:t xml:space="preserve">Otras actividades de seguimiento activo al manejo de RO son el seguimiento a las denuncias, las cuales tienen una proporción menor al 5%.</w:t>
      </w:r>
    </w:p>
    <w:p>
      <w:pPr>
        <w:pStyle w:val="BodyText"/>
      </w:pPr>
      <w:r>
        <w:t xml:space="preserve">Por tanto, se puede determinar que la mayoría de los FRE realizan actividades de seguimiento pasivas (juntas alcanzan una proporción de 50%), como la revisión de anormalidades en las bases de ventas, como se mencionó previamente, la verificación física de los ROs, la verificación de los informes digitales, anexos allegados, puntos que serán ampliados más adelante, o la verificación de recambios con un 25% de proporción, la cual consiste en autorizar la venta a las entidades, solo cuando se alleguen talonarios prescritos, es decir, si la entidad o medico prescriptor allega 2 talonarios previamente vendidos y que ya hayan sido prescritos, se pueden vender 2 talonarios nuevos; esta tendencia se puede deber a la reducida capacidad de recurso humano con el que cuentan los FRE, respecto al número de entidades y médicos prescriptores en cada departamento. De hecho,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3333750"/>
            <wp:effectExtent b="0" l="0" r="0" t="0"/>
            <wp:docPr descr="Figura 5.12: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7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4" w:name="fig21"/>
      <w:r>
        <w:t xml:space="preserve">Figure </w:t>
      </w:r>
      <w:fldSimple w:instr="SEQ Figure \* ARABIC ">
        <w:r>
          <w:t>21</w:t>
        </w:r>
      </w:fldSimple>
      <w:r>
        <w:t xml:space="preserve">:</w:t>
      </w:r>
      <w:r>
        <w:t xml:space="preserve"> </w:t>
      </w:r>
      <w:bookmarkEnd w:id="74"/>
      <w:r>
        <w:t xml:space="preserve">Figura 5.12: Actividades realizadas por el FRE para el seguimiento del uso de recetarios</w:t>
      </w:r>
    </w:p>
    <w:bookmarkEnd w:id="75"/>
    <w:bookmarkStart w:id="87" w:name="características-de-los-recetarios"/>
    <w:p>
      <w:pPr>
        <w:pStyle w:val="Heading2"/>
      </w:pPr>
      <w:r>
        <w:rPr>
          <w:rStyle w:val="SectionNumber"/>
        </w:rPr>
        <w:t xml:space="preserve">5.4</w:t>
      </w:r>
      <w:r>
        <w:tab/>
      </w:r>
      <w:r>
        <w:t xml:space="preserve">Características de los recetarios</w:t>
      </w:r>
    </w:p>
    <w:p>
      <w:pPr>
        <w:pStyle w:val="FirstParagraph"/>
      </w:pPr>
      <w:r>
        <w:t xml:space="preserve">Uno de los puntos de acompañamiento del proyecto Misión PRI era conocer tanto en las visitas presenciales como virtuales, los tipos de medidas de seguridad que se implementan en los ROs de los diferentes departamentos, lo anterior se consolidó en la Figura</w:t>
      </w:r>
      <w:r>
        <w:t xml:space="preserve"> </w:t>
      </w:r>
      <w:r>
        <w:t xml:space="preserve">5.13</w:t>
      </w:r>
      <w:r>
        <w:t xml:space="preserve">, en la cual en primera medida se pudo observar que existe una gran variedad de medidas consideradas de seguridad en los ROs, y que existen y existirán tantas como nuevos proponentes se tengan, sin embargo, se reconoce que todos los departamentos implementaron la codificación en los recetarios oficiales tal y como se menciona en la Resolución 1478 de 2008</w:t>
      </w:r>
      <w:hyperlink w:anchor="ref-MSPS1478-2006">
        <w:r>
          <w:rPr>
            <w:rStyle w:val="Hyperlink"/>
            <w:vertAlign w:val="superscript"/>
          </w:rPr>
          <w:t xml:space="preserve">4</w:t>
        </w:r>
      </w:hyperlink>
      <w:r>
        <w:t xml:space="preserve">, Artículo 89, como se mencionó previamente, dicha codificación serial, en la mayoría de casos alfanumérica, desarrollada para cada talonario está pensada para ser una identificación única. En el siguiente porcentaje de mayor frecuencia se tienen las medidas de baja complejidad, con cierto riesgo de falsificación, 60% corresponden a marcas de agua, como por ejemplo figuras particulares o el mismo escudo de la gobernación, 55% sellos y/o escudos institucionales, normalmente correspondientes a las gobernaciones respectivas, y en todos los casos formatos institucionales membretados; microtexto o microletras, estas últimas con proporciones menores al 10%.</w:t>
      </w:r>
    </w:p>
    <w:p>
      <w:pPr>
        <w:pStyle w:val="CaptionedFigure"/>
      </w:pPr>
      <w:r>
        <w:drawing>
          <wp:inline>
            <wp:extent cx="5334000" cy="3809999"/>
            <wp:effectExtent b="0" l="0" r="0" t="0"/>
            <wp:docPr descr="Figura 5.13: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7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7" w:name="fig22"/>
      <w:r>
        <w:t xml:space="preserve">Figure </w:t>
      </w:r>
      <w:fldSimple w:instr="SEQ Figure \* ARABIC ">
        <w:r>
          <w:t>22</w:t>
        </w:r>
      </w:fldSimple>
      <w:r>
        <w:t xml:space="preserve">:</w:t>
      </w:r>
      <w:r>
        <w:t xml:space="preserve"> </w:t>
      </w:r>
      <w:bookmarkEnd w:id="77"/>
      <w:r>
        <w:t xml:space="preserve">Figura 5.13: Medidas de seguridad en los recetarios</w:t>
      </w:r>
    </w:p>
    <w:p>
      <w:pPr>
        <w:pStyle w:val="BodyText"/>
      </w:pPr>
      <w:r>
        <w:t xml:space="preserve">Considerando el riesgo de falsificación, otros Fondos Rotarios han optado por implementar niveles de seguridad mayores y elevar la confianza en el manejo de los ROs, entre estas medidas se tienen las tintas invisibles, tri-reactivas o fluorescentes que brillan al estar frente a la luz UV, las pruebas reactivo metal, que consisten en raspar un espacio determinado del RO con un metal o moneda desde la página original del talonario, y automáticamente los folios continuos se marcarán, los códigos QR que codifican información del año en el cual fue distribuido el talonario, filamentos o bandas de seguridad tecnología similar a los billetes, y demás que se pueden observar en la Figura</w:t>
      </w:r>
      <w:r>
        <w:t xml:space="preserve"> </w:t>
      </w:r>
      <w:r>
        <w:t xml:space="preserve">5.13</w:t>
      </w:r>
      <w:r>
        <w:t xml:space="preserve">. Menos del 40% de los Fondos Rotarios han implementado medidas de alta seguridad en sus recetarios oficiales debido a la capacidad de manufactura de los proveedores y/o considerando los requerimientos alcanzados según la modalidad de contratación de cada departamento. Dicha limitante se identificó en especial en las regiones alejadas del centro del país, donde, en términos de los FRE, los proveedores departamentales no tienen la capacidad o la tecnología suficiente para elaborar un talonario con características de alta seguridad. Y adquirir contratos con proveedores externos al departamento dificulta el seguimiento o alarga los procesos de compra, por lo que supone superar las barreras geográficas y/o sociales de algunos departamentos.</w:t>
      </w:r>
    </w:p>
    <w:p>
      <w:pPr>
        <w:pStyle w:val="CaptionedFigure"/>
      </w:pPr>
      <w:r>
        <w:drawing>
          <wp:inline>
            <wp:extent cx="5334000" cy="2667000"/>
            <wp:effectExtent b="0" l="0" r="0" t="0"/>
            <wp:docPr descr="Figura 5.14: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9" w:name="fig23"/>
      <w:r>
        <w:t xml:space="preserve">Figure </w:t>
      </w:r>
      <w:fldSimple w:instr="SEQ Figure \* ARABIC ">
        <w:r>
          <w:t>23</w:t>
        </w:r>
      </w:fldSimple>
      <w:r>
        <w:t xml:space="preserve">:</w:t>
      </w:r>
      <w:r>
        <w:t xml:space="preserve"> </w:t>
      </w:r>
      <w:bookmarkEnd w:id="79"/>
      <w:r>
        <w:t xml:space="preserve">Figura 5.14: Comparativo de márgen de ganancia de recetarios</w:t>
      </w:r>
    </w:p>
    <w:p>
      <w:pPr>
        <w:pStyle w:val="BodyText"/>
      </w:pPr>
      <w:r>
        <w:t xml:space="preserve">Complementando con la gráfica en la Figura</w:t>
      </w:r>
      <w:r>
        <w:t xml:space="preserve"> </w:t>
      </w:r>
      <w:r>
        <w:t xml:space="preserve">5.14</w:t>
      </w:r>
      <w:r>
        <w:t xml:space="preserve">, se confirma que existe un gran margen de variabilidad entre los costos de adquisición y venta de ROs (margen de ganancia) de los FRE. Dicha variabilidad dificulta el análisis del comportamiento de ganancias de los FRE. Por ejemplo antes de completar el proyecto de inversión, se estimaba observar un comportamiento en el cual los recetarios oficiales con más características de seguridad (independiente de su nivel de complejidad) aumentarían de forma proporcional su costo de adquisición y del mismo modo su precio de venta, sin embargo, el acompañamiento permitió evidenciar una tendencia diferente que se puede observar en la Figura</w:t>
      </w:r>
      <w:r>
        <w:t xml:space="preserve"> </w:t>
      </w:r>
      <w:r>
        <w:t xml:space="preserve">5.14</w:t>
      </w:r>
      <w:r>
        <w:t xml:space="preserve">, de forma no significativa, entre más características de seguridad implementadas (independiente de su nivel de complejidad) en un RO, más económico su costo de adquisición.</w:t>
      </w:r>
    </w:p>
    <w:p>
      <w:pPr>
        <w:pStyle w:val="BodyText"/>
      </w:pPr>
      <w:r>
        <w:rPr>
          <w:iCs/>
          <w:i/>
        </w:rPr>
        <w:t xml:space="preserve">Las medidas de seguridad, entendidas como un tipo de requerimiento técnico alcanzados o pactado en el contrato, depende de la capacidad de manufactura de los proveedores, su experiencia en el mercado, y la modalidad de contratación establecida en cada departamento, y estos últimos determinan el costo de adquisición, y todo lo anterior determina el precio de venta, porque se hace acumulativo.</w:t>
      </w:r>
    </w:p>
    <w:p>
      <w:pPr>
        <w:pStyle w:val="CaptionedFigure"/>
      </w:pPr>
      <w:r>
        <w:drawing>
          <wp:inline>
            <wp:extent cx="5334000" cy="4445000"/>
            <wp:effectExtent b="0" l="0" r="0" t="0"/>
            <wp:docPr descr="Figura 5.15: Porcentaje de entes territoriales que reciben recetarios oficiales recibidos prescritos/diligenciado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80"/>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81" w:name="fig24"/>
      <w:r>
        <w:t xml:space="preserve">Figure </w:t>
      </w:r>
      <w:fldSimple w:instr="SEQ Figure \* ARABIC ">
        <w:r>
          <w:t>24</w:t>
        </w:r>
      </w:fldSimple>
      <w:r>
        <w:t xml:space="preserve">:</w:t>
      </w:r>
      <w:r>
        <w:t xml:space="preserve"> </w:t>
      </w:r>
      <w:bookmarkEnd w:id="81"/>
      <w:r>
        <w:t xml:space="preserve">Figura 5.15: Porcentaje de entes territoriales que reciben recetarios oficiales recibidos prescritos/diligenciados</w:t>
      </w:r>
    </w:p>
    <w:p>
      <w:pPr>
        <w:pStyle w:val="BodyText"/>
      </w:pPr>
      <w:r>
        <w:t xml:space="preserve">En relación a la Figura</w:t>
      </w:r>
      <w:r>
        <w:t xml:space="preserve"> </w:t>
      </w:r>
      <w:r>
        <w:t xml:space="preserve">5.15</w:t>
      </w:r>
      <w:r>
        <w:t xml:space="preserve">, se puede observar que 17 de los FRE entrevistados confirmaron que si reciben los recetarios diligenciados de las instituciones inscritas en su despacho dentro de los tiempos estimados, ver Figura</w:t>
      </w:r>
      <w:r>
        <w:t xml:space="preserve"> </w:t>
      </w:r>
      <w:r>
        <w:t xml:space="preserve">5.16</w:t>
      </w:r>
      <w:r>
        <w:t xml:space="preserve">, esto se realiza con el fin de corroborar los informes allegados correspondientes al anexo número 13 que se entregan mensualmente. El resto de los departamentos (57%) no reciben los ROs prescritos en físico, entre las razones, la más frecuente está relacionada con la capacidad de almacenamiento del FRE de este tipo de documentación, que suele ser muy limitado o no se cuenta con el mismo. En dichos casos, los fondos rotarios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realizará un muestreo para evidenciar que las fórmulas prescritas en un determinado tiempo concuerden con las cantidades de medicamentos reportados en los informes mensuales. Durante el acompañamiento se complementó como recomendación a los FRE, se considerará alinearse a lo expresado en la Circular 009 de 2015 del FNE</w:t>
      </w:r>
      <w:hyperlink w:anchor="ref-FNE2015-9">
        <w:r>
          <w:rPr>
            <w:rStyle w:val="Hyperlink"/>
            <w:vertAlign w:val="superscript"/>
          </w:rPr>
          <w:t xml:space="preserve">6</w:t>
        </w:r>
      </w:hyperlink>
      <w:r>
        <w:t xml:space="preserve">, donde se difunde la buena práctica de implementar bases de retención documental y gestión de archivo.</w:t>
      </w:r>
    </w:p>
    <w:p>
      <w:pPr>
        <w:pStyle w:val="CaptionedFigure"/>
      </w:pPr>
      <w:r>
        <w:drawing>
          <wp:inline>
            <wp:extent cx="5334000" cy="3809999"/>
            <wp:effectExtent b="0" l="0" r="0" t="0"/>
            <wp:docPr descr="Figura 5.16: Tiempo de recepción de recetarios oficiales desde IPS" title="" id="1" name="Picture"/>
            <a:graphic>
              <a:graphicData uri="http://schemas.openxmlformats.org/drawingml/2006/picture">
                <pic:pic>
                  <pic:nvPicPr>
                    <pic:cNvPr descr="InformeFinal_files/figure-docx/TiempoRecepcionRecOficiales-1.png" id="0" name="Picture"/>
                    <pic:cNvPicPr>
                      <a:picLocks noChangeArrowheads="1" noChangeAspect="1"/>
                    </pic:cNvPicPr>
                  </pic:nvPicPr>
                  <pic:blipFill>
                    <a:blip r:embed="rId8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3" w:name="fig25"/>
      <w:r>
        <w:t xml:space="preserve">Figure </w:t>
      </w:r>
      <w:fldSimple w:instr="SEQ Figure \* ARABIC ">
        <w:r>
          <w:t>25</w:t>
        </w:r>
      </w:fldSimple>
      <w:r>
        <w:t xml:space="preserve">:</w:t>
      </w:r>
      <w:r>
        <w:t xml:space="preserve"> </w:t>
      </w:r>
      <w:bookmarkEnd w:id="83"/>
      <w:r>
        <w:t xml:space="preserve">Figura 5.16: Tiempo de recepción de recetarios oficiales desde IPS</w:t>
      </w:r>
    </w:p>
    <w:p>
      <w:pPr>
        <w:pStyle w:val="BodyText"/>
      </w:pPr>
      <w:r>
        <w:t xml:space="preserve">La frecuencia con la cual se reciben los recetarios oficiales a los FRE desde las entidades y médicos prescriptores inscritos se observa en la Figura</w:t>
      </w:r>
      <w:r>
        <w:t xml:space="preserve"> </w:t>
      </w:r>
      <w:r>
        <w:t xml:space="preserve">5.16</w:t>
      </w:r>
      <w:r>
        <w:t xml:space="preserve">, la cual guarda correlación con la información analizada en el punto anterior, donde 13 de los 17 Fondos Rotarios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w:t>
      </w:r>
    </w:p>
    <w:p>
      <w:pPr>
        <w:pStyle w:val="CaptionedFigure"/>
      </w:pPr>
      <w:r>
        <w:drawing>
          <wp:inline>
            <wp:extent cx="5334000" cy="3809999"/>
            <wp:effectExtent b="0" l="0" r="0" t="0"/>
            <wp:docPr descr="Figura 5.17: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8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5" w:name="fig26"/>
      <w:r>
        <w:t xml:space="preserve">Figure </w:t>
      </w:r>
      <w:fldSimple w:instr="SEQ Figure \* ARABIC ">
        <w:r>
          <w:t>26</w:t>
        </w:r>
      </w:fldSimple>
      <w:r>
        <w:t xml:space="preserve">:</w:t>
      </w:r>
      <w:r>
        <w:t xml:space="preserve"> </w:t>
      </w:r>
      <w:bookmarkEnd w:id="85"/>
      <w:r>
        <w:t xml:space="preserve">Figura 5.17: Tiempo de archivo de los recetarios oficiales en los FRE</w:t>
      </w:r>
    </w:p>
    <w:p>
      <w:pPr>
        <w:pStyle w:val="BodyText"/>
      </w:pPr>
      <w:r>
        <w:t xml:space="preserve">Complementando la información reportada en la Figura</w:t>
      </w:r>
      <w:r>
        <w:t xml:space="preserve"> </w:t>
      </w:r>
      <w:r>
        <w:t xml:space="preserve">5.15</w:t>
      </w:r>
      <w:r>
        <w:t xml:space="preserve">, y</w:t>
      </w:r>
      <w:r>
        <w:t xml:space="preserve"> </w:t>
      </w:r>
      <w:r>
        <w:t xml:space="preserve">5.17</w:t>
      </w:r>
      <w:r>
        <w:t xml:space="preserve">, se relacionó el tiempo de archivo que los FRE que si reciben los recetarios oficiales los almacenan, obteniendo que 10 FRE los almacenan por un periodo mayor a 5 años. Durante las jornadas de inmersión territorial se puedo observar que este tiempo de almacenamiento, en la mayoría de los casos, es por desinformación en los FRE, puesto que no se tiene presente el tiempo que se deben guardar estas copias, y al considerarlas parte de la historia clínica de un paciente estiman guardarlas por hasta 10 años, superando en muchos casos la capacidad de archivo de los FRE. En otros casos, la intención de archivo se acoge a las medidas establecidas por las gobernaciones, en las cuales se pide un archivo de 20 años para documentación critica, según las tablas de retención documental gubernamental. Otros FRE en cambio establecieron protocolo de archivo y una vez cumplido el periodo de almacenamiento, por supuesto, posterior revisión, los recetarios oficiales son destruidos.</w:t>
      </w:r>
    </w:p>
    <w:p>
      <w:pPr>
        <w:pStyle w:val="BodyText"/>
      </w:pPr>
      <w:r>
        <w:drawing>
          <wp:inline>
            <wp:extent cx="5334000" cy="3809999"/>
            <wp:effectExtent b="0" l="0" r="0" t="0"/>
            <wp:docPr descr=""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86"/>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t xml:space="preserve">Como se mencionó previamente durante el acompañamiento se compartió la Circular 009 de 2015, la cual en su Artículo Primero expresa lo siguiente:</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w:t>
      </w:r>
      <w:r>
        <w:rPr>
          <w:iCs/>
          <w:i/>
        </w:rPr>
        <w:t xml:space="preserve">”</w:t>
      </w:r>
    </w:p>
    <w:p>
      <w:pPr>
        <w:pStyle w:val="FirstParagraph"/>
      </w:pPr>
      <w:r>
        <w:t xml:space="preserve">Cuando se utilicen talonarios (artículo 30, inciso 2 b) de recetas oficiales, dichos talonarios se conservarán también durante un periodo de dos años por lo menos”. 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w:t>
      </w:r>
      <w:r>
        <w:t xml:space="preserve"> </w:t>
      </w:r>
      <w:r>
        <w:t xml:space="preserve">se observa que todos los departamentos han implementado algún tipo de medida de seguridad para el control de los ROs. 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ROs.</w:t>
      </w:r>
    </w:p>
    <w:p>
      <w:pPr>
        <w:pStyle w:val="BodyText"/>
      </w:pPr>
      <w:r>
        <w:t xml:space="preserve">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 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Además de lo anterior, existen 3 departamentos que realizan un inventario físico diario aumentado la seguridad y trazabilidad de la rotación de los recetarios. Este inventario físico está relacionado con… __</w:t>
      </w:r>
    </w:p>
    <w:bookmarkEnd w:id="87"/>
    <w:bookmarkStart w:id="92" w:name="recetario-oficial-electrónico"/>
    <w:p>
      <w:pPr>
        <w:pStyle w:val="Heading2"/>
      </w:pPr>
      <w:r>
        <w:rPr>
          <w:rStyle w:val="SectionNumber"/>
        </w:rPr>
        <w:t xml:space="preserve">5.5</w:t>
      </w:r>
      <w:r>
        <w:tab/>
      </w:r>
      <w:r>
        <w:t xml:space="preserve">Recetario Oficial Electrónico</w:t>
      </w:r>
    </w:p>
    <w:p>
      <w:pPr>
        <w:pStyle w:val="FirstParagraph"/>
      </w:pPr>
      <w:r>
        <w:t xml:space="preserve">Como se observa en la Figura</w:t>
      </w:r>
      <w:r>
        <w:t xml:space="preserve"> </w:t>
      </w:r>
      <w:r>
        <w:t xml:space="preserve">5.18</w:t>
      </w:r>
      <w:r>
        <w:t xml:space="preserve">, más del 50% de los FRE del país tienen una opinión favorable acerca del ROE, ya que según la información recopilada, los encargados de los diferentes FRE piensan que podría ser una herramienta que brinde amyor seguimiento, trazabilidad y seguridad a las prescripciones de MME, además del ahorro de papel y de espacio de almacenamiento en las bodegas que sería liberado.</w:t>
      </w:r>
    </w:p>
    <w:p>
      <w:pPr>
        <w:pStyle w:val="CaptionedFigure"/>
      </w:pPr>
      <w:r>
        <w:drawing>
          <wp:inline>
            <wp:extent cx="5334000" cy="3556000"/>
            <wp:effectExtent b="0" l="0" r="0" t="0"/>
            <wp:docPr descr="Figura 5.18: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8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89" w:name="fig27"/>
      <w:r>
        <w:t xml:space="preserve">Figure </w:t>
      </w:r>
      <w:fldSimple w:instr="SEQ Figure \* ARABIC ">
        <w:r>
          <w:t>27</w:t>
        </w:r>
      </w:fldSimple>
      <w:r>
        <w:t xml:space="preserve">:</w:t>
      </w:r>
      <w:r>
        <w:t xml:space="preserve"> </w:t>
      </w:r>
      <w:bookmarkEnd w:id="89"/>
      <w:r>
        <w:t xml:space="preserve">Figura 5.18: Opinión sobre la implementación del Recetario Oficial Electrónico (ROE)</w:t>
      </w:r>
    </w:p>
    <w:p>
      <w:pPr>
        <w:pStyle w:val="BodyText"/>
      </w:pPr>
      <w:r>
        <w:t xml:space="preserve">Por otro lado, 30%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Finalmente, el proceso de venta de recetarios oficiales se desarrolla de forma rápida como lo demuestra la Figura</w:t>
      </w:r>
      <w:r>
        <w:t xml:space="preserve"> </w:t>
      </w:r>
      <w:r>
        <w:t xml:space="preserve">5.19</w:t>
      </w:r>
      <w:r>
        <w:t xml:space="preserve"> </w:t>
      </w:r>
      <w:r>
        <w:t xml:space="preserve">En la mayoría de departamentos tarda entre 1 y 2 días concretar la venta, tiempo que es determinado realmente por el establecimiento y cuanto demore en hacer el pago bancario a la cuenta del FRE. Los casos particulares en que el proceso toma hasta 5 o más días, como es el caso de los FRE de Huila y Tolima, se da principalmente por falta de personal que pueda abarcar el total de las actividades que debe desarrollar el ente territorial.</w:t>
      </w:r>
    </w:p>
    <w:p>
      <w:pPr>
        <w:pStyle w:val="CaptionedFigure"/>
      </w:pPr>
      <w:r>
        <w:drawing>
          <wp:inline>
            <wp:extent cx="5334000" cy="4000500"/>
            <wp:effectExtent b="0" l="0" r="0" t="0"/>
            <wp:docPr descr="Figura 5.19: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1" w:name="fig28"/>
      <w:r>
        <w:t xml:space="preserve">Figure </w:t>
      </w:r>
      <w:fldSimple w:instr="SEQ Figure \* ARABIC ">
        <w:r>
          <w:t>28</w:t>
        </w:r>
      </w:fldSimple>
      <w:r>
        <w:t xml:space="preserve">:</w:t>
      </w:r>
      <w:r>
        <w:t xml:space="preserve"> </w:t>
      </w:r>
      <w:bookmarkEnd w:id="91"/>
      <w:r>
        <w:t xml:space="preserve">Figura 5.19: Tiempo de demora en la venta de recetarios oficiales a clientes</w:t>
      </w:r>
    </w:p>
    <w:bookmarkEnd w:id="92"/>
    <w:bookmarkEnd w:id="93"/>
    <w:bookmarkStart w:id="151" w:name="manejo-de-medicamentos"/>
    <w:p>
      <w:pPr>
        <w:pStyle w:val="Heading1"/>
      </w:pPr>
      <w:r>
        <w:rPr>
          <w:rStyle w:val="SectionNumber"/>
        </w:rPr>
        <w:t xml:space="preserve">6</w:t>
      </w:r>
      <w:r>
        <w:tab/>
      </w:r>
      <w:r>
        <w:t xml:space="preserve">Manejo de Medicamentos</w:t>
      </w:r>
    </w:p>
    <w:bookmarkStart w:id="111" w:name="adquisición-de-mme-por-parte-del-fre"/>
    <w:p>
      <w:pPr>
        <w:pStyle w:val="Heading2"/>
      </w:pPr>
      <w:r>
        <w:rPr>
          <w:rStyle w:val="SectionNumber"/>
        </w:rPr>
        <w:t xml:space="preserve">6.1</w:t>
      </w:r>
      <w:r>
        <w:tab/>
      </w:r>
      <w:r>
        <w:t xml:space="preserve">Adquisición de MME por parte del FRE</w:t>
      </w:r>
    </w:p>
    <w:bookmarkStart w:id="95" w:name="control-de-inventarios"/>
    <w:p>
      <w:pPr>
        <w:pStyle w:val="Heading3"/>
      </w:pPr>
      <w:r>
        <w:rPr>
          <w:rStyle w:val="SectionNumber"/>
        </w:rPr>
        <w:t xml:space="preserve">6.1.1</w:t>
      </w:r>
      <w:r>
        <w:tab/>
      </w:r>
      <w:r>
        <w:t xml:space="preserve">Control de inventarios</w:t>
      </w:r>
    </w:p>
    <w:p>
      <w:pPr>
        <w:pStyle w:val="FirstParagraph"/>
      </w:pPr>
      <w:r>
        <w:t xml:space="preserve">El manejo de inventarios es de gran relevancia para las organizaciones que tienen bienes tangibles dispuestos a la venta y cuyo volumen recibido supera el volumen distribuido, como es el caso de los FRE, es por ello por lo que se indago sobre las herramientas que tienen a disposición para el control de inventarios de MME. La mayoría de los FRE realizan el seguimiento de inventarios mediante un paquete ofimático con una proporción de 45.2% (ver Figura</w:t>
      </w:r>
      <w:r>
        <w:t xml:space="preserve"> </w:t>
      </w:r>
      <w:r>
        <w:t xml:space="preserve">6.1</w:t>
      </w:r>
      <w:r>
        <w:t xml:space="preserve">), siendo la herramienta principal Excel, con uso especial de hojas estandarizadas, como en el caso de los FRE Boyacá, Cauca, Sucre, entre otros.</w:t>
      </w:r>
    </w:p>
    <w:p>
      <w:pPr>
        <w:pStyle w:val="BodyText"/>
      </w:pPr>
      <w:r>
        <w:drawing>
          <wp:inline>
            <wp:extent cx="5334000" cy="3809999"/>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94"/>
                    <a:stretch>
                      <a:fillRect/>
                    </a:stretch>
                  </pic:blipFill>
                  <pic:spPr bwMode="auto">
                    <a:xfrm>
                      <a:off x="0" y="0"/>
                      <a:ext cx="5334000" cy="3809999"/>
                    </a:xfrm>
                    <a:prstGeom prst="rect">
                      <a:avLst/>
                    </a:prstGeom>
                    <a:noFill/>
                    <a:ln w="9525">
                      <a:noFill/>
                      <a:headEnd/>
                      <a:tailEnd/>
                    </a:ln>
                  </pic:spPr>
                </pic:pic>
              </a:graphicData>
            </a:graphic>
          </wp:inline>
        </w:drawing>
      </w:r>
      <w:r>
        <w:t xml:space="preserve"> </w:t>
      </w:r>
      <w:r>
        <w:t xml:space="preserve">Algunos FRE se apoyan en otras herramientas además del paquete ofimático para llevar a cabo la tarea del control de inventarios. En la segunda posición de la Figura</w:t>
      </w:r>
      <w:r>
        <w:t xml:space="preserve"> </w:t>
      </w:r>
      <w:r>
        <w:t xml:space="preserve">6.1</w:t>
      </w:r>
      <w:r>
        <w:t xml:space="preserve"> </w:t>
      </w:r>
      <w:r>
        <w:t xml:space="preserve">se observa el uso de software en una proporción del 38.7%. La elección del software se hace según los criterios de cada entidad territorial en la mayoría de los casos se utiliza un software interno de la gobernación del territorio para el desarrollo de estas actividades como es el caso de los FRE Atlántico, Cesar, Santander, entre otros.</w:t>
      </w:r>
    </w:p>
    <w:p>
      <w:pPr>
        <w:pStyle w:val="BodyText"/>
      </w:pPr>
      <w:r>
        <w:t xml:space="preserve">El alcance del software es distinto, por ejemplo, el caso del FRE Risaralda que hace uso del software SIMEC para soportar tanto el manejo de inventarios, como los procesos relacionados con el sistema de IVC en todo lo relacionado con MME. Este software funciona además como medio de comunicación entre el FRE y todos sus inscritos, mostrándose como una plataforma muy completa y eficiente, sin embargo, existe poca disponibilidad de equipos de cómputo en el FRE que impide que más personal pueda acceder al software y a sus herramientas por lo cual puede ser un recurso subutilizado.</w:t>
      </w:r>
    </w:p>
    <w:p>
      <w:pPr>
        <w:pStyle w:val="BodyText"/>
      </w:pPr>
      <w:r>
        <w:t xml:space="preserve">Se evidencia que algunos FRE poseen herramientas completas para el manejo de sus procesos, mientras que otros realizan el manejo de inventarios apoyándose en el uso de herramientas manuales (32.3%), como se indica en la Figura</w:t>
      </w:r>
      <w:r>
        <w:t xml:space="preserve"> </w:t>
      </w:r>
      <w:r>
        <w:t xml:space="preserve">6.1</w:t>
      </w:r>
      <w:r>
        <w:t xml:space="preserve"> </w:t>
      </w:r>
      <w:r>
        <w:t xml:space="preserve">En muchos FRE el control de inventarios de forma manual se realiza con apoyo de herramientas ofimáticas como Excel.</w:t>
      </w:r>
    </w:p>
    <w:p>
      <w:pPr>
        <w:pStyle w:val="BodyText"/>
      </w:pPr>
      <w:r>
        <w:t xml:space="preserve">Sólo en tres casos se encontró que el control de inventarios dependía exclusivamente de herramientas manuales como la revisión de libros contables. Pese a que no es el ideal algunos territorios, especialmente los menos centralizados (p.ej. Amazonas y La Guajira), se ven en la necesidad de llevar sus procesos de esta forma debido a la no disponibilidad de equipos de cómputo o que sí bien los hay, esto se encuentran obsoletos y no soportan el uso de tecnologías más recientes y apropiadas.</w:t>
      </w:r>
    </w:p>
    <w:p>
      <w:pPr>
        <w:pStyle w:val="BodyText"/>
      </w:pPr>
      <w:r>
        <w:t xml:space="preserve">Finalmente, el manejo de inventarios por parte de los FRE deja en evidencia las brechas tecnológicas importantes entre los territorios. Los FRE menos centralizados presentan menor acceso a tecnologías actualizadas y en estos fue común encontrar la necesidad de acceso a más equipos de cómputo que le permita al personal desarrollar las actividades para el funcionamiento del FRE.</w:t>
      </w:r>
    </w:p>
    <w:bookmarkEnd w:id="95"/>
    <w:bookmarkStart w:id="99" w:name="Xc45cd4a64f99073019fbd4f2b6fa0ebe3e64c13"/>
    <w:p>
      <w:pPr>
        <w:pStyle w:val="Heading3"/>
      </w:pPr>
      <w:r>
        <w:rPr>
          <w:rStyle w:val="SectionNumber"/>
        </w:rPr>
        <w:t xml:space="preserve">6.1.2</w:t>
      </w:r>
      <w:r>
        <w:tab/>
      </w:r>
      <w:r>
        <w:t xml:space="preserve">Tiempos de demora en el proceso de adquisición</w:t>
      </w:r>
    </w:p>
    <w:p>
      <w:pPr>
        <w:pStyle w:val="FirstParagraph"/>
      </w:pPr>
      <w:r>
        <w:t xml:space="preserve">La adquisición de MME se realiza a través de un proceso que conlleva diferentes etapas, de forma general se consideraron cinco etapas del proceso:</w:t>
      </w:r>
    </w:p>
    <w:p>
      <w:pPr>
        <w:numPr>
          <w:ilvl w:val="0"/>
          <w:numId w:val="1013"/>
        </w:numPr>
        <w:pStyle w:val="Compact"/>
      </w:pPr>
      <w:r>
        <w:t xml:space="preserve">Estimación de necesidades</w:t>
      </w:r>
    </w:p>
    <w:p>
      <w:pPr>
        <w:numPr>
          <w:ilvl w:val="0"/>
          <w:numId w:val="1013"/>
        </w:numPr>
        <w:pStyle w:val="Compact"/>
      </w:pPr>
      <w:r>
        <w:t xml:space="preserve">Precontractual</w:t>
      </w:r>
    </w:p>
    <w:p>
      <w:pPr>
        <w:numPr>
          <w:ilvl w:val="0"/>
          <w:numId w:val="1013"/>
        </w:numPr>
        <w:pStyle w:val="Compact"/>
      </w:pPr>
      <w:r>
        <w:t xml:space="preserve">Contractual</w:t>
      </w:r>
    </w:p>
    <w:p>
      <w:pPr>
        <w:numPr>
          <w:ilvl w:val="0"/>
          <w:numId w:val="1013"/>
        </w:numPr>
        <w:pStyle w:val="Compact"/>
      </w:pPr>
      <w:r>
        <w:t xml:space="preserve">Solicitud en la plataforma tecnológica</w:t>
      </w:r>
    </w:p>
    <w:p>
      <w:pPr>
        <w:numPr>
          <w:ilvl w:val="0"/>
          <w:numId w:val="1013"/>
        </w:numPr>
        <w:pStyle w:val="Compact"/>
      </w:pPr>
      <w:r>
        <w:t xml:space="preserve">Despacho</w:t>
      </w:r>
    </w:p>
    <w:p>
      <w:pPr>
        <w:pStyle w:val="FirstParagraph"/>
      </w:pPr>
      <w:r>
        <w:t xml:space="preserve">En este caso la plataforma tecnológica es la tienda virtual del Estado Colombia Compra Eficiente. El proceso puede cambiar de acuerdo con las particularidades de cada territorio, y en particular pueden tenerse diversos tiempos para llevar a cabo estos procesos.</w:t>
      </w:r>
      <w:r>
        <w:t xml:space="preserve"> </w:t>
      </w:r>
      <w:r>
        <w:t xml:space="preserve">La diferencia en los tiempos para llevar a cabo los procesos de adquisición de MME (mostrados en la Figura</w:t>
      </w:r>
      <w:r>
        <w:t xml:space="preserve"> </w:t>
      </w:r>
      <w:r>
        <w:t xml:space="preserve">6.2</w:t>
      </w:r>
      <w:r>
        <w:t xml:space="preserve">) se puede explicar teniendo en cuenta factores como: (a) volumen de medicamentos requeridos en cada departamento, (b) herramientas usadas para el cálculo de la estimación de la necesidad, (c) procesos contractuales de cada entidad y (d) distancia física entre el FNE y la oficina del FRE. Este último factor puede afectar el tiempo de despacho de los MME de forma especial en las zonas más alejadas de la capital del país.</w:t>
      </w:r>
    </w:p>
    <w:p>
      <w:pPr>
        <w:pStyle w:val="BodyText"/>
      </w:pPr>
      <w:r>
        <w:drawing>
          <wp:inline>
            <wp:extent cx="5334000" cy="3111500"/>
            <wp:effectExtent b="0" l="0" r="0" t="0"/>
            <wp:docPr descr="Figura 6.2: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96"/>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Como se identifica en la Figura</w:t>
      </w:r>
      <w:r>
        <w:t xml:space="preserve"> </w:t>
      </w:r>
      <w:r>
        <w:t xml:space="preserve">6.3</w:t>
      </w:r>
      <w:r>
        <w:t xml:space="preserve">, la gran mayoría de territorios manifiesta que las actividades que más tiempos requieren son las etapas precontractuales y contractuales, esto debido a los requisitos que establece la contratación pública</w:t>
      </w:r>
      <w:hyperlink w:anchor="ref-CongresodelaRepublicadeColombia1993">
        <w:r>
          <w:rPr>
            <w:rStyle w:val="Hyperlink"/>
            <w:vertAlign w:val="superscript"/>
          </w:rPr>
          <w:t xml:space="preserve">7</w:t>
        </w:r>
      </w:hyperlink>
      <w:r>
        <w:rPr>
          <w:vertAlign w:val="superscript"/>
        </w:rPr>
        <w:t xml:space="preserve">,</w:t>
      </w:r>
      <w:hyperlink w:anchor="ref-CongresodelaRepublicadeColombia2007">
        <w:r>
          <w:rPr>
            <w:rStyle w:val="Hyperlink"/>
            <w:vertAlign w:val="superscript"/>
          </w:rPr>
          <w:t xml:space="preserve">8</w:t>
        </w:r>
      </w:hyperlink>
      <w:r>
        <w:t xml:space="preserve">. Para que una institución estatal pueda realizar una compra debe tener en cuenta la modalidad de contratación y los documentos exigidos en la misma, p.ej. los estudios previos en los que la entidad debe tener claridad sobre las especificaciones técnicas mínimas del servicio o bien a adquirir (referencia).</w:t>
      </w:r>
    </w:p>
    <w:p>
      <w:pPr>
        <w:pStyle w:val="CaptionedFigure"/>
      </w:pPr>
      <w:r>
        <w:drawing>
          <wp:inline>
            <wp:extent cx="5334000" cy="4000500"/>
            <wp:effectExtent b="0" l="0" r="0" t="0"/>
            <wp:docPr descr="Figura 6.3: Demoras en el proceso de adquisición por departamento (detallad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9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8" w:name="fig29"/>
      <w:r>
        <w:t xml:space="preserve">Figure </w:t>
      </w:r>
      <w:fldSimple w:instr="SEQ Figure \* ARABIC ">
        <w:r>
          <w:t>29</w:t>
        </w:r>
      </w:fldSimple>
      <w:r>
        <w:t xml:space="preserve">:</w:t>
      </w:r>
      <w:r>
        <w:t xml:space="preserve"> </w:t>
      </w:r>
      <w:bookmarkEnd w:id="98"/>
      <w:r>
        <w:t xml:space="preserve">Figura 6.3: Demoras en el proceso de adquisición por departamento (detallado)</w:t>
      </w:r>
    </w:p>
    <w:p>
      <w:pPr>
        <w:pStyle w:val="BodyText"/>
      </w:pPr>
      <w:r>
        <w:t xml:space="preserve">Por lo general, la documentación pertinente de la fase precontractual es revisada y corregida en varias ocasiones por diferentes áreas en una misma entidad, lo que conlleva a largos tiempos de espera en la fase precontractual. Estas demoras se dan especialmente cuando el área encargada de aprobar la documentación o de llevar a cabo el proceso contractual no pertenece a la secretaría de salud, como es el caso de Atlántico, pues los funcionarios de otras áreas de las gobernaciones no están inmersos en el contexto de las necesidades de salud pública y específicamente en la importancia que tiene el abastecimiento de MME para la población, por lo que muchas veces el proceso de adquisición de medicamentos queda a merced de la voluntad de otras áreas, propiciando incluso el desabastecimiento en los departamentos.</w:t>
      </w:r>
    </w:p>
    <w:p>
      <w:pPr>
        <w:pStyle w:val="BodyText"/>
      </w:pPr>
      <w:r>
        <w:t xml:space="preserve">Por otro lado, el proceso de estimación de compra de MME es uno de los más cortos y por lo general se hace teniendo en cuenta el consumo histórico en el territorio. El consumo histórico de medicamentos no es el único factor para tener en cuenta, es así como en el departamento de Casanare, el FRE además de revisar sus consumos históricos, consulta a sus inscritos la proyección de consumo de cada inscrito, adicionalmente agrega un 20% a su proyección final para tener un inventario de seguridad que le permita evitar el desabastecimiento.</w:t>
      </w:r>
    </w:p>
    <w:p>
      <w:pPr>
        <w:pStyle w:val="BodyText"/>
      </w:pPr>
      <w:r>
        <w:t xml:space="preserve">Por otra parte hay territorios como Guaviare en el que la estimación de compra sólo se hace teniendo en cuenta el consumo histórico y cuidando de no sobrepasar el presupuesto que la gobernación ha asignado para esta tarea. El FRE de Guaviare en comparación con otros territorios es pequeño, evidenciando que las necesidades y capacidades de los FRE son diferentes de acuerdo con el territorio.</w:t>
      </w:r>
    </w:p>
    <w:p>
      <w:pPr>
        <w:pStyle w:val="BodyText"/>
      </w:pPr>
      <w:r>
        <w:t xml:space="preserve">Existen casos a exaltar como el FRE de Sucre que, a pesar de tener un tamaño relativamente pequeño a otros en la región, tiene un proceso de estimación de necesidades de MME está altamente estandarizado a través de una herramienta que facilita la toma de decisiones de compra de MME. El FRE afirma que el uso de este manual reduce el tiempo de estimación de compra a una semana, y esto indica que es un proceso eficiente en este departamento.</w:t>
      </w:r>
    </w:p>
    <w:bookmarkEnd w:id="99"/>
    <w:bookmarkStart w:id="102" w:name="traslados-interdepartamentales"/>
    <w:p>
      <w:pPr>
        <w:pStyle w:val="Heading3"/>
      </w:pPr>
      <w:r>
        <w:rPr>
          <w:rStyle w:val="SectionNumber"/>
        </w:rPr>
        <w:t xml:space="preserve">6.1.3</w:t>
      </w:r>
      <w:r>
        <w:tab/>
      </w:r>
      <w:r>
        <w:t xml:space="preserve">Traslados interdepartamentales</w:t>
      </w:r>
    </w:p>
    <w:p>
      <w:pPr>
        <w:pStyle w:val="FirstParagraph"/>
      </w:pPr>
      <w:r>
        <w:t xml:space="preserve">En el traslado interdepartamental de medicamentos se observa que los territorios más descentralizados son los que presentan mayor demora para recibir el traslado de MME, siendo los casos más demorados San Andrés y Amazonas. Como se observa en la Figura</w:t>
      </w:r>
      <w:r>
        <w:t xml:space="preserve"> </w:t>
      </w:r>
      <w:r>
        <w:t xml:space="preserve">6.4</w:t>
      </w:r>
      <w:r>
        <w:t xml:space="preserve"> </w:t>
      </w:r>
      <w:r>
        <w:t xml:space="preserve">las regiones más afectadas son Amazonía, Orinoquía, Pacífico a excepción del Valle del Cauca y algunos departamentos del Caribe. Sin embargo, el departamento que más demora presenta es San Andrés, pues al estar alejado de la zona continental del país, tiene un tiempo de traslado de medicamentos más largo.</w:t>
      </w:r>
    </w:p>
    <w:p>
      <w:pPr>
        <w:pStyle w:val="CaptionedFigure"/>
      </w:pPr>
      <w:r>
        <w:drawing>
          <wp:inline>
            <wp:extent cx="5334000" cy="2182090"/>
            <wp:effectExtent b="0" l="0" r="0" t="0"/>
            <wp:docPr descr="Figura 6.4: Caracterización en demoras de traslados interdepartamentales. Panel A. Gráfico de tiempos de traslados interdepartamentales reportados para los departamentos. Panel B. Mapa de tiempo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00"/>
                    <a:stretch>
                      <a:fillRect/>
                    </a:stretch>
                  </pic:blipFill>
                  <pic:spPr bwMode="auto">
                    <a:xfrm>
                      <a:off x="0" y="0"/>
                      <a:ext cx="5334000" cy="2182090"/>
                    </a:xfrm>
                    <a:prstGeom prst="rect">
                      <a:avLst/>
                    </a:prstGeom>
                    <a:noFill/>
                    <a:ln w="9525">
                      <a:noFill/>
                      <a:headEnd/>
                      <a:tailEnd/>
                    </a:ln>
                  </pic:spPr>
                </pic:pic>
              </a:graphicData>
            </a:graphic>
          </wp:inline>
        </w:drawing>
      </w:r>
    </w:p>
    <w:p>
      <w:pPr>
        <w:pStyle w:val="ImageCaption"/>
      </w:pPr>
      <w:bookmarkStart w:id="101" w:name="fig30"/>
      <w:r>
        <w:t xml:space="preserve">Figure </w:t>
      </w:r>
      <w:fldSimple w:instr="SEQ Figure \* ARABIC ">
        <w:r>
          <w:t>30</w:t>
        </w:r>
      </w:fldSimple>
      <w:r>
        <w:t xml:space="preserve">:</w:t>
      </w:r>
      <w:r>
        <w:t xml:space="preserve"> </w:t>
      </w:r>
      <w:bookmarkEnd w:id="101"/>
      <w:r>
        <w:t xml:space="preserve">Figura 6.4: Caracterización en demoras de traslados interdepartamentales. Panel A. Gráfico de tiempos de traslados interdepartamentales reportados para los departamentos. Panel B. Mapa de tiempos de traslados interdepartamentales.</w:t>
      </w:r>
    </w:p>
    <w:bookmarkEnd w:id="102"/>
    <w:bookmarkStart w:id="105" w:name="plataforma-de-compra-estatal"/>
    <w:p>
      <w:pPr>
        <w:pStyle w:val="Heading3"/>
      </w:pPr>
      <w:r>
        <w:rPr>
          <w:rStyle w:val="SectionNumber"/>
        </w:rPr>
        <w:t xml:space="preserve">6.1.4</w:t>
      </w:r>
      <w:r>
        <w:tab/>
      </w:r>
      <w:r>
        <w:t xml:space="preserve">Plataforma de compra estatal</w:t>
      </w:r>
    </w:p>
    <w:p>
      <w:pPr>
        <w:pStyle w:val="FirstParagraph"/>
      </w:pPr>
      <w:r>
        <w:t xml:space="preserve">La plataforma Colombia Compra es el ente rector en materia de contratación pública y desde 2013 se puso en marcha la tienda virtual del Estado colombiano como herramienta en línea del sistema de compra pública. Esta plataforma permite hacer compras a través de acuerdos marco, instrumentos de agregación de demanda y catálogo de bienes de las grandes superficies. En concordancia con lo anterior, Colombia Compra Eficiente dispuso un documento en su plataforma denominado</w:t>
      </w:r>
      <w:r>
        <w:t xml:space="preserve"> </w:t>
      </w:r>
      <w:r>
        <w:rPr>
          <w:iCs/>
          <w:i/>
        </w:rPr>
        <w:t xml:space="preserve">“</w:t>
      </w:r>
      <w:r>
        <w:rPr>
          <w:iCs/>
          <w:i/>
        </w:rPr>
        <w:t xml:space="preserve">Estudios y Documentos Previos de la contratación con el Fondo Nacional de Estupefacientes para la adquisición de Medicamentos de Control Especial de Monopolio del Estado</w:t>
      </w:r>
      <w:r>
        <w:rPr>
          <w:iCs/>
          <w:i/>
        </w:rPr>
        <w:t xml:space="preserve">”</w:t>
      </w:r>
      <w:r>
        <w:t xml:space="preserve"> </w:t>
      </w:r>
      <w:r>
        <w:t xml:space="preserve">donde afirma que se promueve un Instrumento de Agregación de Demanda de Precios para la adquisición de MME mediante contratación directa con el FNE, con el objetivo de aumentar la eficiencia en los procesos de cada FRE y aprovechar las economías a escala. Pese a su implementación y sus objetivos algunos FRE no perciben su uso como una ventaja.</w:t>
      </w:r>
    </w:p>
    <w:p>
      <w:pPr>
        <w:pStyle w:val="BodyText"/>
      </w:pPr>
      <w:r>
        <w:t xml:space="preserve">De esta manera los FRE adquieren los MME a través de esta herramienta, por tal motivo se indagó sobre el uso de la plataforma y la opinión que tenían los FRE sobre la misma. Se encuentra que en términos generales (ver la Figura</w:t>
      </w:r>
      <w:r>
        <w:t xml:space="preserve"> </w:t>
      </w:r>
      <w:r>
        <w:t xml:space="preserve">6.3</w:t>
      </w:r>
      <w:r>
        <w:t xml:space="preserve">), que los FRE consideran que el tiempo invertido en el uso y trámite que se realiza a través de la plataforma, no es tan dispendioso como las etapas precontractuales y contractuales del proceso.</w:t>
      </w:r>
    </w:p>
    <w:p>
      <w:pPr>
        <w:pStyle w:val="BodyText"/>
      </w:pPr>
      <w:r>
        <w:t xml:space="preserve">La mayoría de los departamentos hace uso de esta plataforma, encontrándose diferentes percepciones sobre ella. Por ejemplo, el FRE del Cauca indica alta satisfacción con el uso de la plataforma al considerar que es muy organizada, por otra parte el FRE del Valle del Cauca que indica inconformidad en el uso porque consideran que el mismo implica un extenso proceso precontractual y esto puede ser ineficiente y poco intuitivo. El FRE Meta afirma que en la plataforma existen factores que tardan en actualizarse como por ejemplo firmas de la secretaría de salud o incongruencias en el despacho de medicamentos comprados, y el FRE de Santander menciona que los precios en la plataforma suelen encontrarse desactualizados respecto a los del FNE.</w:t>
      </w:r>
    </w:p>
    <w:p>
      <w:pPr>
        <w:pStyle w:val="BodyText"/>
      </w:pPr>
      <w:r>
        <w:t xml:space="preserve">Si bien el uso del Instrumento de Agregación de Demanda de precios dispuesto por Colombia Compra Eficiente para la adquisición de MME por parte de los FRE es de obligatoriedad, según la Circular Externa 005 de 2019 emitida por el FNE</w:t>
      </w:r>
      <w:hyperlink w:anchor="ref-FNE005-2019">
        <w:r>
          <w:rPr>
            <w:rStyle w:val="Hyperlink"/>
            <w:vertAlign w:val="superscript"/>
          </w:rPr>
          <w:t xml:space="preserve">9</w:t>
        </w:r>
      </w:hyperlink>
      <w:r>
        <w:t xml:space="preserve">, no todos llevan a cabo este proceso. Un caso podría ser el FRE Guainía que no ha utilizado la plataforma por falta de conocimiento sobre la misma y tiempo para capacitar a su personal respecto a ello, o el FRE Meta que expresa varias inconformidades sobre el uso de esta.</w:t>
      </w:r>
    </w:p>
    <w:p>
      <w:pPr>
        <w:pStyle w:val="BodyText"/>
      </w:pPr>
      <w:r>
        <w:t xml:space="preserve">De otra parte, es necesario mencionar que, si bien casi todos los departamentos hacen uso de la plataforma, este proceso no siempre está a cargo del FRE, como en el caso del departamento del Atlántico, donde el proceso se lleva a través de Secretaría General y por ello su percepción sobre la misma es</w:t>
      </w:r>
      <w:r>
        <w:t xml:space="preserve"> </w:t>
      </w:r>
      <w:r>
        <w:rPr>
          <w:iCs/>
          <w:i/>
        </w:rPr>
        <w:t xml:space="preserve">“</w:t>
      </w:r>
      <w:r>
        <w:rPr>
          <w:iCs/>
          <w:i/>
        </w:rPr>
        <w:t xml:space="preserve">ni conforme ni inconforme</w:t>
      </w:r>
      <w:r>
        <w:rPr>
          <w:iCs/>
          <w:i/>
        </w:rPr>
        <w:t xml:space="preserve">”</w:t>
      </w:r>
      <w:r>
        <w:t xml:space="preserve">. Es así como en la Figura</w:t>
      </w:r>
      <w:r>
        <w:t xml:space="preserve"> </w:t>
      </w:r>
      <w:r>
        <w:t xml:space="preserve">6.5</w:t>
      </w:r>
      <w:r>
        <w:t xml:space="preserve"> </w:t>
      </w:r>
      <w:r>
        <w:t xml:space="preserve">se identifica como la segunda respuesta más frecuente</w:t>
      </w:r>
      <w:r>
        <w:t xml:space="preserve"> </w:t>
      </w:r>
      <w:r>
        <w:rPr>
          <w:iCs/>
          <w:i/>
        </w:rPr>
        <w:t xml:space="preserve">“</w:t>
      </w:r>
      <w:r>
        <w:rPr>
          <w:iCs/>
          <w:i/>
        </w:rPr>
        <w:t xml:space="preserve">Ni conforme ni inconforme</w:t>
      </w:r>
      <w:r>
        <w:rPr>
          <w:iCs/>
          <w:i/>
        </w:rPr>
        <w:t xml:space="preserve">”</w:t>
      </w:r>
      <w:r>
        <w:t xml:space="preserve"> </w:t>
      </w:r>
      <w:r>
        <w:t xml:space="preserve">con el uso de esta plataforma. De otra parte, el FRE Putumayo comenta que el uso de la plataforma depende en gran medida de otras áreas de la gobernación, evidenciando varias dificultades en su uso y aumentando el tiempo en los procesos de contratación.</w:t>
      </w:r>
    </w:p>
    <w:p>
      <w:pPr>
        <w:pStyle w:val="CaptionedFigure"/>
      </w:pPr>
      <w:r>
        <w:drawing>
          <wp:inline>
            <wp:extent cx="5334000" cy="4000500"/>
            <wp:effectExtent b="0" l="0" r="0" t="0"/>
            <wp:docPr descr="Figura 6.5: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0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04" w:name="fig31"/>
      <w:r>
        <w:t xml:space="preserve">Figure </w:t>
      </w:r>
      <w:fldSimple w:instr="SEQ Figure \* ARABIC ">
        <w:r>
          <w:t>31</w:t>
        </w:r>
      </w:fldSimple>
      <w:r>
        <w:t xml:space="preserve">:</w:t>
      </w:r>
      <w:r>
        <w:t xml:space="preserve"> </w:t>
      </w:r>
      <w:bookmarkEnd w:id="104"/>
      <w:r>
        <w:t xml:space="preserve">Figura 6.5: Opinión sobre la plataforma Colombia Compra Eficiente</w:t>
      </w:r>
    </w:p>
    <w:p>
      <w:pPr>
        <w:pStyle w:val="BodyText"/>
      </w:pPr>
      <w:r>
        <w:t xml:space="preserve">En algunos casos, los FRE manifestaron la necesidad de recibir capacitación sobre el uso de esta herramienta, pues el desconocimiento sobre la misma por parte del personal puede ocasionar demoras en el proceso de compra de MME, como ocurre en el caso del FRE Sucre que si bien tienen un método eficiente para realizar la estimación de compra, se ve retrasado en la etapa que implica el uso de esta plataforma.</w:t>
      </w:r>
    </w:p>
    <w:bookmarkEnd w:id="105"/>
    <w:bookmarkStart w:id="110" w:name="comportamiento-de-compra-de-fre"/>
    <w:p>
      <w:pPr>
        <w:pStyle w:val="Heading3"/>
      </w:pPr>
      <w:r>
        <w:rPr>
          <w:rStyle w:val="SectionNumber"/>
        </w:rPr>
        <w:t xml:space="preserve">6.1.5</w:t>
      </w:r>
      <w:r>
        <w:tab/>
      </w:r>
      <w:r>
        <w:t xml:space="preserve">Comportamiento de compra de FRE</w:t>
      </w:r>
    </w:p>
    <w:p>
      <w:pPr>
        <w:pStyle w:val="FirstParagraph"/>
      </w:pPr>
      <w:r>
        <w:t xml:space="preserve">La frecuencia de las compras de MME al FNE en el año también depende de varios factores como: (a) cantidad requerida de estos bienes por cada departamento, (b) presupuesto asignado por las gobernaciones a los FRE y (c) capacidad de satisfacer la demanda de los medicamentos por parte del FNE (ver Figura</w:t>
      </w:r>
      <w:r>
        <w:t xml:space="preserve"> </w:t>
      </w:r>
      <w:r>
        <w:t xml:space="preserve">6.6</w:t>
      </w:r>
      <w:r>
        <w:t xml:space="preserve">).</w:t>
      </w:r>
    </w:p>
    <w:p>
      <w:pPr>
        <w:pStyle w:val="BodyText"/>
      </w:pPr>
      <w:r>
        <w:t xml:space="preserve">Los FRE con demandas pequeñas de medicamentos, como es el caso de Choco, Guainía y Amazonas, la compra se hace una vez al año, a menos que enfrenten casos de desabastecimiento por causas fortuitas como lo fue la situación de Emergencia Sanitaria por la pandemia de coronavirus. Los departamentos con mayor población y necesidad de medicamentos se ven en la obligación de realizar varias compras en el año como es el caso del departamento de Antioquia cuya intención es realizar compras proyectando un abastecimiento de tres meses, sin embargo, manifiesta que el proceso se ve entorpecido por el bajo nivel de servicio relacionado a la disponibilidad de medicamentos en el FNE que le permitan satisfacer su demanda. Se presenta un caso similar para el FRE Santander, donde también afirman que la disponibilidad de medicamentos por parte del FNE es muy poca para cubrir la demanda de su departamento, por lo que obligatoriamente deben autorizar a las IPS y demás a hacer compras directas al FNE.</w:t>
      </w:r>
    </w:p>
    <w:p>
      <w:pPr>
        <w:pStyle w:val="BodyText"/>
      </w:pPr>
      <w:r>
        <w:t xml:space="preserve">Por otra parte, hay departamentos donde la frecuencia de las compras y las cantidades de esta depende del presupuesto asignado por la gobernación, como es el caso de Guainía y Putumayo, este último indica que la demanda de MME en su territorio es más alta de la que se puede cubrir por limitaciones presupuestales.</w:t>
      </w:r>
    </w:p>
    <w:p>
      <w:pPr>
        <w:pStyle w:val="BodyText"/>
      </w:pPr>
      <w:r>
        <w:t xml:space="preserve">Por su parte, otros territorios no pueden realizar las compras con las frecuencias que requieren por problemas administrativos o económicos de alguna índole que corresponden a la gobernación, como han manifestado los FRE de San Andrés, Atlántico y Huila.</w:t>
      </w:r>
    </w:p>
    <w:p>
      <w:pPr>
        <w:pStyle w:val="CaptionedFigure"/>
      </w:pPr>
      <w:r>
        <w:drawing>
          <wp:inline>
            <wp:extent cx="5334000" cy="3556000"/>
            <wp:effectExtent b="0" l="0" r="0" t="0"/>
            <wp:docPr descr="Figura 6.6: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0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7" w:name="fig32"/>
      <w:r>
        <w:t xml:space="preserve">Figure </w:t>
      </w:r>
      <w:fldSimple w:instr="SEQ Figure \* ARABIC ">
        <w:r>
          <w:t>32</w:t>
        </w:r>
      </w:fldSimple>
      <w:r>
        <w:t xml:space="preserve">:</w:t>
      </w:r>
      <w:r>
        <w:t xml:space="preserve"> </w:t>
      </w:r>
      <w:bookmarkEnd w:id="107"/>
      <w:r>
        <w:t xml:space="preserve">Figura 6.6: Frecuencia de compras de medicamentos por año al FNE</w:t>
      </w:r>
    </w:p>
    <w:p>
      <w:pPr>
        <w:pStyle w:val="BodyText"/>
      </w:pPr>
      <w:r>
        <w:t xml:space="preserve">La venta de MME a instituciones en los departamentos se da según lo establecido por cada FRE y las necesidades de cada departamento, p.ej. en el departamento de Vaupés cuyo abastecimiento se enfoca en satisfacer la demanda del Hospital, no se realiza venta a otras IPS y por lo tanto ni si quiera tienen necesidad de almacenar los medicamentos en el FRE, las compras se destinan inmediatamente al Hospital. Se presenta un caso diferente en departamentos con mayor población y necesidad de medicamentos como Risaralda donde la venta de MME es frecuente, sin embargo, se ha establecido a las IPS que deben proyectar sus necesidades mensualmente.</w:t>
      </w:r>
    </w:p>
    <w:p>
      <w:pPr>
        <w:pStyle w:val="CaptionedFigure"/>
      </w:pPr>
      <w:r>
        <w:drawing>
          <wp:inline>
            <wp:extent cx="5334000" cy="3556000"/>
            <wp:effectExtent b="0" l="0" r="0" t="0"/>
            <wp:docPr descr="Figura 6.7: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0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9" w:name="fig33"/>
      <w:r>
        <w:t xml:space="preserve">Figure </w:t>
      </w:r>
      <w:fldSimple w:instr="SEQ Figure \* ARABIC ">
        <w:r>
          <w:t>33</w:t>
        </w:r>
      </w:fldSimple>
      <w:r>
        <w:t xml:space="preserve">:</w:t>
      </w:r>
      <w:r>
        <w:t xml:space="preserve"> </w:t>
      </w:r>
      <w:bookmarkEnd w:id="109"/>
      <w:r>
        <w:t xml:space="preserve">Figura 6.7: Frecuencia de venta de MME a instituciones en el departamento</w:t>
      </w:r>
    </w:p>
    <w:p>
      <w:pPr>
        <w:pStyle w:val="BodyText"/>
      </w:pPr>
      <w:r>
        <w:t xml:space="preserve">En el departamento del Atlántico antes de la pandemia la venta de medicamentos se hacía diariamente, sin embargo, por la contingencia en salud se decidió que solo se despachan medicamentos dos días a la semana. Otro departamento que hace venta diaria de MME es Choco y afirma que las necesidades de MME pueden variar en el departamento gracias al traslado no esperado de pacientes de zonas muy distantes a las capitales de los departamentos de Antioquia y Valle del Cauca.</w:t>
      </w:r>
    </w:p>
    <w:bookmarkEnd w:id="110"/>
    <w:bookmarkEnd w:id="111"/>
    <w:bookmarkStart w:id="120" w:name="recepción-de-medicamentos"/>
    <w:p>
      <w:pPr>
        <w:pStyle w:val="Heading2"/>
      </w:pPr>
      <w:r>
        <w:rPr>
          <w:rStyle w:val="SectionNumber"/>
        </w:rPr>
        <w:t xml:space="preserve">6.2</w:t>
      </w:r>
      <w:r>
        <w:tab/>
      </w:r>
      <w:r>
        <w:t xml:space="preserve">Recepción de medicamentos</w:t>
      </w:r>
    </w:p>
    <w:p>
      <w:pPr>
        <w:pStyle w:val="CaptionedFigure"/>
      </w:pPr>
      <w:r>
        <w:drawing>
          <wp:inline>
            <wp:extent cx="5334000" cy="4000500"/>
            <wp:effectExtent b="0" l="0" r="0" t="0"/>
            <wp:docPr descr="Figura 6.8: Tiempos en la recepción técnica y almacenamiento de MME" title="" id="1" name="Picture"/>
            <a:graphic>
              <a:graphicData uri="http://schemas.openxmlformats.org/drawingml/2006/picture">
                <pic:pic>
                  <pic:nvPicPr>
                    <pic:cNvPr descr="InformeFinal_files/figure-docx/TiemposRecepcionAlmacenamiento-1.png" id="0" name="Picture"/>
                    <pic:cNvPicPr>
                      <a:picLocks noChangeArrowheads="1" noChangeAspect="1"/>
                    </pic:cNvPicPr>
                  </pic:nvPicPr>
                  <pic:blipFill>
                    <a:blip r:embed="rId11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3" w:name="fig34"/>
      <w:r>
        <w:t xml:space="preserve">Figure </w:t>
      </w:r>
      <w:fldSimple w:instr="SEQ Figure \* ARABIC ">
        <w:r>
          <w:t>34</w:t>
        </w:r>
      </w:fldSimple>
      <w:r>
        <w:t xml:space="preserve">:</w:t>
      </w:r>
      <w:r>
        <w:t xml:space="preserve"> </w:t>
      </w:r>
      <w:bookmarkEnd w:id="113"/>
      <w:r>
        <w:t xml:space="preserve">Figura 6.8: Tiempos en la recepción técnica y almacenamiento de MME</w:t>
      </w:r>
    </w:p>
    <w:p>
      <w:pPr>
        <w:pStyle w:val="CaptionedFigure"/>
      </w:pPr>
      <w:r>
        <w:drawing>
          <wp:inline>
            <wp:extent cx="5334000" cy="4000500"/>
            <wp:effectExtent b="0" l="0" r="0" t="0"/>
            <wp:docPr descr="Figura 6.9: Tiempos en la recepción técnica y almacenamiento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1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5" w:name="fig35"/>
      <w:r>
        <w:t xml:space="preserve">Figure </w:t>
      </w:r>
      <w:fldSimple w:instr="SEQ Figure \* ARABIC ">
        <w:r>
          <w:t>35</w:t>
        </w:r>
      </w:fldSimple>
      <w:r>
        <w:t xml:space="preserve">:</w:t>
      </w:r>
      <w:r>
        <w:t xml:space="preserve"> </w:t>
      </w:r>
      <w:bookmarkEnd w:id="115"/>
      <w:r>
        <w:t xml:space="preserve">Figura 6.9: Tiempos en la recepción técnica y almacenamiento de MME</w:t>
      </w:r>
    </w:p>
    <w:p>
      <w:pPr>
        <w:pStyle w:val="CaptionedFigure"/>
      </w:pPr>
      <w:r>
        <w:drawing>
          <wp:inline>
            <wp:extent cx="5334000" cy="4000500"/>
            <wp:effectExtent b="0" l="0" r="0" t="0"/>
            <wp:docPr descr="Figura 6.10: Tiempos en la recepción técnica y almacenamiento de MME (mapa)" title="" id="1" name="Picture"/>
            <a:graphic>
              <a:graphicData uri="http://schemas.openxmlformats.org/drawingml/2006/picture">
                <pic:pic>
                  <pic:nvPicPr>
                    <pic:cNvPr descr="InformeFinal_files/figure-docx/TiemposRecepcionAlmacenamientoMapa-1.png" id="0" name="Picture"/>
                    <pic:cNvPicPr>
                      <a:picLocks noChangeArrowheads="1" noChangeAspect="1"/>
                    </pic:cNvPicPr>
                  </pic:nvPicPr>
                  <pic:blipFill>
                    <a:blip r:embed="rId11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7" w:name="fig36"/>
      <w:r>
        <w:t xml:space="preserve">Figure </w:t>
      </w:r>
      <w:fldSimple w:instr="SEQ Figure \* ARABIC ">
        <w:r>
          <w:t>36</w:t>
        </w:r>
      </w:fldSimple>
      <w:r>
        <w:t xml:space="preserve">:</w:t>
      </w:r>
      <w:r>
        <w:t xml:space="preserve"> </w:t>
      </w:r>
      <w:bookmarkEnd w:id="117"/>
      <w:r>
        <w:t xml:space="preserve">Figura 6.10: Tiempos en la recepción técnica y almacenamiento de MME (mapa)</w:t>
      </w:r>
    </w:p>
    <w:p>
      <w:pPr>
        <w:pStyle w:val="CaptionedFigure"/>
      </w:pPr>
      <w:r>
        <w:drawing>
          <wp:inline>
            <wp:extent cx="5334000" cy="3556000"/>
            <wp:effectExtent b="0" l="0" r="0" t="0"/>
            <wp:docPr descr="Figura 6.11: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1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9" w:name="fig37"/>
      <w:r>
        <w:t xml:space="preserve">Figure </w:t>
      </w:r>
      <w:fldSimple w:instr="SEQ Figure \* ARABIC ">
        <w:r>
          <w:t>37</w:t>
        </w:r>
      </w:fldSimple>
      <w:r>
        <w:t xml:space="preserve">:</w:t>
      </w:r>
      <w:r>
        <w:t xml:space="preserve"> </w:t>
      </w:r>
      <w:bookmarkEnd w:id="119"/>
      <w:r>
        <w:t xml:space="preserve">Figura 6.11: Uso de niveles de seguridad del inventarios</w:t>
      </w:r>
    </w:p>
    <w:bookmarkEnd w:id="120"/>
    <w:bookmarkStart w:id="142" w:name="almacenamiento"/>
    <w:p>
      <w:pPr>
        <w:pStyle w:val="Heading2"/>
      </w:pPr>
      <w:r>
        <w:rPr>
          <w:rStyle w:val="SectionNumber"/>
        </w:rPr>
        <w:t xml:space="preserve">6.3</w:t>
      </w:r>
      <w:r>
        <w:tab/>
      </w:r>
      <w:r>
        <w:t xml:space="preserve">Almacenamiento</w:t>
      </w:r>
    </w:p>
    <w:bookmarkStart w:id="123" w:name="Xa9baf659ea1be69c2d279b5cca6283251b5fdeb"/>
    <w:p>
      <w:pPr>
        <w:pStyle w:val="Heading3"/>
      </w:pPr>
      <w:r>
        <w:rPr>
          <w:rStyle w:val="SectionNumber"/>
        </w:rPr>
        <w:t xml:space="preserve">6.3.1</w:t>
      </w:r>
      <w:r>
        <w:tab/>
      </w:r>
      <w:r>
        <w:t xml:space="preserve">Medidas de seguridad para el almacenamiento</w:t>
      </w:r>
    </w:p>
    <w:p>
      <w:pPr>
        <w:pStyle w:val="FirstParagraph"/>
      </w:pPr>
      <w:r>
        <w:t xml:space="preserve">En la Figura</w:t>
      </w:r>
      <w:r>
        <w:t xml:space="preserve"> </w:t>
      </w:r>
      <w:r>
        <w:t xml:space="preserve">6.12</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4000500"/>
            <wp:effectExtent b="0" l="0" r="0" t="0"/>
            <wp:docPr descr="Figura 6.12: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2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2" w:name="fig38"/>
      <w:r>
        <w:t xml:space="preserve">Figure </w:t>
      </w:r>
      <w:fldSimple w:instr="SEQ Figure \* ARABIC ">
        <w:r>
          <w:t>38</w:t>
        </w:r>
      </w:fldSimple>
      <w:r>
        <w:t xml:space="preserve">:</w:t>
      </w:r>
      <w:r>
        <w:t xml:space="preserve"> </w:t>
      </w:r>
      <w:bookmarkEnd w:id="122"/>
      <w:r>
        <w:t xml:space="preserve">Figura 6.12: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23"/>
    <w:bookmarkStart w:id="127" w:name="revisión-de-condiciones-ambientales"/>
    <w:p>
      <w:pPr>
        <w:pStyle w:val="Heading3"/>
      </w:pPr>
      <w:r>
        <w:rPr>
          <w:rStyle w:val="SectionNumber"/>
        </w:rPr>
        <w:t xml:space="preserve">6.3.2</w:t>
      </w:r>
      <w:r>
        <w:tab/>
      </w:r>
      <w:r>
        <w:t xml:space="preserve">Revisión de condiciones ambientales</w:t>
      </w:r>
    </w:p>
    <w:p>
      <w:pPr>
        <w:pStyle w:val="FirstParagraph"/>
      </w:pPr>
      <w:r>
        <w:t xml:space="preserve">En la Figura</w:t>
      </w:r>
      <w:r>
        <w:t xml:space="preserve"> </w:t>
      </w:r>
      <w:r>
        <w:t xml:space="preserve">6.13</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13: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2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5" w:name="fig39"/>
      <w:r>
        <w:t xml:space="preserve">Figure </w:t>
      </w:r>
      <w:fldSimple w:instr="SEQ Figure \* ARABIC ">
        <w:r>
          <w:t>39</w:t>
        </w:r>
      </w:fldSimple>
      <w:r>
        <w:t xml:space="preserve">:</w:t>
      </w:r>
      <w:r>
        <w:t xml:space="preserve"> </w:t>
      </w:r>
      <w:bookmarkEnd w:id="125"/>
      <w:r>
        <w:t xml:space="preserve">Figura 6.13: Frecuencia de revisión de condiciones ambientales</w:t>
      </w:r>
    </w:p>
    <w:p>
      <w:pPr>
        <w:pStyle w:val="BodyText"/>
      </w:pPr>
      <w:r>
        <w:t xml:space="preserve">En el panel izquierdo de la Figura</w:t>
      </w:r>
      <w:r>
        <w:t xml:space="preserve"> </w:t>
      </w:r>
      <w:r>
        <w:t xml:space="preserve">6.14</w:t>
      </w:r>
      <w:r>
        <w:t xml:space="preserve"> </w:t>
      </w:r>
      <w:r>
        <w:t xml:space="preserve">se presentan los métodos o tecnologías utilizadas en la monitorización de los medicamentos. En la Figura</w:t>
      </w:r>
      <w:r>
        <w:t xml:space="preserve"> </w:t>
      </w:r>
      <w:r>
        <w:t xml:space="preserve">6.14</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4: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26"/>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6.14</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27"/>
    <w:bookmarkStart w:id="133" w:name="espacio-de-almacenamiento"/>
    <w:p>
      <w:pPr>
        <w:pStyle w:val="Heading3"/>
      </w:pPr>
      <w:r>
        <w:rPr>
          <w:rStyle w:val="SectionNumber"/>
        </w:rPr>
        <w:t xml:space="preserve">6.3.3</w:t>
      </w:r>
      <w:r>
        <w:tab/>
      </w:r>
      <w:r>
        <w:t xml:space="preserve">Espacio de almacenamiento</w:t>
      </w:r>
    </w:p>
    <w:p>
      <w:pPr>
        <w:pStyle w:val="FirstParagraph"/>
      </w:pPr>
      <w:r>
        <w:t xml:space="preserve">En la Figura</w:t>
      </w:r>
      <w:r>
        <w:t xml:space="preserve"> </w:t>
      </w:r>
      <w:r>
        <w:t xml:space="preserve">6.15</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1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28"/>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6.16</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3556000"/>
            <wp:effectExtent b="0" l="0" r="0" t="0"/>
            <wp:docPr descr="Figura 6.16: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2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0" w:name="fig40"/>
      <w:r>
        <w:t xml:space="preserve">Figure </w:t>
      </w:r>
      <w:fldSimple w:instr="SEQ Figure \* ARABIC ">
        <w:r>
          <w:t>40</w:t>
        </w:r>
      </w:fldSimple>
      <w:r>
        <w:t xml:space="preserve">:</w:t>
      </w:r>
      <w:r>
        <w:t xml:space="preserve"> </w:t>
      </w:r>
      <w:bookmarkEnd w:id="130"/>
      <w:r>
        <w:t xml:space="preserve">Figura 6.16: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10</w:t>
        </w:r>
      </w:hyperlink>
      <w:r>
        <w:t xml:space="preserve">.</w:t>
      </w:r>
      <w:r>
        <w:t xml:space="preserve"> </w:t>
      </w:r>
      <w:r>
        <w:t xml:space="preserve">En la Figura</w:t>
      </w:r>
      <w:r>
        <w:t xml:space="preserve"> </w:t>
      </w:r>
      <w:r>
        <w:t xml:space="preserve">6.17</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1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3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32" w:name="fig41"/>
      <w:r>
        <w:t xml:space="preserve">Figure </w:t>
      </w:r>
      <w:fldSimple w:instr="SEQ Figure \* ARABIC ">
        <w:r>
          <w:t>41</w:t>
        </w:r>
      </w:fldSimple>
      <w:r>
        <w:t xml:space="preserve">:</w:t>
      </w:r>
      <w:r>
        <w:t xml:space="preserve"> </w:t>
      </w:r>
      <w:bookmarkEnd w:id="132"/>
      <w:r>
        <w:t xml:space="preserve">Figura 6.17: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33"/>
    <w:bookmarkStart w:id="138" w:name="control-de-fechas-de-vencimiento"/>
    <w:p>
      <w:pPr>
        <w:pStyle w:val="Heading3"/>
      </w:pPr>
      <w:r>
        <w:rPr>
          <w:rStyle w:val="SectionNumber"/>
        </w:rPr>
        <w:t xml:space="preserve">6.3.4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11</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11</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12</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14"/>
        </w:numPr>
        <w:pStyle w:val="Compact"/>
      </w:pPr>
      <w:r>
        <w:t xml:space="preserve">Rojo: medicamento que se encuentra próximo a vencer.</w:t>
      </w:r>
    </w:p>
    <w:p>
      <w:pPr>
        <w:numPr>
          <w:ilvl w:val="0"/>
          <w:numId w:val="1014"/>
        </w:numPr>
        <w:pStyle w:val="Compact"/>
      </w:pPr>
      <w:r>
        <w:t xml:space="preserve">Amarillo: medicamento que se encuentra en riesgo moderado de vencimiento.</w:t>
      </w:r>
    </w:p>
    <w:p>
      <w:pPr>
        <w:numPr>
          <w:ilvl w:val="0"/>
          <w:numId w:val="1014"/>
        </w:numPr>
        <w:pStyle w:val="Compact"/>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BodyText"/>
      </w:pPr>
      <w:r>
        <w:t xml:space="preserve">En la Figura</w:t>
      </w:r>
      <w:r>
        <w:t xml:space="preserve"> </w:t>
      </w:r>
      <w:r>
        <w:t xml:space="preserve">6.18</w:t>
      </w:r>
      <w:r>
        <w:t xml:space="preserve"> </w:t>
      </w:r>
      <w:r>
        <w:t xml:space="preserve">se observa que el 71% de los FRE han presentado casos de medicamentos vencidos lo que constituye a 22 de 31 FRE existentes en el país, y esto indica que los vencimientos son una situación frecuente para los FRE.</w:t>
      </w:r>
    </w:p>
    <w:p>
      <w:pPr>
        <w:pStyle w:val="CaptionedFigure"/>
      </w:pPr>
      <w:r>
        <w:drawing>
          <wp:inline>
            <wp:extent cx="5334000" cy="3556000"/>
            <wp:effectExtent b="0" l="0" r="0" t="0"/>
            <wp:docPr descr="Figura 6.18: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3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5" w:name="fig42"/>
      <w:r>
        <w:t xml:space="preserve">Figure </w:t>
      </w:r>
      <w:fldSimple w:instr="SEQ Figure \* ARABIC ">
        <w:r>
          <w:t>42</w:t>
        </w:r>
      </w:fldSimple>
      <w:r>
        <w:t xml:space="preserve">:</w:t>
      </w:r>
      <w:r>
        <w:t xml:space="preserve"> </w:t>
      </w:r>
      <w:bookmarkEnd w:id="135"/>
      <w:r>
        <w:t xml:space="preserve">Figura 6.18: Presentación de casos de vencimiento de MME</w:t>
      </w:r>
    </w:p>
    <w:p>
      <w:pPr>
        <w:pStyle w:val="BodyText"/>
      </w:pPr>
      <w:r>
        <w:t xml:space="preserve">En la Figura</w:t>
      </w:r>
      <w:r>
        <w:t xml:space="preserve"> </w:t>
      </w:r>
      <w:r>
        <w:t xml:space="preserve">6.19</w:t>
      </w:r>
      <w:r>
        <w:t xml:space="preserve"> </w:t>
      </w:r>
      <w:r>
        <w:t xml:space="preserve">se muestran los medicamentos más involucrados en casos de vencimientos. En primer lugar, se tiene al Metilfenidato Tableta x 10 mg ya que 13 de los 31 FRE han presentado vencimientos relacionados a este producto. La razón para estos vencimientos podría deberse a varios factores como:</w:t>
      </w:r>
    </w:p>
    <w:p>
      <w:pPr>
        <w:numPr>
          <w:ilvl w:val="0"/>
          <w:numId w:val="1015"/>
        </w:numPr>
        <w:pStyle w:val="Compact"/>
      </w:pPr>
      <w:r>
        <w:t xml:space="preserve">El producto cuenta con una vida útil de 18 meses.</w:t>
      </w:r>
    </w:p>
    <w:p>
      <w:pPr>
        <w:numPr>
          <w:ilvl w:val="0"/>
          <w:numId w:val="1015"/>
        </w:numPr>
        <w:pStyle w:val="Compact"/>
      </w:pPr>
      <w:r>
        <w:t xml:space="preserve">Este medicamento es importado y en ocasiones la casa matriz entrega el producto con una vida útil efectiva menor a los 18 meses mencionados.- Debido a la emergencia sanitaria producida por el coronavirus se ha presentado una contracción importante de la demanda que se encuentra posiblemente relacionada a los cambios en la movilidad de los ciudadanos y las restricciones de presencialidad en instituciones escolares.</w:t>
      </w:r>
    </w:p>
    <w:p>
      <w:pPr>
        <w:pStyle w:val="FirstParagraph"/>
      </w:pPr>
      <w:r>
        <w:t xml:space="preserve">El segundo medicamento más involucrado en casos de vencimiento es Primidona Tableta x 250 mg debido a que 4 de los 31 FRE reportan casos de vencimientos, seguido de los vencimientos de Meperidina de 100mg/2mL, Fenobarbital Solución inyectable x 40 mg/mL y Fenobarbital Solución inyectable x 200 mg/mL que fueron reportados por 3 de 31 FREs a nivel nacional que se puede explicar debido a que son productos de baja rotación, y es posible que los FRE no hayan recibido una adecuada asistencia por parte del FNE para el manejo de ítems de este tipo.</w:t>
      </w:r>
    </w:p>
    <w:p>
      <w:pPr>
        <w:pStyle w:val="CaptionedFigure"/>
      </w:pPr>
      <w:r>
        <w:drawing>
          <wp:inline>
            <wp:extent cx="5334000" cy="3556000"/>
            <wp:effectExtent b="0" l="0" r="0" t="0"/>
            <wp:docPr descr="Figura 6.19: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7" w:name="fig43"/>
      <w:r>
        <w:t xml:space="preserve">Figure </w:t>
      </w:r>
      <w:fldSimple w:instr="SEQ Figure \* ARABIC ">
        <w:r>
          <w:t>43</w:t>
        </w:r>
      </w:fldSimple>
      <w:r>
        <w:t xml:space="preserve">:</w:t>
      </w:r>
      <w:r>
        <w:t xml:space="preserve"> </w:t>
      </w:r>
      <w:bookmarkEnd w:id="137"/>
      <w:r>
        <w:t xml:space="preserve">Figura 6.19: Medicamentos implicados en casos de vencimiento de MME</w:t>
      </w:r>
    </w:p>
    <w:bookmarkEnd w:id="138"/>
    <w:bookmarkStart w:id="141" w:name="transporte"/>
    <w:p>
      <w:pPr>
        <w:pStyle w:val="Heading3"/>
      </w:pPr>
      <w:r>
        <w:rPr>
          <w:rStyle w:val="SectionNumber"/>
        </w:rPr>
        <w:t xml:space="preserve">6.3.5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El FNE contrata a una empresa especializada en distribución logística de mercancías y bienes para la entrega del producto a nivel nacional.</w:t>
      </w:r>
    </w:p>
    <w:p>
      <w:pPr>
        <w:pStyle w:val="BodyText"/>
      </w:pPr>
      <w:r>
        <w:t xml:space="preserve">En la Figura</w:t>
      </w:r>
      <w:r>
        <w:t xml:space="preserve"> </w:t>
      </w:r>
      <w:r>
        <w:t xml:space="preserve">6.20</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3556000"/>
            <wp:effectExtent b="0" l="0" r="0" t="0"/>
            <wp:docPr descr="Figura 6.20: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3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0" w:name="fig44"/>
      <w:r>
        <w:t xml:space="preserve">Figure </w:t>
      </w:r>
      <w:fldSimple w:instr="SEQ Figure \* ARABIC ">
        <w:r>
          <w:t>44</w:t>
        </w:r>
      </w:fldSimple>
      <w:r>
        <w:t xml:space="preserve">:</w:t>
      </w:r>
      <w:r>
        <w:t xml:space="preserve"> </w:t>
      </w:r>
      <w:bookmarkEnd w:id="140"/>
      <w:r>
        <w:t xml:space="preserve">Figura 6.20: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41"/>
    <w:bookmarkEnd w:id="142"/>
    <w:bookmarkStart w:id="150" w:name="precio-de-medicamentos"/>
    <w:p>
      <w:pPr>
        <w:pStyle w:val="Heading2"/>
      </w:pPr>
      <w:r>
        <w:rPr>
          <w:rStyle w:val="SectionNumber"/>
        </w:rPr>
        <w:t xml:space="preserve">6.4</w:t>
      </w:r>
      <w:r>
        <w:tab/>
      </w:r>
      <w:r>
        <w:t xml:space="preserve">Precio de medicamentos</w:t>
      </w:r>
    </w:p>
    <w:p>
      <w:pPr>
        <w:pStyle w:val="FirstParagraph"/>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y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6.21</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 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1: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4" w:name="fig45"/>
      <w:r>
        <w:t xml:space="preserve">Figure </w:t>
      </w:r>
      <w:fldSimple w:instr="SEQ Figure \* ARABIC ">
        <w:r>
          <w:t>45</w:t>
        </w:r>
      </w:fldSimple>
      <w:r>
        <w:t xml:space="preserve">:</w:t>
      </w:r>
      <w:r>
        <w:t xml:space="preserve"> </w:t>
      </w:r>
      <w:bookmarkEnd w:id="144"/>
      <w:r>
        <w:t xml:space="preserve">Figura 6.21: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m:t>
        </m:r>
        <m:r>
          <m:rPr>
            <m:sty m:val="p"/>
          </m:rPr>
          <m:t>,</m:t>
        </m:r>
        <m:r>
          <m:t>000</m:t>
        </m:r>
      </m:oMath>
      <w:r>
        <w:t xml:space="preserve"> </w:t>
      </w:r>
      <w:r>
        <w:t xml:space="preserve">a</w:t>
      </w:r>
      <w:r>
        <w:t xml:space="preserve"> </w:t>
      </w:r>
      <m:oMath>
        <m:r>
          <m:rPr>
            <m:sty m:val="p"/>
          </m:rPr>
          <m:t>$</m:t>
        </m:r>
        <m:r>
          <m:t>150</m:t>
        </m:r>
        <m:r>
          <m:rPr>
            <m:sty m:val="p"/>
          </m:rPr>
          <m:t>,</m:t>
        </m:r>
        <m:r>
          <m:t>000</m:t>
        </m:r>
      </m:oMath>
      <w:r>
        <w:t xml:space="preserve">, mientras que en la línea de narcóticos se tiene al producto importado de Metadona tabletas 40mg como el más costoso (con precios que rondan</w:t>
      </w:r>
      <w:r>
        <w:t xml:space="preserve"> </w:t>
      </w:r>
      <m:oMath>
        <m:r>
          <m:rPr>
            <m:sty m:val="p"/>
          </m:rPr>
          <m:t>$</m:t>
        </m:r>
        <m:r>
          <m:t>100</m:t>
        </m:r>
        <m:r>
          <m:rPr>
            <m:sty m:val="p"/>
          </m:rPr>
          <m:t>,</m:t>
        </m:r>
        <m:r>
          <m:t>000</m:t>
        </m:r>
      </m:oMath>
      <w:r>
        <w:t xml:space="preserve"> </w:t>
      </w:r>
      <w:r>
        <w:t xml:space="preserve">y</w:t>
      </w:r>
      <w:r>
        <w:t xml:space="preserve"> </w:t>
      </w:r>
      <m:oMath>
        <m:r>
          <m:rPr>
            <m:sty m:val="p"/>
          </m:rPr>
          <m:t>$</m:t>
        </m:r>
        <m:r>
          <m:t>200</m:t>
        </m:r>
        <m:r>
          <m:rPr>
            <m:sty m:val="p"/>
          </m:rPr>
          <m:t>,</m:t>
        </m:r>
        <m:r>
          <m:t>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acc>
            <m:accPr>
              <m:chr m:val="́"/>
            </m:accPr>
            <m:e>
              <m:r>
                <m:rPr>
                  <m:sty m:val="p"/>
                </m:rPr>
                <m:t>a</m:t>
              </m:r>
            </m:e>
          </m:acc>
          <m:r>
            <m:rPr>
              <m:sty m:val="p"/>
            </m:rPr>
            <m:t>r</m:t>
          </m:r>
          <m:r>
            <m:rPr>
              <m:sty m:val="p"/>
            </m:rPr>
            <m:t>g</m:t>
          </m:r>
          <m:r>
            <m:rPr>
              <m:sty m:val="p"/>
            </m:rPr>
            <m:t>e</m:t>
          </m:r>
          <m:r>
            <m:rPr>
              <m:sty m:val="p"/>
            </m:rPr>
            <m:t>n</m:t>
          </m:r>
          <m:r>
            <m:rPr>
              <m:sty m:val="p"/>
            </m:rPr>
            <m:t>=</m:t>
          </m:r>
          <m:f>
            <m:fPr>
              <m:type m:val="bar"/>
            </m:fPr>
            <m:num>
              <m:r>
                <m:rPr>
                  <m:nor/>
                  <m:sty m:val="p"/>
                </m:rPr>
                <m:t>Precio de venta</m:t>
              </m:r>
            </m:num>
            <m:den>
              <m:r>
                <m:rPr>
                  <m:nor/>
                  <m:sty m:val="p"/>
                </m:rPr>
                <m:t>Precio de compra</m:t>
              </m:r>
            </m:den>
          </m:f>
        </m:oMath>
      </m:oMathPara>
    </w:p>
    <w:p>
      <w:pPr>
        <w:pStyle w:val="FirstParagraph"/>
      </w:pPr>
      <w:r>
        <w:t xml:space="preserve">En el panel A de la Figura</w:t>
      </w:r>
      <w:r>
        <w:t xml:space="preserve"> </w:t>
      </w:r>
      <w:r>
        <w:t xml:space="preserve">6.22</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2: Comparativo de márgenes de precio de venta en el departamento por medicamentos y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45"/>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46" w:name="fig46"/>
      <w:r>
        <w:t xml:space="preserve">Figure </w:t>
      </w:r>
      <w:fldSimple w:instr="SEQ Figure \* ARABIC ">
        <w:r>
          <w:t>46</w:t>
        </w:r>
      </w:fldSimple>
      <w:r>
        <w:t xml:space="preserve">:</w:t>
      </w:r>
      <w:r>
        <w:t xml:space="preserve"> </w:t>
      </w:r>
      <w:bookmarkEnd w:id="146"/>
      <w:r>
        <w:t xml:space="preserve">Figura 6.22: Comparativo de márgenes de precio de venta en el departamento por medicamentos y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6.22</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6.23</w:t>
      </w:r>
      <w:r>
        <w:t xml:space="preserve">) mediante regresión lineal. Parece existir una relación entre las dos variables, sin embargo la presencia de casos anómalos que se muestran como etiquetas en la figura evitan que haya la relación tenga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w:t>
      </w:r>
    </w:p>
    <w:p>
      <w:pPr>
        <w:pStyle w:val="CaptionedFigure"/>
      </w:pPr>
      <w:r>
        <w:drawing>
          <wp:inline>
            <wp:extent cx="5334000" cy="2933700"/>
            <wp:effectExtent b="0" l="0" r="0" t="0"/>
            <wp:docPr descr="Figura 6.23: Relación de márgen de ganancia y otras variable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47"/>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48" w:name="fig47"/>
      <w:r>
        <w:t xml:space="preserve">Figure </w:t>
      </w:r>
      <w:fldSimple w:instr="SEQ Figure \* ARABIC ">
        <w:r>
          <w:t>47</w:t>
        </w:r>
      </w:fldSimple>
      <w:r>
        <w:t xml:space="preserve">:</w:t>
      </w:r>
      <w:r>
        <w:t xml:space="preserve"> </w:t>
      </w:r>
      <w:bookmarkEnd w:id="148"/>
      <w:r>
        <w:t xml:space="preserve">Figura 6.23: Relación de márgen de ganancia y otras variables</w:t>
      </w:r>
    </w:p>
    <w:bookmarkStart w:id="149" w:name="recomendaciones-finales"/>
    <w:p>
      <w:pPr>
        <w:pStyle w:val="Heading3"/>
      </w:pPr>
      <w:r>
        <w:rPr>
          <w:rStyle w:val="SectionNumber"/>
        </w:rPr>
        <w:t xml:space="preserve">6.4.1</w:t>
      </w:r>
      <w:r>
        <w:tab/>
      </w:r>
      <w:r>
        <w:t xml:space="preserve">Recomendaciones finales</w:t>
      </w:r>
    </w:p>
    <w:p>
      <w:pPr>
        <w:numPr>
          <w:ilvl w:val="0"/>
          <w:numId w:val="1016"/>
        </w:numPr>
      </w:pPr>
      <w:r>
        <w:t xml:space="preserve">Se recomienda realizar ajustes en los esquemas de precios por parte del FNE para disminuir la utilización del canal de compra directa.</w:t>
      </w:r>
    </w:p>
    <w:p>
      <w:pPr>
        <w:numPr>
          <w:ilvl w:val="0"/>
          <w:numId w:val="1016"/>
        </w:numPr>
      </w:pPr>
      <w:r>
        <w:t xml:space="preserve">Se deben establecer mecanismos para la armonización de los precios de ventas de medicamentos de acuerdo a factores como distancia, costos de transporte o mantenimientos ya que los resultados no indican aumentos en los precios debido a este tipo de variables.</w:t>
      </w:r>
    </w:p>
    <w:bookmarkEnd w:id="149"/>
    <w:bookmarkEnd w:id="150"/>
    <w:bookmarkEnd w:id="151"/>
    <w:bookmarkStart w:id="162" w:name="ruta-tecnológica"/>
    <w:p>
      <w:pPr>
        <w:pStyle w:val="Heading1"/>
      </w:pPr>
      <w:r>
        <w:rPr>
          <w:rStyle w:val="SectionNumber"/>
        </w:rPr>
        <w:t xml:space="preserve">7</w:t>
      </w:r>
      <w:r>
        <w:tab/>
      </w:r>
      <w:r>
        <w:t xml:space="preserve">Ruta Tecnológica</w:t>
      </w:r>
    </w:p>
    <w:p>
      <w:pPr>
        <w:pStyle w:val="FirstParagraph"/>
      </w:pPr>
      <w:r>
        <w:t xml:space="preserve">De acuerdo a la Figura</w:t>
      </w:r>
      <w:r>
        <w:t xml:space="preserve"> </w:t>
      </w:r>
      <w:r>
        <w:t xml:space="preserve">7.1</w:t>
      </w:r>
      <w:r>
        <w:t xml:space="preserve"> </w:t>
      </w:r>
      <w:r>
        <w:t xml:space="preserve">se evidencia que los canales más frecuentes que manejan los FRE para comunicarse con los usuarios corresponden al teléfono y el correo electrónico. Incluso estos medios de comunicación toman mayor relevancia en estos tiempos actuales de distanciamiento por la pandemia reciente referente a la COVID-19. En ese orden de ideas, menos de la mitad de los FRE mantienen la atención presencial en el FRE y la correspondencia ya fue reemplazada por la digitalización y el correo electrónico. Esto podría demostrar cierta aceptabilidad, por parte del personal del FRE y los usuarios inscritos, por los medios digitales que han surgido en la actualidad.</w:t>
      </w:r>
    </w:p>
    <w:p>
      <w:pPr>
        <w:pStyle w:val="CaptionedFigure"/>
      </w:pPr>
      <w:r>
        <w:drawing>
          <wp:inline>
            <wp:extent cx="5334000" cy="3809999"/>
            <wp:effectExtent b="0" l="0" r="0" t="0"/>
            <wp:docPr descr="Figura 7.1: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5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53" w:name="fig48"/>
      <w:r>
        <w:t xml:space="preserve">Figure </w:t>
      </w:r>
      <w:fldSimple w:instr="SEQ Figure \* ARABIC ">
        <w:r>
          <w:t>48</w:t>
        </w:r>
      </w:fldSimple>
      <w:r>
        <w:t xml:space="preserve">:</w:t>
      </w:r>
      <w:r>
        <w:t xml:space="preserve"> </w:t>
      </w:r>
      <w:bookmarkEnd w:id="153"/>
      <w:r>
        <w:t xml:space="preserve">Figura 7.1: Canales de comunicación FRE con clientes</w:t>
      </w:r>
    </w:p>
    <w:p>
      <w:pPr>
        <w:pStyle w:val="BodyText"/>
      </w:pPr>
      <w:r>
        <w:t xml:space="preserve">Por otro lado, la</w:t>
      </w:r>
      <w:r>
        <w:t xml:space="preserve"> </w:t>
      </w:r>
      <w:r>
        <w:t xml:space="preserve">7.2</w:t>
      </w:r>
      <w:r>
        <w:t xml:space="preserve"> </w:t>
      </w:r>
      <w:r>
        <w:t xml:space="preserve">exhibe la velocidad de conexión a internet en cada zona donde se encuentra ubicado el FRE departamental de cada territorio.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ante todo, aquellos territorios que muestran falencias en la conectividad a internet, con el fin de evitar barreras al acceso de medicamentos en estas zonas.</w:t>
      </w:r>
    </w:p>
    <w:p>
      <w:pPr>
        <w:pStyle w:val="CaptionedFigure"/>
      </w:pPr>
      <w:r>
        <w:drawing>
          <wp:inline>
            <wp:extent cx="5334000" cy="3809999"/>
            <wp:effectExtent b="0" l="0" r="0" t="0"/>
            <wp:docPr descr="Figura 7.2: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5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55" w:name="fig49"/>
      <w:r>
        <w:t xml:space="preserve">Figure </w:t>
      </w:r>
      <w:fldSimple w:instr="SEQ Figure \* ARABIC ">
        <w:r>
          <w:t>49</w:t>
        </w:r>
      </w:fldSimple>
      <w:r>
        <w:t xml:space="preserve">:</w:t>
      </w:r>
      <w:r>
        <w:t xml:space="preserve"> </w:t>
      </w:r>
      <w:bookmarkEnd w:id="155"/>
      <w:r>
        <w:t xml:space="preserve">Figura 7.2: Velocidad de conexión de internet</w:t>
      </w:r>
    </w:p>
    <w:p>
      <w:pPr>
        <w:pStyle w:val="BodyText"/>
      </w:pPr>
      <w:r>
        <w:t xml:space="preserve">Según la Figura</w:t>
      </w:r>
      <w:r>
        <w:t xml:space="preserve"> </w:t>
      </w:r>
      <w:r>
        <w:t xml:space="preserve">7.3</w:t>
      </w:r>
      <w:r>
        <w:t xml:space="preserve">, más de la mitad de los FRE poseen hasta dos (2) computadores para el desarrollo de sus funciones como ente territorial. En dos casos particularmente, FRE Guaviare y FRE San Andres, no cuentan con equipo de cómputo actualmente y esto influye desfavorablemente en el cumplimiento de sus obligaciones como FRE. En esa misma línea, podemos encontrar nueve FRE que poseen solo un (1) equipo de cómputo, perjudicando igualmente el avance de sus actividades laborales y funciones principales como ente territorial, responsable del control de MME en el departamento. Incluso, según las experiencias y observaciones del personal vinculado a los FRE, disponer de dos (2) computadores sigue siendo condicionado el desarrollo laboral y en casi todas las ocasiones, los equipos son insuficientes para el personal del FRE.</w:t>
      </w:r>
    </w:p>
    <w:p>
      <w:pPr>
        <w:pStyle w:val="CaptionedFigure"/>
      </w:pPr>
      <w:r>
        <w:drawing>
          <wp:inline>
            <wp:extent cx="5334000" cy="3556000"/>
            <wp:effectExtent b="0" l="0" r="0" t="0"/>
            <wp:docPr descr="Figura 7.3: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5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7" w:name="fig50"/>
      <w:r>
        <w:t xml:space="preserve">Figure </w:t>
      </w:r>
      <w:fldSimple w:instr="SEQ Figure \* ARABIC ">
        <w:r>
          <w:t>50</w:t>
        </w:r>
      </w:fldSimple>
      <w:r>
        <w:t xml:space="preserve">:</w:t>
      </w:r>
      <w:r>
        <w:t xml:space="preserve"> </w:t>
      </w:r>
      <w:bookmarkEnd w:id="157"/>
      <w:r>
        <w:t xml:space="preserve">Figura 7.3: N.° de equipos en el FRE</w:t>
      </w:r>
    </w:p>
    <w:p>
      <w:pPr>
        <w:pStyle w:val="BodyText"/>
      </w:pPr>
      <w:r>
        <w:t xml:space="preserve">Únicamente 6 FRE departamentales cuentan con cuatro (4) o más computadores en su área de trabajo, cuya índole permite mejores condiciones laborales al equipo de apoyo del FRE. Por consiguiente, estos 6 entes territoriales, se encuentran en excelentes condiciones de infraestructura tecnológica para atender y proyectar una gestión apropiada en los MME y los recetarios oficiales.</w:t>
      </w:r>
    </w:p>
    <w:p>
      <w:pPr>
        <w:pStyle w:val="CaptionedFigure"/>
      </w:pPr>
      <w:r>
        <w:drawing>
          <wp:inline>
            <wp:extent cx="5334000" cy="3556000"/>
            <wp:effectExtent b="0" l="0" r="0" t="0"/>
            <wp:docPr descr="Figura 7.4: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5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9" w:name="fig51"/>
      <w:r>
        <w:t xml:space="preserve">Figure </w:t>
      </w:r>
      <w:fldSimple w:instr="SEQ Figure \* ARABIC ">
        <w:r>
          <w:t>51</w:t>
        </w:r>
      </w:fldSimple>
      <w:r>
        <w:t xml:space="preserve">:</w:t>
      </w:r>
      <w:r>
        <w:t xml:space="preserve"> </w:t>
      </w:r>
      <w:bookmarkEnd w:id="159"/>
      <w:r>
        <w:t xml:space="preserve">Figura 7.4: Relación entre el requerimiento de equipos y el número de personas en el FRE</w:t>
      </w:r>
    </w:p>
    <w:p>
      <w:pPr>
        <w:pStyle w:val="BodyText"/>
      </w:pPr>
      <w:r>
        <w:t xml:space="preserve">De acuerdo a la Figura</w:t>
      </w:r>
      <w:r>
        <w:t xml:space="preserve"> </w:t>
      </w:r>
      <w:r>
        <w:t xml:space="preserve">7.5</w:t>
      </w:r>
      <w:r>
        <w:t xml:space="preserve"> </w:t>
      </w:r>
      <w:r>
        <w:t xml:space="preserve">se puede evidenciar que aproximadamente la mitad de los FRE manifiestan que los equipos de cómputo del FRE son adecuados para las actividades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actuales Como se mencionó anteriormente, la modernización en los procesos referentes al manejo de recetarios oficiales y MME, tendrá que considerar, ante todo, aquellos territorios que muestran obstáculos en su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5: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6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61" w:name="fig52"/>
      <w:r>
        <w:t xml:space="preserve">Figure </w:t>
      </w:r>
      <w:fldSimple w:instr="SEQ Figure \* ARABIC ">
        <w:r>
          <w:t>52</w:t>
        </w:r>
      </w:fldSimple>
      <w:r>
        <w:t xml:space="preserve">:</w:t>
      </w:r>
      <w:r>
        <w:t xml:space="preserve"> </w:t>
      </w:r>
      <w:bookmarkEnd w:id="161"/>
      <w:r>
        <w:t xml:space="preserve">Figura 7.5: Opinión sobre los equipos de cómputo del FRE</w:t>
      </w:r>
    </w:p>
    <w:p>
      <w:pPr>
        <w:pStyle w:val="BodyText"/>
      </w:pPr>
      <w:r>
        <w:t xml:space="preserve">Si los inconvenientes relacionados a la infraestructura tecnológica, se presentan actualmente en las zonas más alejadas del país, el escenario de la implementación del ROE no podría aspirar a grandes cambios en cada territorio. Lo anterior, se originaria barrera al acceso de medicamentos desde cada Secretaria de Salud o Dirección en salud departamental.</w:t>
      </w:r>
      <w:r>
        <w:t xml:space="preserve"> </w:t>
      </w:r>
      <w:r>
        <w:rPr>
          <w:bCs/>
          <w:b/>
        </w:rPr>
        <w:t xml:space="preserve">JUSTIFICAR CON OBSERVACIONES</w:t>
      </w:r>
      <w:r>
        <w:t xml:space="preserve"> </w:t>
      </w:r>
      <w:r>
        <w:t xml:space="preserve">hasta mejorar esta condición tecnológica.</w:t>
      </w:r>
    </w:p>
    <w:bookmarkEnd w:id="162"/>
    <w:bookmarkStart w:id="183"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1</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1</w:t>
        </w:r>
      </w:hyperlink>
      <w:r>
        <w:t xml:space="preserve">:</w:t>
      </w:r>
    </w:p>
    <w:p>
      <w:pPr>
        <w:numPr>
          <w:ilvl w:val="0"/>
          <w:numId w:val="1017"/>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17"/>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17"/>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17"/>
        </w:numPr>
      </w:pPr>
      <w:r>
        <w:t xml:space="preserve">Novedades sobre la inscripción de los Establecimientos Farmacéuticos e IPS autorizados, de acuerdo al formato (Anexo número 3) de la presente resolución.</w:t>
      </w:r>
    </w:p>
    <w:p>
      <w:pPr>
        <w:numPr>
          <w:ilvl w:val="0"/>
          <w:numId w:val="1017"/>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17"/>
        </w:numPr>
      </w:pPr>
      <w:r>
        <w:t xml:space="preserve">Informe mensual consolidado sobre las transformaciones realizadas en el mes inmediatamente anterior, dentro de los diez (10) primeros días calendarios de cada mes. (Anexo número 4)</w:t>
      </w:r>
    </w:p>
    <w:p>
      <w:pPr>
        <w:numPr>
          <w:ilvl w:val="0"/>
          <w:numId w:val="1017"/>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17"/>
        </w:numPr>
      </w:pPr>
      <w:r>
        <w:t xml:space="preserve">Informe trimestral de sanciones impuestas por infracciones administrativas en la fabricación, distribución y dispensación de medicamentos de Control Especial.</w:t>
      </w:r>
    </w:p>
    <w:p>
      <w:pPr>
        <w:numPr>
          <w:ilvl w:val="0"/>
          <w:numId w:val="1017"/>
        </w:numPr>
      </w:pPr>
      <w:r>
        <w:t xml:space="preserve">Consolidado semestral del registro de Farmacodependientes de productos sometidos a fiscalización.</w:t>
      </w:r>
    </w:p>
    <w:p>
      <w:pPr>
        <w:pStyle w:val="FirstParagraph"/>
      </w:pPr>
      <w:r>
        <w:t xml:space="preserve">En la Figura</w:t>
      </w:r>
      <w:r>
        <w:t xml:space="preserve"> </w:t>
      </w:r>
      <w:r>
        <w:t xml:space="preserve">8.1</w:t>
      </w:r>
      <w:r>
        <w:t xml:space="preserve"> </w:t>
      </w:r>
      <w:r>
        <w:t xml:space="preserve">se tiene una descripción de la herramientas utilizadas el diligenciamiento del Anexo 1 de la Resolución 1479 de 2006 de MSPS. La mayoría de los FRE utilizan hojas de cálculo para el diligenciamiento del Anexo 1 (23 de 30 departamentos). Por lo menos tres departamentos utilizan modalidades de diligenciamiento manual y hojas de cálculo para el Anexo 1, mientras que sólo dos FRE sustentan la actividad mediante procedimientos manuales.</w:t>
      </w:r>
    </w:p>
    <w:p>
      <w:pPr>
        <w:pStyle w:val="BodyText"/>
      </w:pPr>
      <w:r>
        <w:t xml:space="preserve">Algunos FRE como Antioquia, Bolívar, Córdoba, Cesar, Quindío y Valle del Cauca tienen plataformas desarrolladas dentro de la gobernación que son utilizadas para el diligenciamiento del Anexo 1.</w:t>
      </w:r>
    </w:p>
    <w:p>
      <w:pPr>
        <w:pStyle w:val="CaptionedFigure"/>
      </w:pPr>
      <w:r>
        <w:drawing>
          <wp:inline>
            <wp:extent cx="5334000" cy="3809999"/>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6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64" w:name="fig53"/>
      <w:r>
        <w:t xml:space="preserve">Figure </w:t>
      </w:r>
      <w:fldSimple w:instr="SEQ Figure \* ARABIC ">
        <w:r>
          <w:t>53</w:t>
        </w:r>
      </w:fldSimple>
      <w:r>
        <w:t xml:space="preserve">:</w:t>
      </w:r>
      <w:r>
        <w:t xml:space="preserve"> </w:t>
      </w:r>
      <w:bookmarkEnd w:id="164"/>
      <w:r>
        <w:t xml:space="preserve">Figura 8.1: Herramientas en el diligenciamiento del Anexo 1 de la Resolución 1479 de 2006</w:t>
      </w:r>
    </w:p>
    <w:p>
      <w:pPr>
        <w:pStyle w:val="BodyText"/>
      </w:pPr>
      <w:r>
        <w:t xml:space="preserve">En la Figura</w:t>
      </w:r>
      <w:r>
        <w:t xml:space="preserve"> </w:t>
      </w:r>
      <w:r>
        <w:t xml:space="preserve">8.2</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8.2: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6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6" w:name="fig54"/>
      <w:r>
        <w:t xml:space="preserve">Figure </w:t>
      </w:r>
      <w:fldSimple w:instr="SEQ Figure \* ARABIC ">
        <w:r>
          <w:t>54</w:t>
        </w:r>
      </w:fldSimple>
      <w:r>
        <w:t xml:space="preserve">:</w:t>
      </w:r>
      <w:r>
        <w:t xml:space="preserve"> </w:t>
      </w:r>
      <w:bookmarkEnd w:id="166"/>
      <w:r>
        <w:t xml:space="preserve">Figura 8.2: Controles en las ventas directas a pacientes</w:t>
      </w:r>
    </w:p>
    <w:p>
      <w:pPr>
        <w:pStyle w:val="BodyText"/>
      </w:pPr>
      <w:r>
        <w:t xml:space="preserve">Sobre la consolidación de informes las tendencias ya son mucho más uniformes debido que el grupo Interno de regionalización se encarga de la consolidación y verificación de estos informes, por esta misma razón hay una uniformidad en cuanto a la forma de diligenciar los anexos, cómo al control sobre las cantidades de consumo y distribución que presentan los departamentos, esta es la razón por la cuál se observa en las gráficas X y Z que la consolidación de los informes se entrega de manera electrónica al FNE, pero también hay un leve contraste sobre la forma en la que algunos FRE reciben estos anexos por parte de los inscritos, dado que si estos son allegados de forma presencial, se necesita una transcripción, que podría traducirse en un proceso engorroso que toma mucho más tiempo y puede ser causa del retraso en el envío de informes hacia el FNE. Este comportamiento es posible observar en la figura W dónde se resalta que la confección de estos informes puede demorarse más de una semana. Esto puede ser mucho más problemático para regiones con una elevada cantidad de inscritos en relación a la cantidad de personal encargado específicamente en esta tarea.</w:t>
      </w:r>
    </w:p>
    <w:p>
      <w:pPr>
        <w:pStyle w:val="CaptionedFigure"/>
      </w:pPr>
      <w:r>
        <w:drawing>
          <wp:inline>
            <wp:extent cx="5334000" cy="4000500"/>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6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8" w:name="fig55"/>
      <w:r>
        <w:t xml:space="preserve">Figure </w:t>
      </w:r>
      <w:fldSimple w:instr="SEQ Figure \* ARABIC ">
        <w:r>
          <w:t>55</w:t>
        </w:r>
      </w:fldSimple>
      <w:r>
        <w:t xml:space="preserve">:</w:t>
      </w:r>
      <w:r>
        <w:t xml:space="preserve"> </w:t>
      </w:r>
      <w:bookmarkEnd w:id="168"/>
      <w:r>
        <w:t xml:space="preserve">Figura 8.3: Tiempo en la consolidación del Anexo 1 de la Resolución 1479 de 2006</w:t>
      </w:r>
    </w:p>
    <w:p>
      <w:pPr>
        <w:pStyle w:val="CaptionedFigure"/>
      </w:pPr>
      <w:r>
        <w:drawing>
          <wp:inline>
            <wp:extent cx="5334000" cy="4000500"/>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16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0" w:name="fig56"/>
      <w:r>
        <w:t xml:space="preserve">Figure </w:t>
      </w:r>
      <w:fldSimple w:instr="SEQ Figure \* ARABIC ">
        <w:r>
          <w:t>56</w:t>
        </w:r>
      </w:fldSimple>
      <w:r>
        <w:t xml:space="preserve">:</w:t>
      </w:r>
      <w:r>
        <w:t xml:space="preserve"> </w:t>
      </w:r>
      <w:bookmarkEnd w:id="170"/>
      <w:r>
        <w:t xml:space="preserve">Figura 8.4: Tiempo en la consolidación del Anexo 1 de la Resolución 1479 de 2006 vs N° de instituciones que realizan compra en un año</w:t>
      </w:r>
    </w:p>
    <w:p>
      <w:pPr>
        <w:pStyle w:val="CaptionedFigure"/>
      </w:pPr>
      <w:r>
        <w:drawing>
          <wp:inline>
            <wp:extent cx="5334000" cy="2667000"/>
            <wp:effectExtent b="0" l="0" r="0" t="0"/>
            <wp:docPr descr="Figura 8.5: Tiempo en la consolidación del Anexo 2 de la Resolución 1479 de 2006"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17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72" w:name="fig57"/>
      <w:r>
        <w:t xml:space="preserve">Figure </w:t>
      </w:r>
      <w:fldSimple w:instr="SEQ Figure \* ARABIC ">
        <w:r>
          <w:t>57</w:t>
        </w:r>
      </w:fldSimple>
      <w:r>
        <w:t xml:space="preserve">:</w:t>
      </w:r>
      <w:r>
        <w:t xml:space="preserve"> </w:t>
      </w:r>
      <w:bookmarkEnd w:id="172"/>
      <w:r>
        <w:t xml:space="preserve">Figura 8.5: Tiempo en la consolidación del Anexo 2 de la Resolución 1479 de 2006</w:t>
      </w:r>
    </w:p>
    <w:p>
      <w:pPr>
        <w:pStyle w:val="BodyText"/>
      </w:pPr>
      <w:r>
        <w:drawing>
          <wp:inline>
            <wp:extent cx="5334000" cy="4000500"/>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173"/>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3556000"/>
            <wp:effectExtent b="0" l="0" r="0" t="0"/>
            <wp:docPr descr="Figura 8.7: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174"/>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8: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17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9: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17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Analizando algunas otras circunstancias por las cuáles los FRE no realizan los informes a tiempo, podría también estar relacionada con un retraso en la entrega de los informes por parte de las instituciones al FRE, en la gráfica AB, es claro que 23 de los 30 FRE solo se quedan en un llamado de atención en caso de incuplimiento en las fechas de entrega de informes de consumo, esto ya está mucho más relacionado con la forma en la que el área de IVC de cada departamento realiza procesos administrativos o medidas sancionatorias a las instituciones que no hacen entrega de estos documentos, pues si el seguimiento que se hace por parte del FRE es débil, esto puede repercutir en el comportamiento de las instituciones hacía el FRE, pero este es un asunto gobernanza e institucionalidad que es potestad de cada ente territorial tratar.</w:t>
      </w:r>
    </w:p>
    <w:bookmarkStart w:id="182" w:name="seguridad-de-la-información"/>
    <w:p>
      <w:pPr>
        <w:pStyle w:val="Heading2"/>
      </w:pPr>
      <w:r>
        <w:rPr>
          <w:rStyle w:val="SectionNumber"/>
        </w:rPr>
        <w:t xml:space="preserve">8.1</w:t>
      </w:r>
      <w:r>
        <w:tab/>
      </w:r>
      <w:r>
        <w:t xml:space="preserve">Seguridad de la información</w:t>
      </w:r>
    </w:p>
    <w:p>
      <w:pPr>
        <w:pStyle w:val="FirstParagraph"/>
      </w:pPr>
      <w:r>
        <w:t xml:space="preserve">Cabe resaltar que en la Figura</w:t>
      </w:r>
      <w:r>
        <w:t xml:space="preserve"> </w:t>
      </w:r>
      <w:r>
        <w:t xml:space="preserve">8.10</w:t>
      </w:r>
      <w:r>
        <w:t xml:space="preserve"> </w:t>
      </w:r>
      <w:r>
        <w:t xml:space="preserve">cuándo se habla de restricción de acceso, se refiere al restringido acceso que se tiene a estos informes, aunque particularmente algunos FRE cómo Guajira, si tienen una restricción de acceso a los informes presentados, por medio de contraseñas y bloqueo de columnas. En general una gran parte de los FRE maneja bases de datos combinadas (Bitácoras manuales y hojas de cálculo) para el manejo de Recetarios Oficiales y MME, esto permite una trazabilidad fragmentada en la información completa de un FRE y cómo se ha mencionado anteriormente, la transcripción es más presta a que se cometan errores humanos en la digitación.</w:t>
      </w:r>
    </w:p>
    <w:p>
      <w:pPr>
        <w:pStyle w:val="BodyText"/>
      </w:pPr>
      <w:r>
        <w:drawing>
          <wp:inline>
            <wp:extent cx="5334000" cy="3556000"/>
            <wp:effectExtent b="0" l="0" r="0" t="0"/>
            <wp:docPr descr="Figura 8.10: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77"/>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11: Proporción de FRE que cuenta con base de dato con información de inscritos"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78"/>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12: Proporción de FRE que cuenta con una base de datos con información de pacientes a los que se les dispensa MME" title="" id="1" name="Picture"/>
            <a:graphic>
              <a:graphicData uri="http://schemas.openxmlformats.org/drawingml/2006/picture">
                <pic:pic>
                  <pic:nvPicPr>
                    <pic:cNvPr descr="InformeFinal_files/figure-docx/InformPacientes-1.png" id="0" name="Picture"/>
                    <pic:cNvPicPr>
                      <a:picLocks noChangeArrowheads="1" noChangeAspect="1"/>
                    </pic:cNvPicPr>
                  </pic:nvPicPr>
                  <pic:blipFill>
                    <a:blip r:embed="rId179"/>
                    <a:stretch>
                      <a:fillRect/>
                    </a:stretch>
                  </pic:blipFill>
                  <pic:spPr bwMode="auto">
                    <a:xfrm>
                      <a:off x="0" y="0"/>
                      <a:ext cx="5334000" cy="3556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a 8.13: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8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1" w:name="fig58"/>
      <w:r>
        <w:t xml:space="preserve">Figure </w:t>
      </w:r>
      <w:fldSimple w:instr="SEQ Figure \* ARABIC ">
        <w:r>
          <w:t>58</w:t>
        </w:r>
      </w:fldSimple>
      <w:r>
        <w:t xml:space="preserve">:</w:t>
      </w:r>
      <w:r>
        <w:t xml:space="preserve"> </w:t>
      </w:r>
      <w:bookmarkEnd w:id="181"/>
      <w:r>
        <w:t xml:space="preserve">Figura 8.13: Existencia de otras instituciones que realizan ventas a instituciones a MME</w:t>
      </w:r>
    </w:p>
    <w:bookmarkEnd w:id="182"/>
    <w:bookmarkEnd w:id="183"/>
    <w:bookmarkStart w:id="250" w:name="análisis-a-nivel-regional"/>
    <w:p>
      <w:pPr>
        <w:pStyle w:val="Heading1"/>
      </w:pPr>
      <w:r>
        <w:rPr>
          <w:rStyle w:val="SectionNumber"/>
        </w:rPr>
        <w:t xml:space="preserve">9</w:t>
      </w:r>
      <w:r>
        <w:tab/>
      </w:r>
      <w:r>
        <w:t xml:space="preserve">Análisis a Nivel Regional</w:t>
      </w:r>
    </w:p>
    <w:bookmarkStart w:id="207" w:name="región-andina-norte"/>
    <w:p>
      <w:pPr>
        <w:pStyle w:val="Heading2"/>
      </w:pPr>
      <w:r>
        <w:rPr>
          <w:rStyle w:val="SectionNumber"/>
        </w:rPr>
        <w:t xml:space="preserve">9.1</w:t>
      </w:r>
      <w:r>
        <w:tab/>
      </w:r>
      <w:r>
        <w:t xml:space="preserve">Región Andina Norte</w:t>
      </w:r>
    </w:p>
    <w:p>
      <w:pPr>
        <w:pStyle w:val="FirstParagraph"/>
      </w:pPr>
      <w:r>
        <w:t xml:space="preserve">Esta región se compone de los siguientes departamentos:</w:t>
      </w:r>
    </w:p>
    <w:p>
      <w:pPr>
        <w:numPr>
          <w:ilvl w:val="0"/>
          <w:numId w:val="1018"/>
        </w:numPr>
        <w:pStyle w:val="Compact"/>
      </w:pPr>
      <w:r>
        <w:t xml:space="preserve">Boyacá</w:t>
      </w:r>
    </w:p>
    <w:p>
      <w:pPr>
        <w:numPr>
          <w:ilvl w:val="0"/>
          <w:numId w:val="1018"/>
        </w:numPr>
        <w:pStyle w:val="Compact"/>
      </w:pPr>
      <w:r>
        <w:t xml:space="preserve">Norte de Santander</w:t>
      </w:r>
    </w:p>
    <w:p>
      <w:pPr>
        <w:numPr>
          <w:ilvl w:val="0"/>
          <w:numId w:val="1018"/>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192" w:name="adquisición-venta-y-distribución-de-ro"/>
    <w:p>
      <w:pPr>
        <w:pStyle w:val="Heading3"/>
      </w:pPr>
      <w:r>
        <w:rPr>
          <w:rStyle w:val="SectionNumber"/>
        </w:rPr>
        <w:t xml:space="preserve">9.1.1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9.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184"/>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185" w:name="fig59"/>
      <w:r>
        <w:t xml:space="preserve">Figure </w:t>
      </w:r>
      <w:fldSimple w:instr="SEQ Figure \* ARABIC ">
        <w:r>
          <w:t>59</w:t>
        </w:r>
      </w:fldSimple>
      <w:r>
        <w:t xml:space="preserve">:</w:t>
      </w:r>
      <w:r>
        <w:t xml:space="preserve"> </w:t>
      </w:r>
      <w:bookmarkEnd w:id="185"/>
      <w:r>
        <w:t xml:space="preserve">Figura 9.1: N.° de recetarios en la Región Andina Norte</w:t>
      </w:r>
    </w:p>
    <w:p>
      <w:pPr>
        <w:pStyle w:val="BodyText"/>
      </w:pPr>
      <w:r>
        <w:t xml:space="preserve">En cuanto a las existencias actuales, en la Figura</w:t>
      </w:r>
      <w:r>
        <w:t xml:space="preserve"> </w:t>
      </w:r>
      <w:r>
        <w:t xml:space="preserve">9.1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9.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186"/>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187" w:name="fig60"/>
      <w:r>
        <w:t xml:space="preserve">Figure </w:t>
      </w:r>
      <w:fldSimple w:instr="SEQ Figure \* ARABIC ">
        <w:r>
          <w:t>60</w:t>
        </w:r>
      </w:fldSimple>
      <w:r>
        <w:t xml:space="preserve">:</w:t>
      </w:r>
      <w:r>
        <w:t xml:space="preserve"> </w:t>
      </w:r>
      <w:bookmarkEnd w:id="187"/>
      <w:r>
        <w:t xml:space="preserve">Figura 9.2: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9.3</w:t>
      </w:r>
      <w:r>
        <w:t xml:space="preserve">, si se cruza esta información con el 40% que aporta la venta de los recetarios al total de los ingresos del FRE cómo se ve en la Figura</w:t>
      </w:r>
      <w:r>
        <w:t xml:space="preserve"> </w:t>
      </w:r>
      <w:r>
        <w:t xml:space="preserve">9.3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9.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188"/>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189" w:name="fig61"/>
      <w:r>
        <w:t xml:space="preserve">Figure </w:t>
      </w:r>
      <w:fldSimple w:instr="SEQ Figure \* ARABIC ">
        <w:r>
          <w:t>61</w:t>
        </w:r>
      </w:fldSimple>
      <w:r>
        <w:t xml:space="preserve">:</w:t>
      </w:r>
      <w:r>
        <w:t xml:space="preserve"> </w:t>
      </w:r>
      <w:bookmarkEnd w:id="189"/>
      <w:r>
        <w:t xml:space="preserve">Figura 9.3: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9.4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9.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190"/>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191" w:name="fig62"/>
      <w:r>
        <w:t xml:space="preserve">Figure </w:t>
      </w:r>
      <w:fldSimple w:instr="SEQ Figure \* ARABIC ">
        <w:r>
          <w:t>62</w:t>
        </w:r>
      </w:fldSimple>
      <w:r>
        <w:t xml:space="preserve">:</w:t>
      </w:r>
      <w:r>
        <w:t xml:space="preserve"> </w:t>
      </w:r>
      <w:bookmarkEnd w:id="191"/>
      <w:r>
        <w:t xml:space="preserve">Figura 9.4: Porcentaje de ganancias en los departamentos</w:t>
      </w:r>
    </w:p>
    <w:bookmarkEnd w:id="192"/>
    <w:bookmarkStart w:id="193" w:name="seguimiento-y-control-de-ro"/>
    <w:p>
      <w:pPr>
        <w:pStyle w:val="Heading3"/>
      </w:pPr>
      <w:r>
        <w:rPr>
          <w:rStyle w:val="SectionNumber"/>
        </w:rPr>
        <w:t xml:space="preserve">9.1.2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193"/>
    <w:bookmarkStart w:id="194" w:name="X009f82ebffead5dcb9f8956889afa0983c81115"/>
    <w:p>
      <w:pPr>
        <w:pStyle w:val="Heading3"/>
      </w:pPr>
      <w:r>
        <w:rPr>
          <w:rStyle w:val="SectionNumber"/>
        </w:rPr>
        <w:t xml:space="preserve">9.1.3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194"/>
    <w:bookmarkStart w:id="200" w:name="ruta-tecnológica."/>
    <w:p>
      <w:pPr>
        <w:pStyle w:val="Heading3"/>
      </w:pPr>
      <w:r>
        <w:rPr>
          <w:rStyle w:val="SectionNumber"/>
        </w:rPr>
        <w:t xml:space="preserve">9.1.4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9.6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9.5</w:t>
      </w:r>
      <w:r>
        <w:t xml:space="preserve">).</w:t>
      </w:r>
    </w:p>
    <w:p>
      <w:pPr>
        <w:pStyle w:val="CaptionedFigure"/>
      </w:pPr>
      <w:r>
        <w:drawing>
          <wp:inline>
            <wp:extent cx="3907856" cy="3012707"/>
            <wp:effectExtent b="0" l="0" r="0" t="0"/>
            <wp:docPr descr="Figura 9.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195"/>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196" w:name="fig63"/>
      <w:r>
        <w:t xml:space="preserve">Figure </w:t>
      </w:r>
      <w:fldSimple w:instr="SEQ Figure \* ARABIC ">
        <w:r>
          <w:t>63</w:t>
        </w:r>
      </w:fldSimple>
      <w:r>
        <w:t xml:space="preserve">:</w:t>
      </w:r>
      <w:r>
        <w:t xml:space="preserve"> </w:t>
      </w:r>
      <w:bookmarkEnd w:id="196"/>
      <w:r>
        <w:t xml:space="preserve">Figura 9.5: Cuenta con ordenanza</w:t>
      </w:r>
    </w:p>
    <w:p>
      <w:pPr>
        <w:pStyle w:val="CaptionedFigure"/>
      </w:pPr>
      <w:r>
        <w:drawing>
          <wp:inline>
            <wp:extent cx="3917482" cy="3022332"/>
            <wp:effectExtent b="0" l="0" r="0" t="0"/>
            <wp:docPr descr="Figura 9.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197"/>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198" w:name="fig64"/>
      <w:r>
        <w:t xml:space="preserve">Figure </w:t>
      </w:r>
      <w:fldSimple w:instr="SEQ Figure \* ARABIC ">
        <w:r>
          <w:t>64</w:t>
        </w:r>
      </w:fldSimple>
      <w:r>
        <w:t xml:space="preserve">:</w:t>
      </w:r>
      <w:r>
        <w:t xml:space="preserve"> </w:t>
      </w:r>
      <w:bookmarkEnd w:id="198"/>
      <w:r>
        <w:t xml:space="preserve">Figura 9.6: Evaluación de la conexión de internet</w:t>
      </w:r>
    </w:p>
    <w:p>
      <w:pPr>
        <w:pStyle w:val="TableCaption"/>
      </w:pPr>
      <w:bookmarkStart w:id="199" w:name="table2"/>
      <w:r>
        <w:t xml:space="preserve">Table </w:t>
      </w:r>
      <w:fldSimple w:instr="SEQ Table \* ARABIC ">
        <w:r>
          <w:t>2</w:t>
        </w:r>
      </w:fldSimple>
      <w:r>
        <w:t xml:space="preserve">:</w:t>
      </w:r>
      <w:bookmarkEnd w:id="199"/>
      <w:r>
        <w:t xml:space="preserve"> </w:t>
      </w:r>
      <w:r>
        <w:t xml:space="preserve">Tabla 9.1: Presencia de software para el manejo tecnológico</w:t>
      </w:r>
    </w:p>
    <w:tbl>
      <w:tblPr>
        <w:tblStyle w:val="Table"/>
        <w:tblW w:type="auto" w:w="0"/>
        <w:tblLook w:firstRow="1" w:lastRow="0" w:firstColumn="0" w:lastColumn="0" w:noHBand="0" w:noVBand="0" w:val="0020"/>
        <w:tblCaption w:val="Tabla 9.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200"/>
    <w:bookmarkStart w:id="201" w:name="proyección-de-compra-mme"/>
    <w:p>
      <w:pPr>
        <w:pStyle w:val="Heading3"/>
      </w:pPr>
      <w:r>
        <w:rPr>
          <w:rStyle w:val="SectionNumber"/>
        </w:rPr>
        <w:t xml:space="preserve">9.1.5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201"/>
    <w:bookmarkStart w:id="202" w:name="recepción-técnica."/>
    <w:p>
      <w:pPr>
        <w:pStyle w:val="Heading3"/>
      </w:pPr>
      <w:r>
        <w:rPr>
          <w:rStyle w:val="SectionNumber"/>
        </w:rPr>
        <w:t xml:space="preserve">9.1.6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202"/>
    <w:bookmarkStart w:id="203" w:name="almacenamiento-e-inventario-de-mme"/>
    <w:p>
      <w:pPr>
        <w:pStyle w:val="Heading3"/>
      </w:pPr>
      <w:r>
        <w:rPr>
          <w:rStyle w:val="SectionNumber"/>
        </w:rPr>
        <w:t xml:space="preserve">9.1.7</w:t>
      </w:r>
      <w:r>
        <w:tab/>
      </w:r>
      <w:r>
        <w:t xml:space="preserve">Almacenamiento e inventario de MME</w:t>
      </w:r>
    </w:p>
    <w:bookmarkEnd w:id="203"/>
    <w:bookmarkStart w:id="206" w:name="X655d72eb7072741882bb279aeb3b055e249ceb5"/>
    <w:p>
      <w:pPr>
        <w:pStyle w:val="Heading3"/>
      </w:pPr>
      <w:r>
        <w:rPr>
          <w:rStyle w:val="SectionNumber"/>
        </w:rPr>
        <w:t xml:space="preserve">9.1.8</w:t>
      </w:r>
      <w:r>
        <w:tab/>
      </w:r>
      <w:r>
        <w:t xml:space="preserve">Proceso de distribución a instituciones y pacientes</w:t>
      </w:r>
    </w:p>
    <w:p>
      <w:pPr>
        <w:pStyle w:val="CaptionedFigure"/>
      </w:pPr>
      <w:r>
        <w:drawing>
          <wp:inline>
            <wp:extent cx="3917482" cy="3022332"/>
            <wp:effectExtent b="0" l="0" r="0" t="0"/>
            <wp:docPr descr="Figura 9.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204"/>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05" w:name="fig65"/>
      <w:r>
        <w:t xml:space="preserve">Figure </w:t>
      </w:r>
      <w:fldSimple w:instr="SEQ Figure \* ARABIC ">
        <w:r>
          <w:t>65</w:t>
        </w:r>
      </w:fldSimple>
      <w:r>
        <w:t xml:space="preserve">:</w:t>
      </w:r>
      <w:r>
        <w:t xml:space="preserve"> </w:t>
      </w:r>
      <w:bookmarkEnd w:id="205"/>
      <w:r>
        <w:t xml:space="preserve">Figura 9.7: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206"/>
    <w:bookmarkEnd w:id="207"/>
    <w:bookmarkStart w:id="234" w:name="región-andina-sur"/>
    <w:p>
      <w:pPr>
        <w:pStyle w:val="Heading2"/>
      </w:pPr>
      <w:r>
        <w:rPr>
          <w:rStyle w:val="SectionNumber"/>
        </w:rPr>
        <w:t xml:space="preserve">9.2</w:t>
      </w:r>
      <w:r>
        <w:tab/>
      </w:r>
      <w:r>
        <w:t xml:space="preserve">Región Andina Sur</w:t>
      </w:r>
    </w:p>
    <w:bookmarkStart w:id="218" w:name="adquisición-venta-y-distribución-de-ro-1"/>
    <w:p>
      <w:pPr>
        <w:pStyle w:val="Heading3"/>
      </w:pPr>
      <w:r>
        <w:rPr>
          <w:rStyle w:val="SectionNumber"/>
        </w:rPr>
        <w:t xml:space="preserve">9.2.1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9.8</w:t>
      </w:r>
      <w:r>
        <w:t xml:space="preserve">, para ilustrar la disponibilidad de recetarios oficiales en la región Andina sur.</w:t>
      </w:r>
    </w:p>
    <w:p>
      <w:pPr>
        <w:pStyle w:val="CaptionedFigure"/>
      </w:pPr>
      <w:r>
        <w:drawing>
          <wp:inline>
            <wp:extent cx="2790825" cy="3448050"/>
            <wp:effectExtent b="0" l="0" r="0" t="0"/>
            <wp:docPr descr="Figura 9.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208"/>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209" w:name="fig66"/>
      <w:r>
        <w:t xml:space="preserve">Figure </w:t>
      </w:r>
      <w:fldSimple w:instr="SEQ Figure \* ARABIC ">
        <w:r>
          <w:t>66</w:t>
        </w:r>
      </w:fldSimple>
      <w:r>
        <w:t xml:space="preserve">:</w:t>
      </w:r>
      <w:r>
        <w:t xml:space="preserve"> </w:t>
      </w:r>
      <w:bookmarkEnd w:id="209"/>
      <w:r>
        <w:t xml:space="preserve">Figura 9.8: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9.9</w:t>
      </w:r>
      <w:r>
        <w:t xml:space="preserve">, muestra los tiempos de cada territorio en la adquisición de los recetarios oficiales.</w:t>
      </w:r>
    </w:p>
    <w:p>
      <w:pPr>
        <w:pStyle w:val="CaptionedFigure"/>
      </w:pPr>
      <w:r>
        <w:drawing>
          <wp:inline>
            <wp:extent cx="4350618" cy="3137835"/>
            <wp:effectExtent b="0" l="0" r="0" t="0"/>
            <wp:docPr descr="Figura 9.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10"/>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11" w:name="fig67"/>
      <w:r>
        <w:t xml:space="preserve">Figure </w:t>
      </w:r>
      <w:fldSimple w:instr="SEQ Figure \* ARABIC ">
        <w:r>
          <w:t>67</w:t>
        </w:r>
      </w:fldSimple>
      <w:r>
        <w:t xml:space="preserve">:</w:t>
      </w:r>
      <w:r>
        <w:t xml:space="preserve"> </w:t>
      </w:r>
      <w:bookmarkEnd w:id="211"/>
      <w:r>
        <w:t xml:space="preserve">Figura 9.9: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9.10</w:t>
      </w:r>
      <w:r>
        <w:t xml:space="preserve">, en relación a este margen de ganancias en cada FRE.</w:t>
      </w:r>
    </w:p>
    <w:p>
      <w:pPr>
        <w:pStyle w:val="CaptionedFigure"/>
      </w:pPr>
      <w:r>
        <w:drawing>
          <wp:inline>
            <wp:extent cx="4803006" cy="3311090"/>
            <wp:effectExtent b="0" l="0" r="0" t="0"/>
            <wp:docPr descr="Figura 9.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12"/>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13" w:name="fig68"/>
      <w:r>
        <w:t xml:space="preserve">Figure </w:t>
      </w:r>
      <w:fldSimple w:instr="SEQ Figure \* ARABIC ">
        <w:r>
          <w:t>68</w:t>
        </w:r>
      </w:fldSimple>
      <w:r>
        <w:t xml:space="preserve">:</w:t>
      </w:r>
      <w:r>
        <w:t xml:space="preserve"> </w:t>
      </w:r>
      <w:bookmarkEnd w:id="213"/>
      <w:r>
        <w:t xml:space="preserve">Figura 9.10: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9.11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9.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14"/>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15" w:name="fig69"/>
      <w:r>
        <w:t xml:space="preserve">Figure </w:t>
      </w:r>
      <w:fldSimple w:instr="SEQ Figure \* ARABIC ">
        <w:r>
          <w:t>69</w:t>
        </w:r>
      </w:fldSimple>
      <w:r>
        <w:t xml:space="preserve">:</w:t>
      </w:r>
      <w:r>
        <w:t xml:space="preserve"> </w:t>
      </w:r>
      <w:bookmarkEnd w:id="215"/>
      <w:r>
        <w:t xml:space="preserve">Figura 9.11: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9.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16"/>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7" w:name="fig70"/>
      <w:r>
        <w:t xml:space="preserve">Figure </w:t>
      </w:r>
      <w:fldSimple w:instr="SEQ Figure \* ARABIC ">
        <w:r>
          <w:t>70</w:t>
        </w:r>
      </w:fldSimple>
      <w:r>
        <w:t xml:space="preserve">:</w:t>
      </w:r>
      <w:r>
        <w:t xml:space="preserve"> </w:t>
      </w:r>
      <w:bookmarkEnd w:id="217"/>
      <w:r>
        <w:t xml:space="preserve">Figura 9.12: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9.12</w:t>
      </w:r>
      <w:r>
        <w:t xml:space="preserve"> </w:t>
      </w:r>
      <w:r>
        <w:t xml:space="preserve">exhibe el porcentaje de los territorios que cuentan con ordenanza para definir el costo de los recetarios oficiales.</w:t>
      </w:r>
    </w:p>
    <w:bookmarkEnd w:id="218"/>
    <w:bookmarkStart w:id="219" w:name="seguimiento-y-control-de-ro-1"/>
    <w:p>
      <w:pPr>
        <w:pStyle w:val="Heading3"/>
      </w:pPr>
      <w:r>
        <w:rPr>
          <w:rStyle w:val="SectionNumber"/>
        </w:rPr>
        <w:t xml:space="preserve">9.2.2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19"/>
    <w:bookmarkStart w:id="220" w:name="X161bf645a8ddbfd62e6c3b5999281b4edb216af"/>
    <w:p>
      <w:pPr>
        <w:pStyle w:val="Heading3"/>
      </w:pPr>
      <w:r>
        <w:rPr>
          <w:rStyle w:val="SectionNumber"/>
        </w:rPr>
        <w:t xml:space="preserve">9.2.3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20"/>
    <w:bookmarkStart w:id="223" w:name="ruta-tecnológica.-1"/>
    <w:p>
      <w:pPr>
        <w:pStyle w:val="Heading3"/>
      </w:pPr>
      <w:r>
        <w:rPr>
          <w:rStyle w:val="SectionNumber"/>
        </w:rPr>
        <w:t xml:space="preserve">9.2.4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9.3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9.3: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9.13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9.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21"/>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2" w:name="fig71"/>
      <w:r>
        <w:t xml:space="preserve">Figure </w:t>
      </w:r>
      <w:fldSimple w:instr="SEQ Figure \* ARABIC ">
        <w:r>
          <w:t>71</w:t>
        </w:r>
      </w:fldSimple>
      <w:r>
        <w:t xml:space="preserve">:</w:t>
      </w:r>
      <w:r>
        <w:t xml:space="preserve"> </w:t>
      </w:r>
      <w:bookmarkEnd w:id="222"/>
      <w:r>
        <w:t xml:space="preserve">Figura 9.13: Estado actual de la conexión a internet de los FRE de la región Andina Sur.</w:t>
      </w:r>
    </w:p>
    <w:bookmarkEnd w:id="223"/>
    <w:bookmarkStart w:id="226" w:name="proyección-de-compra-mme-1"/>
    <w:p>
      <w:pPr>
        <w:pStyle w:val="Heading3"/>
      </w:pPr>
      <w:r>
        <w:rPr>
          <w:rStyle w:val="SectionNumber"/>
        </w:rPr>
        <w:t xml:space="preserve">9.2.5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9.14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9.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24"/>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5" w:name="fig72"/>
      <w:r>
        <w:t xml:space="preserve">Figure </w:t>
      </w:r>
      <w:fldSimple w:instr="SEQ Figure \* ARABIC ">
        <w:r>
          <w:t>72</w:t>
        </w:r>
      </w:fldSimple>
      <w:r>
        <w:t xml:space="preserve">:</w:t>
      </w:r>
      <w:r>
        <w:t xml:space="preserve"> </w:t>
      </w:r>
      <w:bookmarkEnd w:id="225"/>
      <w:r>
        <w:t xml:space="preserve">Figura 9.14: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26"/>
    <w:bookmarkStart w:id="229" w:name="recepción-técnica.-1"/>
    <w:p>
      <w:pPr>
        <w:pStyle w:val="Heading3"/>
      </w:pPr>
      <w:r>
        <w:rPr>
          <w:rStyle w:val="SectionNumber"/>
        </w:rPr>
        <w:t xml:space="preserve">9.2.6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9.15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9.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27"/>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28" w:name="fig73"/>
      <w:r>
        <w:t xml:space="preserve">Figure </w:t>
      </w:r>
      <w:fldSimple w:instr="SEQ Figure \* ARABIC ">
        <w:r>
          <w:t>73</w:t>
        </w:r>
      </w:fldSimple>
      <w:r>
        <w:t xml:space="preserve">:</w:t>
      </w:r>
      <w:r>
        <w:t xml:space="preserve"> </w:t>
      </w:r>
      <w:bookmarkEnd w:id="228"/>
      <w:r>
        <w:t xml:space="preserve">Figura 9.15: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29"/>
    <w:bookmarkStart w:id="232" w:name="almacenamiento-e-inventario-de-mme-1"/>
    <w:p>
      <w:pPr>
        <w:pStyle w:val="Heading3"/>
      </w:pPr>
      <w:r>
        <w:rPr>
          <w:rStyle w:val="SectionNumber"/>
        </w:rPr>
        <w:t xml:space="preserve">9.2.7</w:t>
      </w:r>
      <w:r>
        <w:tab/>
      </w:r>
      <w:r>
        <w:t xml:space="preserve">Almacenamiento e inventario de MME</w:t>
      </w:r>
    </w:p>
    <w:p>
      <w:pPr>
        <w:pStyle w:val="CaptionedFigure"/>
      </w:pPr>
      <w:r>
        <w:drawing>
          <wp:inline>
            <wp:extent cx="5334000" cy="1093304"/>
            <wp:effectExtent b="0" l="0" r="0" t="0"/>
            <wp:docPr descr="Figura 9.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30"/>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31" w:name="fig74"/>
      <w:r>
        <w:t xml:space="preserve">Figure </w:t>
      </w:r>
      <w:fldSimple w:instr="SEQ Figure \* ARABIC ">
        <w:r>
          <w:t>74</w:t>
        </w:r>
      </w:fldSimple>
      <w:r>
        <w:t xml:space="preserve">:</w:t>
      </w:r>
      <w:r>
        <w:t xml:space="preserve"> </w:t>
      </w:r>
      <w:bookmarkEnd w:id="231"/>
      <w:r>
        <w:t xml:space="preserve">Figura 9.16: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32"/>
    <w:bookmarkStart w:id="233" w:name="X6b0d3cbe59f2e4485d35bea6be212c33d36f100"/>
    <w:p>
      <w:pPr>
        <w:pStyle w:val="Heading3"/>
      </w:pPr>
      <w:r>
        <w:rPr>
          <w:rStyle w:val="SectionNumber"/>
        </w:rPr>
        <w:t xml:space="preserve">9.2.8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33"/>
    <w:bookmarkEnd w:id="234"/>
    <w:bookmarkStart w:id="239" w:name="región-caribe"/>
    <w:p>
      <w:pPr>
        <w:pStyle w:val="Heading2"/>
      </w:pPr>
      <w:r>
        <w:rPr>
          <w:rStyle w:val="SectionNumber"/>
        </w:rPr>
        <w:t xml:space="preserve">9.3</w:t>
      </w:r>
      <w:r>
        <w:tab/>
      </w:r>
      <w:r>
        <w:t xml:space="preserve">Región Caribe</w:t>
      </w:r>
    </w:p>
    <w:p>
      <w:pPr>
        <w:pStyle w:val="CaptionedFigure"/>
      </w:pPr>
      <w:r>
        <w:drawing>
          <wp:inline>
            <wp:extent cx="4764505" cy="3311090"/>
            <wp:effectExtent b="0" l="0" r="0" t="0"/>
            <wp:docPr descr="Figura 9.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35"/>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36" w:name="fig75"/>
      <w:r>
        <w:t xml:space="preserve">Figure </w:t>
      </w:r>
      <w:fldSimple w:instr="SEQ Figure \* ARABIC ">
        <w:r>
          <w:t>75</w:t>
        </w:r>
      </w:fldSimple>
      <w:r>
        <w:t xml:space="preserve">:</w:t>
      </w:r>
      <w:r>
        <w:t xml:space="preserve"> </w:t>
      </w:r>
      <w:bookmarkEnd w:id="236"/>
      <w:r>
        <w:t xml:space="preserve">Figura 9.17: Porcentaje de ganancias en el departamento para la region Caribe</w:t>
      </w:r>
    </w:p>
    <w:p>
      <w:pPr>
        <w:pStyle w:val="CaptionedFigure"/>
      </w:pPr>
      <w:r>
        <w:drawing>
          <wp:inline>
            <wp:extent cx="4899258" cy="3532471"/>
            <wp:effectExtent b="0" l="0" r="0" t="0"/>
            <wp:docPr descr="Figura 9.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37"/>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38" w:name="fig76"/>
      <w:r>
        <w:t xml:space="preserve">Figure </w:t>
      </w:r>
      <w:fldSimple w:instr="SEQ Figure \* ARABIC ">
        <w:r>
          <w:t>76</w:t>
        </w:r>
      </w:fldSimple>
      <w:r>
        <w:t xml:space="preserve">:</w:t>
      </w:r>
      <w:r>
        <w:t xml:space="preserve"> </w:t>
      </w:r>
      <w:bookmarkEnd w:id="238"/>
      <w:r>
        <w:t xml:space="preserve">Figura 9.18: Tiempos de adquisición de recetarios en el departamento para la region Caribe</w:t>
      </w:r>
    </w:p>
    <w:p>
      <w:pPr>
        <w:numPr>
          <w:ilvl w:val="0"/>
          <w:numId w:val="1019"/>
        </w:numPr>
        <w:pStyle w:val="Compact"/>
      </w:pPr>
      <w:r>
        <w:t xml:space="preserve">ATLÁNTICO</w:t>
      </w:r>
    </w:p>
    <w:p>
      <w:pPr>
        <w:numPr>
          <w:ilvl w:val="0"/>
          <w:numId w:val="1019"/>
        </w:numPr>
        <w:pStyle w:val="Compact"/>
      </w:pPr>
      <w:r>
        <w:t xml:space="preserve">BOLÍVAR</w:t>
      </w:r>
    </w:p>
    <w:p>
      <w:pPr>
        <w:numPr>
          <w:ilvl w:val="0"/>
          <w:numId w:val="1019"/>
        </w:numPr>
        <w:pStyle w:val="Compact"/>
      </w:pPr>
      <w:r>
        <w:t xml:space="preserve">CESAR</w:t>
      </w:r>
    </w:p>
    <w:p>
      <w:pPr>
        <w:numPr>
          <w:ilvl w:val="0"/>
          <w:numId w:val="1019"/>
        </w:numPr>
        <w:pStyle w:val="Compact"/>
      </w:pPr>
      <w:r>
        <w:t xml:space="preserve">CÓRDOBA</w:t>
      </w:r>
    </w:p>
    <w:p>
      <w:pPr>
        <w:numPr>
          <w:ilvl w:val="0"/>
          <w:numId w:val="1019"/>
        </w:numPr>
        <w:pStyle w:val="Compact"/>
      </w:pPr>
      <w:r>
        <w:t xml:space="preserve">GUAJIRA</w:t>
      </w:r>
    </w:p>
    <w:p>
      <w:pPr>
        <w:numPr>
          <w:ilvl w:val="0"/>
          <w:numId w:val="1019"/>
        </w:numPr>
        <w:pStyle w:val="Compact"/>
      </w:pPr>
      <w:r>
        <w:t xml:space="preserve">MAGDALENA</w:t>
      </w:r>
    </w:p>
    <w:p>
      <w:pPr>
        <w:numPr>
          <w:ilvl w:val="0"/>
          <w:numId w:val="1019"/>
        </w:numPr>
        <w:pStyle w:val="Compact"/>
      </w:pPr>
      <w:r>
        <w:t xml:space="preserve">SAN ANDRÉS Y PROVIDENCIA</w:t>
      </w:r>
    </w:p>
    <w:p>
      <w:pPr>
        <w:numPr>
          <w:ilvl w:val="0"/>
          <w:numId w:val="1019"/>
        </w:numPr>
        <w:pStyle w:val="Compact"/>
      </w:pPr>
      <w:r>
        <w:t xml:space="preserve">SUCRE</w:t>
      </w:r>
    </w:p>
    <w:bookmarkEnd w:id="239"/>
    <w:bookmarkStart w:id="244" w:name="región-orinoquía"/>
    <w:p>
      <w:pPr>
        <w:pStyle w:val="Heading2"/>
      </w:pPr>
      <w:r>
        <w:rPr>
          <w:rStyle w:val="SectionNumber"/>
        </w:rPr>
        <w:t xml:space="preserve">9.4</w:t>
      </w:r>
      <w:r>
        <w:tab/>
      </w:r>
      <w:r>
        <w:t xml:space="preserve">Región Orinoquía</w:t>
      </w:r>
    </w:p>
    <w:p>
      <w:pPr>
        <w:pStyle w:val="CaptionedFigure"/>
      </w:pPr>
      <w:r>
        <w:drawing>
          <wp:inline>
            <wp:extent cx="4764505" cy="3311090"/>
            <wp:effectExtent b="0" l="0" r="0" t="0"/>
            <wp:docPr descr="Figura 9.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40"/>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41" w:name="fig77"/>
      <w:r>
        <w:t xml:space="preserve">Figure </w:t>
      </w:r>
      <w:fldSimple w:instr="SEQ Figure \* ARABIC ">
        <w:r>
          <w:t>77</w:t>
        </w:r>
      </w:fldSimple>
      <w:r>
        <w:t xml:space="preserve">:</w:t>
      </w:r>
      <w:r>
        <w:t xml:space="preserve"> </w:t>
      </w:r>
      <w:bookmarkEnd w:id="241"/>
      <w:r>
        <w:t xml:space="preserve">Figura 9.19: Porcentaje de ganancias en el departamento para la region Orinoquía</w:t>
      </w:r>
    </w:p>
    <w:p>
      <w:pPr>
        <w:pStyle w:val="CaptionedFigure"/>
      </w:pPr>
      <w:r>
        <w:drawing>
          <wp:inline>
            <wp:extent cx="4899258" cy="3532471"/>
            <wp:effectExtent b="0" l="0" r="0" t="0"/>
            <wp:docPr descr="Figura 9.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42"/>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43" w:name="fig78"/>
      <w:r>
        <w:t xml:space="preserve">Figure </w:t>
      </w:r>
      <w:fldSimple w:instr="SEQ Figure \* ARABIC ">
        <w:r>
          <w:t>78</w:t>
        </w:r>
      </w:fldSimple>
      <w:r>
        <w:t xml:space="preserve">:</w:t>
      </w:r>
      <w:r>
        <w:t xml:space="preserve"> </w:t>
      </w:r>
      <w:bookmarkEnd w:id="243"/>
      <w:r>
        <w:t xml:space="preserve">Figura 9.20: Tiempos de adquisición de recetarios en el departamento para la region Orinoquía</w:t>
      </w:r>
    </w:p>
    <w:p>
      <w:pPr>
        <w:numPr>
          <w:ilvl w:val="0"/>
          <w:numId w:val="1020"/>
        </w:numPr>
        <w:pStyle w:val="Compact"/>
      </w:pPr>
      <w:r>
        <w:t xml:space="preserve">CASANARE</w:t>
      </w:r>
    </w:p>
    <w:p>
      <w:pPr>
        <w:numPr>
          <w:ilvl w:val="0"/>
          <w:numId w:val="1020"/>
        </w:numPr>
        <w:pStyle w:val="Compact"/>
      </w:pPr>
      <w:r>
        <w:t xml:space="preserve">META</w:t>
      </w:r>
    </w:p>
    <w:p>
      <w:pPr>
        <w:numPr>
          <w:ilvl w:val="0"/>
          <w:numId w:val="1020"/>
        </w:numPr>
        <w:pStyle w:val="Compact"/>
      </w:pPr>
      <w:r>
        <w:t xml:space="preserve">ARAUCA</w:t>
      </w:r>
    </w:p>
    <w:p>
      <w:pPr>
        <w:numPr>
          <w:ilvl w:val="0"/>
          <w:numId w:val="1020"/>
        </w:numPr>
        <w:pStyle w:val="Compact"/>
      </w:pPr>
      <w:r>
        <w:t xml:space="preserve">VICHADA</w:t>
      </w:r>
    </w:p>
    <w:bookmarkEnd w:id="244"/>
    <w:bookmarkStart w:id="249" w:name="región-pacífica"/>
    <w:p>
      <w:pPr>
        <w:pStyle w:val="Heading2"/>
      </w:pPr>
      <w:r>
        <w:rPr>
          <w:rStyle w:val="SectionNumber"/>
        </w:rPr>
        <w:t xml:space="preserve">9.5</w:t>
      </w:r>
      <w:r>
        <w:tab/>
      </w:r>
      <w:r>
        <w:t xml:space="preserve">Región Pacífica</w:t>
      </w:r>
    </w:p>
    <w:p>
      <w:pPr>
        <w:pStyle w:val="CaptionedFigure"/>
      </w:pPr>
      <w:r>
        <w:drawing>
          <wp:inline>
            <wp:extent cx="4793381" cy="3311090"/>
            <wp:effectExtent b="0" l="0" r="0" t="0"/>
            <wp:docPr descr="Figura 9.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45"/>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46" w:name="fig79"/>
      <w:r>
        <w:t xml:space="preserve">Figure </w:t>
      </w:r>
      <w:fldSimple w:instr="SEQ Figure \* ARABIC ">
        <w:r>
          <w:t>79</w:t>
        </w:r>
      </w:fldSimple>
      <w:r>
        <w:t xml:space="preserve">:</w:t>
      </w:r>
      <w:r>
        <w:t xml:space="preserve"> </w:t>
      </w:r>
      <w:bookmarkEnd w:id="246"/>
      <w:r>
        <w:t xml:space="preserve">Figura 9.21: Porcentaje de ganancias en el departamento para la region Pacífica</w:t>
      </w:r>
    </w:p>
    <w:p>
      <w:pPr>
        <w:pStyle w:val="CaptionedFigure"/>
      </w:pPr>
      <w:r>
        <w:drawing>
          <wp:inline>
            <wp:extent cx="4937760" cy="3532471"/>
            <wp:effectExtent b="0" l="0" r="0" t="0"/>
            <wp:docPr descr="Figura 9.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47"/>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48" w:name="fig80"/>
      <w:r>
        <w:t xml:space="preserve">Figure </w:t>
      </w:r>
      <w:fldSimple w:instr="SEQ Figure \* ARABIC ">
        <w:r>
          <w:t>80</w:t>
        </w:r>
      </w:fldSimple>
      <w:r>
        <w:t xml:space="preserve">:</w:t>
      </w:r>
      <w:r>
        <w:t xml:space="preserve"> </w:t>
      </w:r>
      <w:bookmarkEnd w:id="248"/>
      <w:r>
        <w:t xml:space="preserve">Figura 9.22: Tiempos de adquisición de recetarios en el departamento para la region Pacífica</w:t>
      </w:r>
    </w:p>
    <w:p>
      <w:pPr>
        <w:numPr>
          <w:ilvl w:val="0"/>
          <w:numId w:val="1021"/>
        </w:numPr>
        <w:pStyle w:val="Compact"/>
      </w:pPr>
      <w:r>
        <w:t xml:space="preserve">CAUCA</w:t>
      </w:r>
    </w:p>
    <w:p>
      <w:pPr>
        <w:numPr>
          <w:ilvl w:val="0"/>
          <w:numId w:val="1021"/>
        </w:numPr>
        <w:pStyle w:val="Compact"/>
      </w:pPr>
      <w:r>
        <w:t xml:space="preserve">CHOCÓ</w:t>
      </w:r>
    </w:p>
    <w:p>
      <w:pPr>
        <w:numPr>
          <w:ilvl w:val="0"/>
          <w:numId w:val="1021"/>
        </w:numPr>
        <w:pStyle w:val="Compact"/>
      </w:pPr>
      <w:r>
        <w:t xml:space="preserve">NARIÑO</w:t>
      </w:r>
    </w:p>
    <w:p>
      <w:pPr>
        <w:numPr>
          <w:ilvl w:val="0"/>
          <w:numId w:val="1021"/>
        </w:numPr>
        <w:pStyle w:val="Compact"/>
      </w:pPr>
      <w:r>
        <w:t xml:space="preserve">VALLE DEL CAUCA</w:t>
      </w:r>
    </w:p>
    <w:bookmarkEnd w:id="249"/>
    <w:bookmarkEnd w:id="250"/>
    <w:bookmarkStart w:id="251" w:name="lineamientos-y-recomendaciones-generales"/>
    <w:p>
      <w:pPr>
        <w:pStyle w:val="Heading1"/>
      </w:pPr>
      <w:r>
        <w:rPr>
          <w:rStyle w:val="SectionNumber"/>
        </w:rPr>
        <w:t xml:space="preserve">10</w:t>
      </w:r>
      <w:r>
        <w:tab/>
      </w:r>
      <w:r>
        <w:t xml:space="preserve">Lineamientos y Recomendaciones Generales</w:t>
      </w:r>
    </w:p>
    <w:bookmarkEnd w:id="251"/>
    <w:bookmarkStart w:id="252" w:name="glosario"/>
    <w:p>
      <w:pPr>
        <w:pStyle w:val="Heading1"/>
      </w:pPr>
      <w:r>
        <w:t xml:space="preserve">Glosario</w:t>
      </w:r>
    </w:p>
    <w:p>
      <w:pPr>
        <w:numPr>
          <w:ilvl w:val="0"/>
          <w:numId w:val="1022"/>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22"/>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22"/>
        </w:numPr>
      </w:pPr>
      <w:r>
        <w:rPr>
          <w:bCs/>
          <w:b/>
        </w:rPr>
        <w:t xml:space="preserve">Desabastecimiento</w:t>
      </w:r>
      <w:r>
        <w:t xml:space="preserve">: Se entiende como la nula disponibilidad de un medicamento en todo el territorio nacional.</w:t>
      </w:r>
    </w:p>
    <w:p>
      <w:pPr>
        <w:numPr>
          <w:ilvl w:val="0"/>
          <w:numId w:val="1022"/>
        </w:numPr>
      </w:pPr>
      <w:r>
        <w:rPr>
          <w:bCs/>
          <w:b/>
        </w:rPr>
        <w:t xml:space="preserve">Disponibilidad</w:t>
      </w:r>
      <w:r>
        <w:t xml:space="preserve">: Condición en la cual se cuentan con existencias del medicamento en el territorio nacional.</w:t>
      </w:r>
    </w:p>
    <w:p>
      <w:pPr>
        <w:numPr>
          <w:ilvl w:val="0"/>
          <w:numId w:val="1022"/>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22"/>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22"/>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22"/>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22"/>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22"/>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22"/>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22"/>
        </w:numPr>
      </w:pPr>
      <w:r>
        <w:rPr>
          <w:bCs/>
          <w:b/>
        </w:rPr>
        <w:t xml:space="preserve">Monopolio del Estado</w:t>
      </w:r>
      <w:r>
        <w:t xml:space="preserve">: Derecho poseído de exclusividad por el Estado.</w:t>
      </w:r>
    </w:p>
    <w:p>
      <w:pPr>
        <w:numPr>
          <w:ilvl w:val="0"/>
          <w:numId w:val="1022"/>
        </w:numPr>
      </w:pPr>
      <w:r>
        <w:rPr>
          <w:bCs/>
          <w:b/>
        </w:rPr>
        <w:t xml:space="preserve">Principio Activo</w:t>
      </w:r>
      <w:r>
        <w:t xml:space="preserve">: Compuesto o mezcla de compuestos que tienen acción farmacológica.</w:t>
      </w:r>
    </w:p>
    <w:p>
      <w:pPr>
        <w:numPr>
          <w:ilvl w:val="0"/>
          <w:numId w:val="1022"/>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22"/>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22"/>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22"/>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22"/>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22"/>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52"/>
    <w:bookmarkStart w:id="254" w:name="créditos"/>
    <w:p>
      <w:pPr>
        <w:pStyle w:val="Heading1"/>
      </w:pPr>
      <w:r>
        <w:t xml:space="preserve">Créditos</w:t>
      </w:r>
    </w:p>
    <w:bookmarkStart w:id="253"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53"/>
    <w:bookmarkEnd w:id="254"/>
    <w:bookmarkStart w:id="268" w:name="referencias"/>
    <w:p>
      <w:pPr>
        <w:pStyle w:val="Heading1"/>
      </w:pPr>
      <w:r>
        <w:t xml:space="preserve">Referencias</w:t>
      </w:r>
    </w:p>
    <w:bookmarkStart w:id="267" w:name="refs"/>
    <w:bookmarkStart w:id="255" w:name="ref-MSPS1479-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55"/>
    <w:bookmarkStart w:id="256" w:name="ref-CongresodelaRepublica1974"/>
    <w:p>
      <w:pPr>
        <w:pStyle w:val="Bibliography"/>
      </w:pPr>
      <w:r>
        <w:t xml:space="preserve">2.</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56"/>
    <w:bookmarkStart w:id="257" w:name="X9486f9f085ab4ce8af67cf8503137529dfa00a3"/>
    <w:p>
      <w:pPr>
        <w:pStyle w:val="Bibliography"/>
      </w:pPr>
      <w:r>
        <w:t xml:space="preserve">3.</w:t>
      </w:r>
      <w:r>
        <w:t xml:space="preserve"> </w:t>
      </w:r>
      <w:r>
        <w:t xml:space="preserve">	</w:t>
      </w:r>
      <w:r>
        <w:t xml:space="preserve">Federación Nacional de Departamentos.</w:t>
      </w:r>
      <w:r>
        <w:t xml:space="preserve"> </w:t>
      </w:r>
      <w:r>
        <w:t xml:space="preserve">Sitio Web de la Federaci</w:t>
      </w:r>
      <w:r>
        <w:t xml:space="preserve">ó</w:t>
      </w:r>
      <w:r>
        <w:t xml:space="preserve">n Nacional de Departamentos</w:t>
      </w:r>
      <w:r>
        <w:t xml:space="preserve">. 2021.</w:t>
      </w:r>
    </w:p>
    <w:bookmarkEnd w:id="257"/>
    <w:bookmarkStart w:id="258" w:name="ref-MSPS1478-2006"/>
    <w:p>
      <w:pPr>
        <w:pStyle w:val="Bibliography"/>
      </w:pPr>
      <w:r>
        <w:t xml:space="preserve">4.</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58"/>
    <w:bookmarkStart w:id="259" w:name="ref-DANE2021"/>
    <w:p>
      <w:pPr>
        <w:pStyle w:val="Bibliography"/>
      </w:pPr>
      <w:r>
        <w:t xml:space="preserve">5.</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59"/>
    <w:bookmarkStart w:id="260" w:name="ref-FNE2015-9"/>
    <w:p>
      <w:pPr>
        <w:pStyle w:val="Bibliography"/>
      </w:pPr>
      <w:r>
        <w:t xml:space="preserve">6.</w:t>
      </w:r>
      <w:r>
        <w:t xml:space="preserve"> </w:t>
      </w:r>
      <w:r>
        <w:t xml:space="preserve">	</w:t>
      </w:r>
      <w:r>
        <w:t xml:space="preserve">Fondo Nacional de Estupefacientes.</w:t>
      </w:r>
      <w:r>
        <w:t xml:space="preserve"> </w:t>
      </w:r>
      <w:r>
        <w:t xml:space="preserve">Circular Externa 009 de 2015 del FNE</w:t>
      </w:r>
      <w:r>
        <w:t xml:space="preserve">. 2015.</w:t>
      </w:r>
    </w:p>
    <w:bookmarkEnd w:id="260"/>
    <w:bookmarkStart w:id="261" w:name="ref-CongresodelaRepublicadeColombia1993"/>
    <w:p>
      <w:pPr>
        <w:pStyle w:val="Bibliography"/>
      </w:pPr>
      <w:r>
        <w:t xml:space="preserve">7.</w:t>
      </w:r>
      <w:r>
        <w:t xml:space="preserve"> </w:t>
      </w:r>
      <w:r>
        <w:t xml:space="preserve">	</w:t>
      </w:r>
      <w:r>
        <w:t xml:space="preserve">Congreso de la República de Colombia.</w:t>
      </w:r>
      <w:r>
        <w:t xml:space="preserve"> </w:t>
      </w:r>
      <w:r>
        <w:t xml:space="preserve">Ley 80 de 1993: Por la cual se expide el Estatuto General de Contrataci</w:t>
      </w:r>
      <w:r>
        <w:t xml:space="preserve">ó</w:t>
      </w:r>
      <w:r>
        <w:t xml:space="preserve">n de la Administraci</w:t>
      </w:r>
      <w:r>
        <w:t xml:space="preserve">ó</w:t>
      </w:r>
      <w:r>
        <w:t xml:space="preserve">n P</w:t>
      </w:r>
      <w:r>
        <w:t xml:space="preserve">ú</w:t>
      </w:r>
      <w:r>
        <w:t xml:space="preserve">blica</w:t>
      </w:r>
      <w:r>
        <w:t xml:space="preserve">. 1993.</w:t>
      </w:r>
    </w:p>
    <w:bookmarkEnd w:id="261"/>
    <w:bookmarkStart w:id="262" w:name="ref-CongresodelaRepublicadeColombia2007"/>
    <w:p>
      <w:pPr>
        <w:pStyle w:val="Bibliography"/>
      </w:pPr>
      <w:r>
        <w:t xml:space="preserve">8.</w:t>
      </w:r>
      <w:r>
        <w:t xml:space="preserve"> </w:t>
      </w:r>
      <w:r>
        <w:t xml:space="preserve">	</w:t>
      </w:r>
      <w:r>
        <w:t xml:space="preserve">Congreso de la República de Colombia.</w:t>
      </w:r>
      <w:r>
        <w:t xml:space="preserve"> </w:t>
      </w:r>
      <w:r>
        <w:t xml:space="preserve">Ley 1150 de 2007: Por medio de la cual se introducen medidas para la eficiencia y la transparencia en la Ley 80 de 1993 y se dictan otras disposiciones generales sobre la contrataci</w:t>
      </w:r>
      <w:r>
        <w:t xml:space="preserve">ó</w:t>
      </w:r>
      <w:r>
        <w:t xml:space="preserve">n con Recursos P</w:t>
      </w:r>
      <w:r>
        <w:t xml:space="preserve">ú</w:t>
      </w:r>
      <w:r>
        <w:t xml:space="preserve">blicos.</w:t>
      </w:r>
      <w:r>
        <w:t xml:space="preserve"> 2007.</w:t>
      </w:r>
    </w:p>
    <w:bookmarkEnd w:id="262"/>
    <w:bookmarkStart w:id="263" w:name="ref-FNE005-2019"/>
    <w:p>
      <w:pPr>
        <w:pStyle w:val="Bibliography"/>
      </w:pPr>
      <w:r>
        <w:t xml:space="preserve">9.</w:t>
      </w:r>
      <w:r>
        <w:t xml:space="preserve"> </w:t>
      </w:r>
      <w:r>
        <w:t xml:space="preserve">	</w:t>
      </w:r>
      <w:r>
        <w:t xml:space="preserve">Fondo Nacional de Estupefacientes.</w:t>
      </w:r>
      <w:r>
        <w:t xml:space="preserve"> </w:t>
      </w:r>
      <w:r>
        <w:t xml:space="preserve">Circular Externa 009 del 2019. Compra de Medicamentos Monopolio del Estado a trav</w:t>
      </w:r>
      <w:r>
        <w:t xml:space="preserve">é</w:t>
      </w:r>
      <w:r>
        <w:t xml:space="preserve">s de la Tienda Virtual del Estado Colombiano con el Instrumento de Agregaci</w:t>
      </w:r>
      <w:r>
        <w:t xml:space="preserve">ó</w:t>
      </w:r>
      <w:r>
        <w:t xml:space="preserve">n de Demanda</w:t>
      </w:r>
      <w:r>
        <w:t xml:space="preserve">. 2019.</w:t>
      </w:r>
    </w:p>
    <w:bookmarkEnd w:id="263"/>
    <w:bookmarkStart w:id="264" w:name="ref-Silver2017"/>
    <w:p>
      <w:pPr>
        <w:pStyle w:val="Bibliography"/>
      </w:pPr>
      <w:r>
        <w:t xml:space="preserve">10.</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64"/>
    <w:bookmarkStart w:id="265" w:name="X4e956815ca1199d73a39485c932e7d8485463a0"/>
    <w:p>
      <w:pPr>
        <w:pStyle w:val="Bibliography"/>
      </w:pPr>
      <w:r>
        <w:t xml:space="preserve">11.</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65"/>
    <w:bookmarkStart w:id="266" w:name="ref-HernandezVera2017"/>
    <w:p>
      <w:pPr>
        <w:pStyle w:val="Bibliography"/>
      </w:pPr>
      <w:r>
        <w:t xml:space="preserve">12.</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66"/>
    <w:bookmarkEnd w:id="267"/>
    <w:bookmarkEnd w:id="2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4" Target="media/rId174.png" /><Relationship Type="http://schemas.openxmlformats.org/officeDocument/2006/relationships/image" Id="rId71" Target="media/rId71.png" /><Relationship Type="http://schemas.openxmlformats.org/officeDocument/2006/relationships/image" Id="rId134" Target="media/rId134.png" /><Relationship Type="http://schemas.openxmlformats.org/officeDocument/2006/relationships/image" Id="rId136" Target="media/rId136.png" /><Relationship Type="http://schemas.openxmlformats.org/officeDocument/2006/relationships/image" Id="rId103" Target="media/rId103.png" /><Relationship Type="http://schemas.openxmlformats.org/officeDocument/2006/relationships/image" Id="rId78" Target="media/rId78.png" /><Relationship Type="http://schemas.openxmlformats.org/officeDocument/2006/relationships/image" Id="rId154" Target="media/rId154.png" /><Relationship Type="http://schemas.openxmlformats.org/officeDocument/2006/relationships/image" Id="rId165" Target="media/rId165.png" /><Relationship Type="http://schemas.openxmlformats.org/officeDocument/2006/relationships/image" Id="rId62" Target="media/rId62.png" /><Relationship Type="http://schemas.openxmlformats.org/officeDocument/2006/relationships/image" Id="rId156" Target="media/rId156.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88" Target="media/rId88.png" /><Relationship Type="http://schemas.openxmlformats.org/officeDocument/2006/relationships/image" Id="rId106" Target="media/rId106.png" /><Relationship Type="http://schemas.openxmlformats.org/officeDocument/2006/relationships/image" Id="rId131" Target="media/rId131.png" /><Relationship Type="http://schemas.openxmlformats.org/officeDocument/2006/relationships/image" Id="rId124" Target="media/rId124.png" /><Relationship Type="http://schemas.openxmlformats.org/officeDocument/2006/relationships/image" Id="rId108" Target="media/rId108.png" /><Relationship Type="http://schemas.openxmlformats.org/officeDocument/2006/relationships/image" Id="rId177" Target="media/rId177.png" /><Relationship Type="http://schemas.openxmlformats.org/officeDocument/2006/relationships/image" Id="rId163" Target="media/rId163.png" /><Relationship Type="http://schemas.openxmlformats.org/officeDocument/2006/relationships/image" Id="rId94" Target="media/rId94.png" /><Relationship Type="http://schemas.openxmlformats.org/officeDocument/2006/relationships/image" Id="rId176" Target="media/rId176.png" /><Relationship Type="http://schemas.openxmlformats.org/officeDocument/2006/relationships/image" Id="rId178" Target="media/rId178.png" /><Relationship Type="http://schemas.openxmlformats.org/officeDocument/2006/relationships/image" Id="rId179" Target="media/rId179.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180" Target="media/rId180.png" /><Relationship Type="http://schemas.openxmlformats.org/officeDocument/2006/relationships/image" Id="rId86" Target="media/rId86.png" /><Relationship Type="http://schemas.openxmlformats.org/officeDocument/2006/relationships/image" Id="rId121" Target="media/rId121.png" /><Relationship Type="http://schemas.openxmlformats.org/officeDocument/2006/relationships/image" Id="rId76" Target="media/rId76.png" /><Relationship Type="http://schemas.openxmlformats.org/officeDocument/2006/relationships/image" Id="rId152" Target="media/rId152.png" /><Relationship Type="http://schemas.openxmlformats.org/officeDocument/2006/relationships/image" Id="rId126" Target="media/rId126.png" /><Relationship Type="http://schemas.openxmlformats.org/officeDocument/2006/relationships/image" Id="rId160" Target="media/rId160.png" /><Relationship Type="http://schemas.openxmlformats.org/officeDocument/2006/relationships/image" Id="rId64" Target="media/rId64.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73" Target="media/rId173.png" /><Relationship Type="http://schemas.openxmlformats.org/officeDocument/2006/relationships/image" Id="rId80" Target="media/rId80.png" /><Relationship Type="http://schemas.openxmlformats.org/officeDocument/2006/relationships/image" Id="rId158" Target="media/rId158.png" /><Relationship Type="http://schemas.openxmlformats.org/officeDocument/2006/relationships/image" Id="rId175" Target="media/rId175.png" /><Relationship Type="http://schemas.openxmlformats.org/officeDocument/2006/relationships/image" Id="rId73" Target="media/rId73.png" /><Relationship Type="http://schemas.openxmlformats.org/officeDocument/2006/relationships/image" Id="rId84" Target="media/rId84.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69" Target="media/rId169.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14" Target="media/rId114.png" /><Relationship Type="http://schemas.openxmlformats.org/officeDocument/2006/relationships/image" Id="rId100" Target="media/rId100.png" /><Relationship Type="http://schemas.openxmlformats.org/officeDocument/2006/relationships/image" Id="rId139" Target="media/rId139.png" /><Relationship Type="http://schemas.openxmlformats.org/officeDocument/2006/relationships/image" Id="rId118" Target="media/rId118.png" /><Relationship Type="http://schemas.openxmlformats.org/officeDocument/2006/relationships/image" Id="rId145" Target="media/rId145.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67" Target="media/rId6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147" Target="media/rId147.png" /><Relationship Type="http://schemas.openxmlformats.org/officeDocument/2006/relationships/image" Id="rId24" Target="media/rId24.png" /><Relationship Type="http://schemas.openxmlformats.org/officeDocument/2006/relationships/image" Id="rId69" Target="media/rId69.png" /><Relationship Type="http://schemas.openxmlformats.org/officeDocument/2006/relationships/image" Id="rId184" Target="media/rId184.jpg" /><Relationship Type="http://schemas.openxmlformats.org/officeDocument/2006/relationships/image" Id="rId208" Target="media/rId208.jpg" /><Relationship Type="http://schemas.openxmlformats.org/officeDocument/2006/relationships/image" Id="rId210" Target="media/rId210.png" /><Relationship Type="http://schemas.openxmlformats.org/officeDocument/2006/relationships/image" Id="rId212" Target="media/rId212.png" /><Relationship Type="http://schemas.openxmlformats.org/officeDocument/2006/relationships/image" Id="rId214" Target="media/rId214.png" /><Relationship Type="http://schemas.openxmlformats.org/officeDocument/2006/relationships/image" Id="rId216" Target="media/rId216.png" /><Relationship Type="http://schemas.openxmlformats.org/officeDocument/2006/relationships/image" Id="rId186" Target="media/rId186.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5" Target="media/rId235.png" /><Relationship Type="http://schemas.openxmlformats.org/officeDocument/2006/relationships/image" Id="rId237" Target="media/rId237.png" /><Relationship Type="http://schemas.openxmlformats.org/officeDocument/2006/relationships/image" Id="rId188" Target="media/rId188.png" /><Relationship Type="http://schemas.openxmlformats.org/officeDocument/2006/relationships/image" Id="rId240" Target="media/rId240.png" /><Relationship Type="http://schemas.openxmlformats.org/officeDocument/2006/relationships/image" Id="rId242" Target="media/rId242.png" /><Relationship Type="http://schemas.openxmlformats.org/officeDocument/2006/relationships/image" Id="rId190" Target="media/rId190.png" /><Relationship Type="http://schemas.openxmlformats.org/officeDocument/2006/relationships/image" Id="rId245" Target="media/rId245.png" /><Relationship Type="http://schemas.openxmlformats.org/officeDocument/2006/relationships/image" Id="rId247" Target="media/rId247.png" /><Relationship Type="http://schemas.openxmlformats.org/officeDocument/2006/relationships/image" Id="rId195" Target="media/rId195.png" /><Relationship Type="http://schemas.openxmlformats.org/officeDocument/2006/relationships/image" Id="rId197" Target="media/rId197.png" /><Relationship Type="http://schemas.openxmlformats.org/officeDocument/2006/relationships/image" Id="rId204" Target="media/rId20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2021-10-06T19:14:17Z</dcterms:created>
  <dcterms:modified xsi:type="dcterms:W3CDTF">2021-10-06T19:14:17Z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sl">
    <vt:lpwstr>infectio.csl</vt:lpwstr>
  </property>
  <property fmtid="{D5CDD505-2E9C-101B-9397-08002B2CF9AE}" pid="6" name="css">
    <vt:lpwstr>./www/style.css</vt:lpwstr>
  </property>
  <property fmtid="{D5CDD505-2E9C-101B-9397-08002B2CF9AE}" pid="7" name="date">
    <vt:lpwstr>24 de septiembre de 2021</vt:lpwstr>
  </property>
  <property fmtid="{D5CDD505-2E9C-101B-9397-08002B2CF9AE}" pid="8" name="documentclass">
    <vt:lpwstr>book</vt:lpwstr>
  </property>
  <property fmtid="{D5CDD505-2E9C-101B-9397-08002B2CF9AE}" pid="9" name="encoding">
    <vt:lpwstr>UTF-8</vt:lpwstr>
  </property>
  <property fmtid="{D5CDD505-2E9C-101B-9397-08002B2CF9AE}" pid="10" name="institution">
    <vt:lpwstr>Fondo Nacional de Estupefacientes</vt:lpwstr>
  </property>
  <property fmtid="{D5CDD505-2E9C-101B-9397-08002B2CF9AE}" pid="11" name="link-citations">
    <vt:lpwstr>yes</vt:lpwstr>
  </property>
  <property fmtid="{D5CDD505-2E9C-101B-9397-08002B2CF9AE}" pid="12" name="output">
    <vt:lpwstr/>
  </property>
  <property fmtid="{D5CDD505-2E9C-101B-9397-08002B2CF9AE}" pid="13" name="site">
    <vt:lpwstr>bookdown::bookdown_site</vt:lpwstr>
  </property>
  <property fmtid="{D5CDD505-2E9C-101B-9397-08002B2CF9AE}" pid="14" name="toc-title">
    <vt:lpwstr>Tabla de Contenidos</vt:lpwstr>
  </property>
</Properties>
</file>