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0.png" ContentType="image/png"/>
  <Override PartName="/word/media/rId85.png" ContentType="image/png"/>
  <Override PartName="/word/media/rId150.png" ContentType="image/png"/>
  <Override PartName="/word/media/rId152.png" ContentType="image/png"/>
  <Override PartName="/word/media/rId119.png" ContentType="image/png"/>
  <Override PartName="/word/media/rId100.png" ContentType="image/png"/>
  <Override PartName="/word/media/rId170.png" ContentType="image/png"/>
  <Override PartName="/word/media/rId181.png" ContentType="image/png"/>
  <Override PartName="/word/media/rId61.png" ContentType="image/png"/>
  <Override PartName="/word/media/rId172.png" ContentType="image/png"/>
  <Override PartName="/word/media/rId112.png" ContentType="image/png"/>
  <Override PartName="/word/media/rId113.png" ContentType="image/png"/>
  <Override PartName="/word/media/rId104.png" ContentType="image/png"/>
  <Override PartName="/word/media/rId122.png" ContentType="image/png"/>
  <Override PartName="/word/media/rId147.png" ContentType="image/png"/>
  <Override PartName="/word/media/rId140.png" ContentType="image/png"/>
  <Override PartName="/word/media/rId124.png" ContentType="image/png"/>
  <Override PartName="/word/media/rId193.png" ContentType="image/png"/>
  <Override PartName="/word/media/rId179.png" ContentType="image/png"/>
  <Override PartName="/word/media/rId110.png" ContentType="image/png"/>
  <Override PartName="/word/media/rId192.png" ContentType="image/png"/>
  <Override PartName="/word/media/rId194.png" ContentType="image/png"/>
  <Override PartName="/word/media/rId195.png" ContentType="image/png"/>
  <Override PartName="/word/media/rId43.png" ContentType="image/png"/>
  <Override PartName="/word/media/rId45.png" ContentType="image/png"/>
  <Override PartName="/word/media/rId196.png" ContentType="image/png"/>
  <Override PartName="/word/media/rId92.png" ContentType="image/png"/>
  <Override PartName="/word/media/rId137.png" ContentType="image/png"/>
  <Override PartName="/word/media/rId98.png" ContentType="image/png"/>
  <Override PartName="/word/media/rId168.png" ContentType="image/png"/>
  <Override PartName="/word/media/rId142.png" ContentType="image/png"/>
  <Override PartName="/word/media/rId176.png" ContentType="image/png"/>
  <Override PartName="/word/media/rId64.png" ContentType="image/png"/>
  <Override PartName="/word/media/rId144.png" ContentType="image/png"/>
  <Override PartName="/word/media/rId145.png" ContentType="image/png"/>
  <Override PartName="/word/media/rId189.png" ContentType="image/png"/>
  <Override PartName="/word/media/rId77.png" ContentType="image/png"/>
  <Override PartName="/word/media/rId174.png" ContentType="image/png"/>
  <Override PartName="/word/media/rId191.png" ContentType="image/png"/>
  <Override PartName="/word/media/rId87.png" ContentType="image/png"/>
  <Override PartName="/word/media/rId90.png" ContentType="image/png"/>
  <Override PartName="/word/media/rId82.png" ContentType="image/png"/>
  <Override PartName="/word/media/rId185.png" ContentType="image/png"/>
  <Override PartName="/word/media/rId183.png" ContentType="image/png"/>
  <Override PartName="/word/media/rId187.png" ContentType="image/png"/>
  <Override PartName="/word/media/rId128.png" ContentType="image/png"/>
  <Override PartName="/word/media/rId132.png" ContentType="image/png"/>
  <Override PartName="/word/media/rId130.png" ContentType="image/png"/>
  <Override PartName="/word/media/rId116.png" ContentType="image/png"/>
  <Override PartName="/word/media/rId155.png" ContentType="image/png"/>
  <Override PartName="/word/media/rId134.png" ContentType="image/png"/>
  <Override PartName="/word/media/rId161.png" ContentType="image/png"/>
  <Override PartName="/word/media/rId58.png" ContentType="image/png"/>
  <Override PartName="/word/media/rId56.png" ContentType="image/png"/>
  <Override PartName="/word/media/rId53.png" ContentType="image/png"/>
  <Override PartName="/word/media/rId95.png" ContentType="image/png"/>
  <Override PartName="/word/media/rId49.png" ContentType="image/png"/>
  <Override PartName="/word/media/rId51.png" ContentType="image/png"/>
  <Override PartName="/word/media/rId36.png" ContentType="image/png"/>
  <Override PartName="/word/media/rId38.png" ContentType="image/png"/>
  <Override PartName="/word/media/rId40.png" ContentType="image/png"/>
  <Override PartName="/word/media/rId68.png" ContentType="image/png"/>
  <Override PartName="/word/media/rId29.png" ContentType="image/png"/>
  <Override PartName="/word/media/rId30.png" ContentType="image/png"/>
  <Override PartName="/word/media/rId27.png" ContentType="image/png"/>
  <Override PartName="/word/media/rId32.png" ContentType="image/png"/>
  <Override PartName="/word/media/rId159.png" ContentType="image/png"/>
  <Override PartName="/word/media/rId163.png" ContentType="image/png"/>
  <Override PartName="/word/media/rId24.png" ContentType="image/png"/>
  <Override PartName="/word/media/rId73.png" ContentType="image/png"/>
  <Override PartName="/word/media/rId200.jpg" ContentType="image/jpeg"/>
  <Override PartName="/word/media/rId224.jpg" ContentType="image/jpeg"/>
  <Override PartName="/word/media/rId226.png" ContentType="image/png"/>
  <Override PartName="/word/media/rId228.png" ContentType="image/png"/>
  <Override PartName="/word/media/rId230.png" ContentType="image/png"/>
  <Override PartName="/word/media/rId232.png" ContentType="image/png"/>
  <Override PartName="/word/media/rId202.png" ContentType="image/png"/>
  <Override PartName="/word/media/rId237.png" ContentType="image/png"/>
  <Override PartName="/word/media/rId240.png" ContentType="image/png"/>
  <Override PartName="/word/media/rId243.png" ContentType="image/png"/>
  <Override PartName="/word/media/rId246.png" ContentType="image/png"/>
  <Override PartName="/word/media/rId251.png" ContentType="image/png"/>
  <Override PartName="/word/media/rId253.png" ContentType="image/png"/>
  <Override PartName="/word/media/rId204.png" ContentType="image/png"/>
  <Override PartName="/word/media/rId256.png" ContentType="image/png"/>
  <Override PartName="/word/media/rId258.png" ContentType="image/png"/>
  <Override PartName="/word/media/rId206.png" ContentType="image/png"/>
  <Override PartName="/word/media/rId261.png" ContentType="image/png"/>
  <Override PartName="/word/media/rId263.png" ContentType="image/png"/>
  <Override PartName="/word/media/rId211.png" ContentType="image/png"/>
  <Override PartName="/word/media/rId213.png" ContentType="image/png"/>
  <Override PartName="/word/media/rId220.png" ContentType="image/png"/>
  <Override PartName="/word/media/rId70.jpg" ContentType="image/jpe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8"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1</w:t>
        </w:r>
      </w:hyperlink>
      <w:r>
        <w:t xml:space="preserve">.</w:t>
      </w:r>
    </w:p>
    <w:bookmarkStart w:id="26"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1</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8"/>
        </w:numPr>
        <w:pStyle w:val="Compact"/>
      </w:pPr>
      <w:r>
        <w:t xml:space="preserve">Ordenanzas</w:t>
      </w:r>
    </w:p>
    <w:p>
      <w:pPr>
        <w:numPr>
          <w:ilvl w:val="0"/>
          <w:numId w:val="1008"/>
        </w:numPr>
        <w:pStyle w:val="Compact"/>
      </w:pPr>
      <w:r>
        <w:t xml:space="preserve">Resoluciones</w:t>
      </w:r>
    </w:p>
    <w:p>
      <w:pPr>
        <w:numPr>
          <w:ilvl w:val="0"/>
          <w:numId w:val="1008"/>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2</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 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4267200"/>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3</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4</w:t>
        </w:r>
      </w:hyperlink>
      <w:r>
        <w:t xml:space="preserve"> </w:t>
      </w:r>
      <w:r>
        <w:t xml:space="preserve">y Resolución 1479 del 2006</w:t>
      </w:r>
      <w:hyperlink w:anchor="ref-MSPS1479-2006">
        <w:r>
          <w:rPr>
            <w:rStyle w:val="Hyperlink"/>
            <w:vertAlign w:val="superscript"/>
          </w:rPr>
          <w:t xml:space="preserve">1</w:t>
        </w:r>
      </w:hyperlink>
      <w:r>
        <w:t xml:space="preserve">. Durante las asistencias técnicas desarrolladas, se presentaron algunos casos como Córdoba y Vaupés en los cuales no fue posibles verificar el acto administrativo de creación.</w:t>
      </w:r>
    </w:p>
    <w:bookmarkEnd w:id="26"/>
    <w:bookmarkStart w:id="35"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09"/>
        </w:numPr>
      </w:pPr>
      <w:r>
        <w:t xml:space="preserve">De acuerdo con sí la persona era la encargada del FRE o un apoyo del(a) encargado(a).</w:t>
      </w:r>
    </w:p>
    <w:p>
      <w:pPr>
        <w:numPr>
          <w:ilvl w:val="0"/>
          <w:numId w:val="1009"/>
        </w:numPr>
      </w:pPr>
      <w:r>
        <w:t xml:space="preserve">De acuerdo con la carga laboral relacionada con actividades del FRE. Se consideró como personal directo a aquel que desempeña más de un 50% de su tiempo en actividades relacionadas al FRE y personal vinculado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1</w:t>
        </w:r>
      </w:hyperlink>
      <w:r>
        <w:t xml:space="preserve">, donde mencionan que el Químicos Farmacéuticos y Tecnólogos en Regencia en Farmacia son profesionales considerados como personal calificado para el cumplimiento de las funciones requeridas por el FRE.</w:t>
      </w:r>
    </w:p>
    <w:p>
      <w:pPr>
        <w:pStyle w:val="BodyText"/>
      </w:pPr>
      <w:r>
        <w:drawing>
          <wp:inline>
            <wp:extent cx="5334000" cy="4000500"/>
            <wp:effectExtent b="0" l="0" r="0" t="0"/>
            <wp:docPr descr="Figura 4.3: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1</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1</w:t>
        </w:r>
      </w:hyperlink>
      <w:r>
        <w:t xml:space="preserve">. La Figura</w:t>
      </w:r>
      <w:r>
        <w:t xml:space="preserve"> </w:t>
      </w:r>
      <w:r>
        <w:t xml:space="preserve">4.4</w:t>
      </w:r>
      <w:r>
        <w:t xml:space="preserve"> </w:t>
      </w:r>
      <w:r>
        <w:t xml:space="preserve">exhibe la frecuencia absoluta del número de personas que se encuentran vinculadas a los entes territoriales del país. Es decir, la cantidad de profesionales que conforman los equipos de trabajo de todos los FRE departamentales.</w:t>
      </w:r>
    </w:p>
    <w:p>
      <w:pPr>
        <w:pStyle w:val="CaptionedFigure"/>
      </w:pPr>
      <w:r>
        <w:drawing>
          <wp:inline>
            <wp:extent cx="5334000" cy="2051538"/>
            <wp:effectExtent b="0" l="0" r="0" t="0"/>
            <wp:docPr descr="Figura 4.4: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0"/>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1" w:name="fig3"/>
      <w:r>
        <w:t xml:space="preserve">Figure </w:t>
      </w:r>
      <w:fldSimple w:instr="SEQ Figure \* ARABIC ">
        <w:r>
          <w:t>3</w:t>
        </w:r>
      </w:fldSimple>
      <w:r>
        <w:t xml:space="preserve">:</w:t>
      </w:r>
      <w:r>
        <w:t xml:space="preserve"> </w:t>
      </w:r>
      <w:bookmarkEnd w:id="31"/>
      <w:r>
        <w:t xml:space="preserve">Figura 4.4: N.° de personas que trabajan en el FRE</w:t>
      </w:r>
    </w:p>
    <w:p>
      <w:pPr>
        <w:pStyle w:val="BodyText"/>
      </w:pPr>
      <w:r>
        <w:t xml:space="preserve">Según lo anterior, podemos evidenciar que no son muchas personas vinculadas a los FRE para conformar su equipo de trabajo. En su gran mayoría tienen únicamente hasta tres personas para el desempeño del FRE, contemplando que nueve FRE tienen solo 2 personas vinculadas. Son muy pocos entes territoriales que mantienen un grupo de trabajo grande con profesionales interdisciplinarios. La Figura</w:t>
      </w:r>
      <w:r>
        <w:t xml:space="preserve"> </w:t>
      </w:r>
      <w:r>
        <w:t xml:space="preserve">4.4</w:t>
      </w:r>
      <w:r>
        <w:t xml:space="preserve"> </w:t>
      </w:r>
      <w:r>
        <w:t xml:space="preserve">exhibe de manera completa los datos que acompañan el análisis anterior.</w:t>
      </w:r>
    </w:p>
    <w:p>
      <w:pPr>
        <w:pStyle w:val="BodyText"/>
      </w:pPr>
      <w:r>
        <w:t xml:space="preserve">El tipo de contrato que los diferentes entes territoriales emplean para vincular el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gran tendencia que tienen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3" w:name="fig4"/>
      <w:r>
        <w:t xml:space="preserve">Figure </w:t>
      </w:r>
      <w:fldSimple w:instr="SEQ Figure \* ARABIC ">
        <w:r>
          <w:t>4</w:t>
        </w:r>
      </w:fldSimple>
      <w:r>
        <w:t xml:space="preserve">:</w:t>
      </w:r>
      <w:r>
        <w:t xml:space="preserve"> </w:t>
      </w:r>
      <w:bookmarkEnd w:id="33"/>
      <w:r>
        <w:t xml:space="preserve">Figura 4.5: Tipo de vinculación al FRE</w:t>
      </w:r>
    </w:p>
    <w:p>
      <w:pPr>
        <w:pStyle w:val="BodyText"/>
      </w:pPr>
      <w:r>
        <w:t xml:space="preserve">La anterior tendencia puede interferir y generar inconvenientes en la continuidad del desarrollo adecuado del FRE, afectando la funcionalidad y abandonando algunas actividades críticas para el cumplimiento de sus objetivos de creación. En algunos casos, este tipo de personas vinculadas por CPS, dejan de laborar los primeros meses del año, ya que su contrato finalizó el año pasado,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4" w:name="table1"/>
      <w:r>
        <w:t xml:space="preserve">Table </w:t>
      </w:r>
      <w:fldSimple w:instr="SEQ Table \* ARABIC ">
        <w:r>
          <w:t>1</w:t>
        </w:r>
      </w:fldSimple>
      <w:r>
        <w:t xml:space="preserve">:</w:t>
      </w:r>
      <w:bookmarkEnd w:id="34"/>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5"/>
    <w:bookmarkStart w:id="42"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siguiente Figura</w:t>
      </w:r>
      <w:r>
        <w:t xml:space="preserve"> </w:t>
      </w:r>
      <w:r>
        <w:t xml:space="preserve">4.6</w:t>
      </w:r>
      <w:r>
        <w:t xml:space="preserve">, donde se exhibe el número de inscritos en cada FRE departamental. A partir de esta información, se puede apreciar el ente territorial con mayor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exceptuando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5</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7" w:name="fig5"/>
      <w:r>
        <w:t xml:space="preserve">Figure </w:t>
      </w:r>
      <w:fldSimple w:instr="SEQ Figure \* ARABIC ">
        <w:r>
          <w:t>5</w:t>
        </w:r>
      </w:fldSimple>
      <w:r>
        <w:t xml:space="preserve">:</w:t>
      </w:r>
      <w:r>
        <w:t xml:space="preserve"> </w:t>
      </w:r>
      <w:bookmarkEnd w:id="37"/>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5</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cob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no da abasto con todas las tareas requeridas para su funcionamiento integral.</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tomando por ejemplo el caso de la región pacífico que está compuesta por Valle del Cauca, Cauca, Chocó y Nariño. Los departamentos de Valle del Cauca y Nariño tienen una alta densidad poblacional y en la Figura</w:t>
      </w:r>
      <w:r>
        <w:t xml:space="preserve"> </w:t>
      </w:r>
      <w:r>
        <w:t xml:space="preserve">4.7</w:t>
      </w:r>
      <w:r>
        <w:t xml:space="preserve"> </w:t>
      </w:r>
      <w:r>
        <w:t xml:space="preserve">también se puede observar que están respectivamente por encima y por debajo de la media en el recurso humano que tienen para su funcionamiento y son quienes envían informes de manera puntual al FNE, mientras que el departamento del Cauca supera en recurso humano a Nariño por más del doble de personal y existe un importante atraso en el envío de estos informes, posiblemente sean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6"/>
      <w:r>
        <w:t xml:space="preserve">Figure </w:t>
      </w:r>
      <w:fldSimple w:instr="SEQ Figure \* ARABIC ">
        <w:r>
          <w:t>6</w:t>
        </w:r>
      </w:fldSimple>
      <w:r>
        <w:t xml:space="preserve">:</w:t>
      </w:r>
      <w:r>
        <w:t xml:space="preserve"> </w:t>
      </w:r>
      <w:bookmarkEnd w:id="39"/>
      <w:r>
        <w:t xml:space="preserve">Figura 4.7: Relación entre N° de instituciones inscritas y personal del FRE</w:t>
      </w:r>
    </w:p>
    <w:p>
      <w:pPr>
        <w:pStyle w:val="CaptionedFigure"/>
      </w:pPr>
      <w:r>
        <w:drawing>
          <wp:inline>
            <wp:extent cx="5334000" cy="2133600"/>
            <wp:effectExtent b="0" l="0" r="0" t="0"/>
            <wp:docPr descr="Figura 4.8: Relación entre N° de instituciones inscritas y tamaño poblacional del departamento y número de camas de acuerdo a REP"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1" w:name="fig7"/>
      <w:r>
        <w:t xml:space="preserve">Figure </w:t>
      </w:r>
      <w:fldSimple w:instr="SEQ Figure \* ARABIC ">
        <w:r>
          <w:t>7</w:t>
        </w:r>
      </w:fldSimple>
      <w:r>
        <w:t xml:space="preserve">:</w:t>
      </w:r>
      <w:r>
        <w:t xml:space="preserve"> </w:t>
      </w:r>
      <w:bookmarkEnd w:id="41"/>
      <w:r>
        <w:t xml:space="preserve">Figura 4.8: Relación entre N° de instituciones inscritas y tamaño poblacional del departamento y número de camas de acuerdo a REP</w:t>
      </w:r>
    </w:p>
    <w:bookmarkEnd w:id="42"/>
    <w:bookmarkStart w:id="47"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punto, se hará exclusivamente con la información recolectada a partir del instrumento de encuesta que se usó para la recolección de información pertinente en este informe.</w:t>
      </w:r>
    </w:p>
    <w:p>
      <w:pPr>
        <w:pStyle w:val="BodyText"/>
      </w:pPr>
      <w:r>
        <w:t xml:space="preserve">Cómo antecedente en el análisis, se entiende según las definiciones de la Resolución 1478 del 2006</w:t>
      </w:r>
      <w:hyperlink w:anchor="ref-MSPS1478-2006">
        <w:r>
          <w:rPr>
            <w:rStyle w:val="Hyperlink"/>
            <w:vertAlign w:val="superscript"/>
          </w:rPr>
          <w:t xml:space="preserve">4</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1</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anteriormente citada que define las funciones y capacidades de los FRE, pudiendo generar bloqueos o demoras en determinados procesos internos que permitan un funcionamiento integral en el manejo de los MME.</w:t>
      </w:r>
    </w:p>
    <w:p>
      <w:pPr>
        <w:pStyle w:val="BodyText"/>
      </w:pPr>
      <w:r>
        <w:t xml:space="preserve">Hecho este primer paso sobre entender de manera sucinta la relación que tienen los FRE con sus respectivas entidades territoriales, se puede comenzar a hacer el análisis de las gráficas con los resultados del instrumento de encuesta realizado.</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4" w:name="fig8"/>
      <w:r>
        <w:t xml:space="preserve">Figure </w:t>
      </w:r>
      <w:fldSimple w:instr="SEQ Figure \* ARABIC ">
        <w:r>
          <w:t>8</w:t>
        </w:r>
      </w:fldSimple>
      <w:r>
        <w:t xml:space="preserve">:</w:t>
      </w:r>
      <w:r>
        <w:t xml:space="preserve"> </w:t>
      </w:r>
      <w:bookmarkEnd w:id="44"/>
      <w:r>
        <w:t xml:space="preserve">Figura 4.9: Proporción de fuentes de ingresos de los FRE</w:t>
      </w:r>
    </w:p>
    <w:p>
      <w:pPr>
        <w:pStyle w:val="BodyText"/>
      </w:pPr>
      <w:r>
        <w:t xml:space="preserve">La Figura</w:t>
      </w:r>
      <w:r>
        <w:t xml:space="preserve"> </w:t>
      </w:r>
      <w:r>
        <w:t xml:space="preserve">4.9</w:t>
      </w:r>
      <w:r>
        <w:t xml:space="preserve">, nos muestra la proporción de los ingresos del FRE en sus cuentas bancarias, en base a las que serían sus principales actividades, cómo lo son:</w:t>
      </w:r>
    </w:p>
    <w:p>
      <w:pPr>
        <w:numPr>
          <w:ilvl w:val="0"/>
          <w:numId w:val="1010"/>
        </w:numPr>
      </w:pPr>
      <w:r>
        <w:t xml:space="preserve">Venta de Medicamentos Monopolio del Estado</w:t>
      </w:r>
    </w:p>
    <w:p>
      <w:pPr>
        <w:numPr>
          <w:ilvl w:val="0"/>
          <w:numId w:val="1010"/>
        </w:numPr>
      </w:pPr>
      <w:r>
        <w:t xml:space="preserve">Venta de Recetarios Oficiales</w:t>
      </w:r>
    </w:p>
    <w:p>
      <w:pPr>
        <w:numPr>
          <w:ilvl w:val="0"/>
          <w:numId w:val="1010"/>
        </w:numPr>
      </w:pPr>
      <w:r>
        <w:t xml:space="preserve">Producción y emisión de actos administrativos pertinentes al manejo de MME</w:t>
      </w:r>
    </w:p>
    <w:p>
      <w:pPr>
        <w:numPr>
          <w:ilvl w:val="0"/>
          <w:numId w:val="1010"/>
        </w:numPr>
      </w:pPr>
      <w:r>
        <w:t xml:space="preserve">Inspección, Vigilancia y Control de Instituciones que manejen MCE</w:t>
      </w:r>
    </w:p>
    <w:p>
      <w:pPr>
        <w:pStyle w:val="FirstParagraph"/>
      </w:pPr>
      <w:r>
        <w:t xml:space="preserve">Aunque también los FRE pueden recibir recursos por parte de la gobernación o por parte del FNE.</w:t>
      </w:r>
    </w:p>
    <w:p>
      <w:pPr>
        <w:pStyle w:val="BodyText"/>
      </w:pPr>
      <w:r>
        <w:t xml:space="preserve">A partir de la Figura</w:t>
      </w:r>
      <w:r>
        <w:t xml:space="preserve"> </w:t>
      </w:r>
      <w:r>
        <w:t xml:space="preserve">4.9</w:t>
      </w:r>
      <w:r>
        <w:t xml:space="preserve">, se observa que la venta de MME tiene una tendencia a ser la proporción más grande sobre los ingresos que reciben los FRE departamentales. Esto se puede deber a que cada departamento maneja independencia en los precios de venta de estos medicamentos y desde ahí se podría obtener una rentabilidad mayor. En el desarrollo del apartado 6.4 Precio de medicamentos del presente informe, se desglosará un análisis más profundo sobre los precios de venta de los MME por departamento, pero grosso modo se puede notar que el margen es lo suficientemente alto para abarcar el porcentaje mayoritario de ingresos.</w:t>
      </w:r>
    </w:p>
    <w:p>
      <w:pPr>
        <w:pStyle w:val="BodyText"/>
      </w:pPr>
      <w:r>
        <w:t xml:space="preserve">Particularmente, en la Figura</w:t>
      </w:r>
      <w:r>
        <w:t xml:space="preserve"> </w:t>
      </w:r>
      <w:r>
        <w:t xml:space="preserve">4.10</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9"/>
      <w:r>
        <w:t xml:space="preserve">Figure </w:t>
      </w:r>
      <w:fldSimple w:instr="SEQ Figure \* ARABIC ">
        <w:r>
          <w:t>9</w:t>
        </w:r>
      </w:fldSimple>
      <w:r>
        <w:t xml:space="preserve">:</w:t>
      </w:r>
      <w:r>
        <w:t xml:space="preserve"> </w:t>
      </w:r>
      <w:bookmarkEnd w:id="46"/>
      <w:r>
        <w:t xml:space="preserve">Figura 4.10: Mapa con fuentes de ingresos de los FRE</w:t>
      </w:r>
    </w:p>
    <w:p>
      <w:pPr>
        <w:pStyle w:val="BodyText"/>
      </w:pPr>
      <w:r>
        <w:rPr>
          <w:bCs/>
          <w:b/>
        </w:rPr>
        <w:t xml:space="preserve">En algunos casos no se logró obtener información de las fuentes de información…</w:t>
      </w:r>
    </w:p>
    <w:bookmarkEnd w:id="47"/>
    <w:bookmarkEnd w:id="48"/>
    <w:bookmarkStart w:id="109" w:name="recetarios-oficiales"/>
    <w:p>
      <w:pPr>
        <w:pStyle w:val="Heading1"/>
      </w:pPr>
      <w:r>
        <w:rPr>
          <w:rStyle w:val="SectionNumber"/>
        </w:rPr>
        <w:t xml:space="preserve">5</w:t>
      </w:r>
      <w:r>
        <w:tab/>
      </w:r>
      <w:r>
        <w:t xml:space="preserve">Recetarios oficiales</w:t>
      </w:r>
    </w:p>
    <w:p>
      <w:pPr>
        <w:pStyle w:val="FirstParagraph"/>
      </w:pPr>
      <w:r>
        <w:t xml:space="preserve">El recetario oficial es un documento oficial avalado por la entidad competente, es de carácter personal e intransferible para uso de los prescriptores de salud en la formulación de los medicamentos de control especial y de Monopolio del Estado. La prescripción de medicamentos de control especial para uso humano o veterinario solo se podrá efectuar en los recetarios oficiales suministrados por los FRE, para médicos en ejercicio legal de su profesión y/o por el Consejo Profesional de Medicina Veterinaria y Zootecnia de Colombia (Comvezcol) para médicos veterinarios y médicos veterinarios zootecnistas. Los profesionales que laboren en las instituciones podrán hacer uso del Recetario Oficial adquirido por la entidad</w:t>
      </w:r>
      <w:hyperlink w:anchor="ref-MSPS1478-2006">
        <w:r>
          <w:rPr>
            <w:rStyle w:val="Hyperlink"/>
            <w:vertAlign w:val="superscript"/>
          </w:rPr>
          <w:t xml:space="preserve">4</w:t>
        </w:r>
      </w:hyperlink>
      <w:r>
        <w:t xml:space="preserve">.</w:t>
      </w:r>
    </w:p>
    <w:p>
      <w:pPr>
        <w:pStyle w:val="BodyText"/>
      </w:pPr>
      <w:r>
        <w:t xml:space="preserve">Los FRE de las Secretarías, Instituciones o Direcciones Departamentales de Salud, y/o Comvezcol para médicos veterinarios, son los únicos autorizados para emitir, distribuir y vender el Recetario Oficial para la prescripción</w:t>
      </w:r>
      <w:hyperlink w:anchor="ref-MSPS1478-2006">
        <w:r>
          <w:rPr>
            <w:rStyle w:val="Hyperlink"/>
            <w:vertAlign w:val="superscript"/>
          </w:rPr>
          <w:t xml:space="preserve">4</w:t>
        </w:r>
      </w:hyperlink>
      <w:r>
        <w:t xml:space="preserve">.</w:t>
      </w:r>
    </w:p>
    <w:bookmarkStart w:id="55" w:name="existencia-de-recetarios"/>
    <w:p>
      <w:pPr>
        <w:pStyle w:val="Heading2"/>
      </w:pPr>
      <w:r>
        <w:rPr>
          <w:rStyle w:val="SectionNumber"/>
        </w:rPr>
        <w:t xml:space="preserve">5.1</w:t>
      </w:r>
      <w:r>
        <w:tab/>
      </w:r>
      <w:r>
        <w:t xml:space="preserve">Existencia de recetarios</w:t>
      </w:r>
    </w:p>
    <w:p>
      <w:pPr>
        <w:pStyle w:val="FirstParagraph"/>
      </w:pPr>
      <w:r>
        <w:t xml:space="preserve">En el marco de las Jornadas de inmersión territoriales con los FRE del país se pudo determinar la cantidad de recetarios oficiales con los que cuentan entre los meses de junio a septiembre. Así pues, como se observa en la Figura</w:t>
      </w:r>
      <w:r>
        <w:t xml:space="preserve"> </w:t>
      </w:r>
      <w:r>
        <w:t xml:space="preserve">5.1</w:t>
      </w:r>
      <w:r>
        <w:t xml:space="preserve">, se observa la tendencia de los departamentos más distantes de la capital de la nación, a presentar una menor cantidad de recetarios en existencia.</w:t>
      </w:r>
    </w:p>
    <w:p>
      <w:pPr>
        <w:pStyle w:val="CaptionedFigure"/>
      </w:pPr>
      <w:r>
        <w:drawing>
          <wp:inline>
            <wp:extent cx="5334000" cy="4000500"/>
            <wp:effectExtent b="0" l="0" r="0" t="0"/>
            <wp:docPr descr="Figura 5.1: N.°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4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50" w:name="fig10"/>
      <w:r>
        <w:t xml:space="preserve">Figure </w:t>
      </w:r>
      <w:fldSimple w:instr="SEQ Figure \* ARABIC ">
        <w:r>
          <w:t>10</w:t>
        </w:r>
      </w:fldSimple>
      <w:r>
        <w:t xml:space="preserve">:</w:t>
      </w:r>
      <w:r>
        <w:t xml:space="preserve"> </w:t>
      </w:r>
      <w:bookmarkEnd w:id="50"/>
      <w:r>
        <w:t xml:space="preserve">Figura 5.1: N.° de existencias de recetarios en el FRE</w:t>
      </w:r>
    </w:p>
    <w:p>
      <w:pPr>
        <w:pStyle w:val="BodyText"/>
      </w:pPr>
      <w:r>
        <w:t xml:space="preserve">En los extremos norte y sur, es decir, la región Caribe y Amazónica se tiene la mayor proporción de inexistencias de recetarios, en comparación con el resto de las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que es un departamento que cuenta con más de 5 millones de habitantes es la más alta ya que su población actual supera a la de los demás departamentos que cuentan con recetarios oficiales</w:t>
      </w:r>
      <w:hyperlink w:anchor="ref-DANE2021">
        <w:r>
          <w:rPr>
            <w:rStyle w:val="Hyperlink"/>
            <w:vertAlign w:val="superscript"/>
          </w:rPr>
          <w:t xml:space="preserve">5</w:t>
        </w:r>
      </w:hyperlink>
      <w:r>
        <w:t xml:space="preserv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2" w:name="fig11"/>
      <w:r>
        <w:t xml:space="preserve">Figure </w:t>
      </w:r>
      <w:fldSimple w:instr="SEQ Figure \* ARABIC ">
        <w:r>
          <w:t>11</w:t>
        </w:r>
      </w:fldSimple>
      <w:r>
        <w:t xml:space="preserve">:</w:t>
      </w:r>
      <w:r>
        <w:t xml:space="preserve"> </w:t>
      </w:r>
      <w:bookmarkEnd w:id="52"/>
      <w:r>
        <w:t xml:space="preserve">Figura 5.2: N.° de recetarios circulantes en el departamento</w:t>
      </w:r>
    </w:p>
    <w:p>
      <w:pPr>
        <w:pStyle w:val="BodyText"/>
      </w:pPr>
      <w:r>
        <w:t xml:space="preserve">Dentro del censo realizado en los diferentes departamentos del país, se observa en la Figura</w:t>
      </w:r>
      <w:r>
        <w:t xml:space="preserve"> </w:t>
      </w:r>
      <w:r>
        <w:t xml:space="preserve">??</w:t>
      </w:r>
      <w:r>
        <w:t xml:space="preserve"> </w:t>
      </w:r>
      <w:r>
        <w:t xml:space="preserve">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los funcionarios de apoyo en el país (Figura</w:t>
      </w:r>
      <w:r>
        <w:t xml:space="preserve"> </w:t>
      </w:r>
      <w:r>
        <w:t xml:space="preserve">4.5</w:t>
      </w:r>
      <w:r>
        <w:t xml:space="preserve">).</w:t>
      </w:r>
    </w:p>
    <w:p>
      <w:pPr>
        <w:pStyle w:val="CaptionedFigure"/>
      </w:pPr>
      <w:r>
        <w:drawing>
          <wp:inline>
            <wp:extent cx="5334000" cy="3809999"/>
            <wp:effectExtent b="0" l="0" r="0" t="0"/>
            <wp:docPr descr="Figura 5.3: Duración de existencia de recetarios en el FRE" title="" id="1" name="Picture"/>
            <a:graphic>
              <a:graphicData uri="http://schemas.openxmlformats.org/drawingml/2006/picture">
                <pic:pic>
                  <pic:nvPicPr>
                    <pic:cNvPr descr="InformeFinal_files/figure-docx/existenciaRecetarios3-1.png" id="0" name="Picture"/>
                    <pic:cNvPicPr>
                      <a:picLocks noChangeArrowheads="1" noChangeAspect="1"/>
                    </pic:cNvPicPr>
                  </pic:nvPicPr>
                  <pic:blipFill>
                    <a:blip r:embed="rId5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4" w:name="fig12"/>
      <w:r>
        <w:t xml:space="preserve">Figure </w:t>
      </w:r>
      <w:fldSimple w:instr="SEQ Figure \* ARABIC ">
        <w:r>
          <w:t>12</w:t>
        </w:r>
      </w:fldSimple>
      <w:r>
        <w:t xml:space="preserve">:</w:t>
      </w:r>
      <w:r>
        <w:t xml:space="preserve"> </w:t>
      </w:r>
      <w:bookmarkEnd w:id="54"/>
      <w:r>
        <w:t xml:space="preserve">Figura 5.3: Duración de existencia de recetarios en el FRE</w:t>
      </w:r>
    </w:p>
    <w:p>
      <w:pPr>
        <w:pStyle w:val="BodyText"/>
      </w:pPr>
      <w:r>
        <w:t xml:space="preserve">Se tiene que 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bookmarkEnd w:id="55"/>
    <w:bookmarkStart w:id="67" w:name="costos-de-recetarios"/>
    <w:p>
      <w:pPr>
        <w:pStyle w:val="Heading2"/>
      </w:pPr>
      <w:r>
        <w:rPr>
          <w:rStyle w:val="SectionNumber"/>
        </w:rPr>
        <w:t xml:space="preserve">5.2</w:t>
      </w:r>
      <w:r>
        <w:tab/>
      </w:r>
      <w:r>
        <w:t xml:space="preserve">Costos de recetarios</w:t>
      </w:r>
    </w:p>
    <w:bookmarkStart w:id="60" w:name="X67102db85c0c8be9174bb71c6a56854454fed67"/>
    <w:p>
      <w:pPr>
        <w:pStyle w:val="Heading3"/>
      </w:pPr>
      <w:r>
        <w:rPr>
          <w:rStyle w:val="SectionNumber"/>
        </w:rPr>
        <w:t xml:space="preserve">5.2.1</w:t>
      </w:r>
      <w:r>
        <w:tab/>
      </w:r>
      <w:r>
        <w:t xml:space="preserve">Comparación de costos y precios de ventas de recetarios</w:t>
      </w:r>
    </w:p>
    <w:p>
      <w:pPr>
        <w:pStyle w:val="FirstParagraph"/>
      </w:pPr>
      <w:r>
        <w:t xml:space="preserve">Dentro del estudio de costos realizado se comparó el costo de compra del recetario contra su precio de venta. Así pues, se determinó que dentro del territorio el costo de los recetarios ronda entre los 10.000 COP y los 20.000 COP, con territorios como Valle del Cauca y Casanare, en donde dicho costo se aproxima a 30.000 COP. En algunos departamentos no se conocen los costos de adquisición de recetarios (Figura</w:t>
      </w:r>
      <w:r>
        <w:t xml:space="preserve"> </w:t>
      </w:r>
      <w:r>
        <w:t xml:space="preserve">5.4</w:t>
      </w:r>
      <w:r>
        <w:t xml:space="preserve">A), dada sus particularidades en la contratación, puesto que se encargan del proceso de licitación y contratación de recetarios, únicamente realizan estudios de necesidad que son enviados al ente encargado de concretar la contratación, en muchos casos, la gobernación departamental.</w:t>
      </w:r>
    </w:p>
    <w:p>
      <w:pPr>
        <w:pStyle w:val="CaptionedFigure"/>
      </w:pPr>
      <w:r>
        <w:drawing>
          <wp:inline>
            <wp:extent cx="5334000" cy="3333750"/>
            <wp:effectExtent b="0" l="0" r="0" t="0"/>
            <wp:docPr descr="Figura 5.4: Comparativo de costo vs precio de recetarios por departamento. Panel A. Costos de adquisición de recetarios por departamento. Panel B. Precios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57" w:name="fig13"/>
      <w:r>
        <w:t xml:space="preserve">Figure </w:t>
      </w:r>
      <w:fldSimple w:instr="SEQ Figure \* ARABIC ">
        <w:r>
          <w:t>13</w:t>
        </w:r>
      </w:fldSimple>
      <w:r>
        <w:t xml:space="preserve">:</w:t>
      </w:r>
      <w:r>
        <w:t xml:space="preserve"> </w:t>
      </w:r>
      <w:bookmarkEnd w:id="57"/>
      <w:r>
        <w:t xml:space="preserve">Figura 5.4: Comparativo de costo vs precio de recetarios por departamento. Panel A. Costos de adquisición de recetarios por departamento. Panel B. Precios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(Figura</w:t>
      </w:r>
      <w:r>
        <w:t xml:space="preserve"> </w:t>
      </w:r>
      <w:r>
        <w:t xml:space="preserve">5.4</w:t>
      </w:r>
      <w:r>
        <w:t xml:space="preserve">B) que se ajusta cada año.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5.5</w:t>
      </w:r>
      <w:r>
        <w:t xml:space="preserve">, en donde se puede establecer que con mayor frecuencia los entes territoriales obtienen entre 100 y 200% de ganancia sobre el costo del recetario. No obstante, los FRE de La Guajira y Nariño, poseen ganancias entre 800 y 900% en la venta de sus recetarios oficiales. En los FRE de Córdoba, Vichada y Guainía no se registran márgenes de ganancia para la venta de recetarios oficiales dado que no se tiene conocimiento en dichos territorios del costo de adquisición de recetarios puesto que son los entes gubernamentales del departamento los encargados de la contratación, proceso en el que el ente territorial no interviene.</w:t>
      </w:r>
    </w:p>
    <w:p>
      <w:pPr>
        <w:pStyle w:val="CaptionedFigure"/>
      </w:pPr>
      <w:r>
        <w:drawing>
          <wp:inline>
            <wp:extent cx="5334000" cy="2667000"/>
            <wp:effectExtent b="0" l="0" r="0" t="0"/>
            <wp:docPr descr="Figura 5.5: Márgen de ganancia por recetario. Panel A. Frecuencia de departamentos por márgen de ganancia. Panel B. Márgen de ganancia de recetarios por departament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9" w:name="fig14"/>
      <w:r>
        <w:t xml:space="preserve">Figure </w:t>
      </w:r>
      <w:fldSimple w:instr="SEQ Figure \* ARABIC ">
        <w:r>
          <w:t>14</w:t>
        </w:r>
      </w:fldSimple>
      <w:r>
        <w:t xml:space="preserve">:</w:t>
      </w:r>
      <w:r>
        <w:t xml:space="preserve"> </w:t>
      </w:r>
      <w:bookmarkEnd w:id="59"/>
      <w:r>
        <w:t xml:space="preserve">Figura 5.5: Márgen de ganancia por recetario. Panel A. Frecuencia de departamentos por márgen de ganancia. Panel B. Márgen de ganancia de recetarios por departamento.</w:t>
      </w:r>
    </w:p>
    <w:p>
      <w:pPr>
        <w:pStyle w:val="BodyText"/>
      </w:pPr>
      <w:r>
        <w:t xml:space="preserve">Los amplios márgenes de ganancia y las proporciones distintas entre unos FRE y otros, se podrían relacionar con: (a) cantidad de medidas de seguridad del recetario, (b) facilidad de acceso del departamento, (c) número de prescripciones, (d) tipo de licitación o (e) cantidad de empresas oferentes en los concursos de licitación de recetarios.</w:t>
      </w:r>
    </w:p>
    <w:bookmarkEnd w:id="60"/>
    <w:bookmarkStart w:id="63" w:name="Xb7bdc6380dd4ab1e7c8704432435035cc1fe61c"/>
    <w:p>
      <w:pPr>
        <w:pStyle w:val="Heading3"/>
      </w:pPr>
      <w:r>
        <w:rPr>
          <w:rStyle w:val="SectionNumber"/>
        </w:rPr>
        <w:t xml:space="preserve">5.2.2</w:t>
      </w:r>
      <w:r>
        <w:tab/>
      </w:r>
      <w:r>
        <w:t xml:space="preserve">Factores que afectan el costo de adquisición de recetarios</w:t>
      </w:r>
    </w:p>
    <w:p>
      <w:pPr>
        <w:pStyle w:val="FirstParagraph"/>
      </w:pPr>
      <w:r>
        <w:t xml:space="preserve">Dentro de los procesos que se utilizan para la licitación y contratación de recetarios oficiales en el país, se consideran 4 modalidades de selección principalmente:</w:t>
      </w:r>
    </w:p>
    <w:p>
      <w:pPr>
        <w:numPr>
          <w:ilvl w:val="0"/>
          <w:numId w:val="1011"/>
        </w:numPr>
      </w:pPr>
      <w:r>
        <w:t xml:space="preserve">Licitación pública, el cual es un proceso de selección utilizado por las entidades estatales mediante el cual escoge a sus contratistas a través de una invitación de carácter público que se dirige a todas las personas potencialmente interesadas en ejecutar un contrato, para que en igualdad de condiciones y bajo criterios objetivos garantizados por el pliego de condiciones, presenten ofertas entre las que se escogerá la más favorable</w:t>
      </w:r>
      <w:hyperlink w:anchor="ref-MinisteriodeRelacionesExteriores2014">
        <w:r>
          <w:rPr>
            <w:rStyle w:val="Hyperlink"/>
            <w:vertAlign w:val="superscript"/>
          </w:rPr>
          <w:t xml:space="preserve">6</w:t>
        </w:r>
      </w:hyperlink>
      <w:r>
        <w:t xml:space="preserve">.</w:t>
      </w:r>
    </w:p>
    <w:p>
      <w:pPr>
        <w:numPr>
          <w:ilvl w:val="0"/>
          <w:numId w:val="1011"/>
        </w:numPr>
      </w:pPr>
      <w:r>
        <w:t xml:space="preserve">Selección abreviada, modalidad de selección objetiva prevista en aquellos casos en que por las características del objeto a contratar, las circunstancias de la contratación o la cuantía o destinación del bien, obra o servicio, puedan adelantarse procesos simplificados (uso de subastas a la inversa, bolsas de productos o compras por catálogo) para garantizar la eficacia de la gestión contractual</w:t>
      </w:r>
      <w:hyperlink w:anchor="ref-MinisteriodeRelacionesExteriores2014">
        <w:r>
          <w:rPr>
            <w:rStyle w:val="Hyperlink"/>
            <w:vertAlign w:val="superscript"/>
          </w:rPr>
          <w:t xml:space="preserve">6</w:t>
        </w:r>
      </w:hyperlink>
      <w:r>
        <w:t xml:space="preserve">.</w:t>
      </w:r>
    </w:p>
    <w:p>
      <w:pPr>
        <w:numPr>
          <w:ilvl w:val="0"/>
          <w:numId w:val="1011"/>
        </w:numPr>
      </w:pPr>
      <w:r>
        <w:t xml:space="preserve">Contratación directa, que es de carácter excepcional, por lo que su aplicación es de carácter restrictivo. En efecto, la ley de Contratación Pública en Colombia, prevé los siguientes eventos en los cuales es procedente esta modalidad de contratación: casos de urgencia manifiesta, contratación de empréstitos, cuando no exista pluralidad de oferentes en el mercado, para los contratos de desarrollo de actividades científicas y tecnológicas, entre otros</w:t>
      </w:r>
      <w:hyperlink w:anchor="ref-MinisteriodeRelacionesExteriores2014">
        <w:r>
          <w:rPr>
            <w:rStyle w:val="Hyperlink"/>
            <w:vertAlign w:val="superscript"/>
          </w:rPr>
          <w:t xml:space="preserve">6</w:t>
        </w:r>
      </w:hyperlink>
      <w:r>
        <w:t xml:space="preserve">.</w:t>
      </w:r>
    </w:p>
    <w:p>
      <w:pPr>
        <w:numPr>
          <w:ilvl w:val="0"/>
          <w:numId w:val="1011"/>
        </w:numPr>
      </w:pPr>
      <w:r>
        <w:t xml:space="preserve">Mínima cuantía, que es un procedimiento sencillo y rápido para escoger al contratista en la adquisición de los bienes, obras y servicios cuyo valor no exceda el diez por ciento (10%) de la menor cuantía de las Entidades Estatales, modalidad de selección que tiene menos formalidades que las demás</w:t>
      </w:r>
      <w:hyperlink w:anchor="ref-ColombiaCompraEficiente2019">
        <w:r>
          <w:rPr>
            <w:rStyle w:val="Hyperlink"/>
            <w:vertAlign w:val="superscript"/>
          </w:rPr>
          <w:t xml:space="preserve">7</w:t>
        </w:r>
      </w:hyperlink>
      <w:r>
        <w:t xml:space="preserve">.</w:t>
      </w:r>
    </w:p>
    <w:p>
      <w:pPr>
        <w:pStyle w:val="FirstParagraph"/>
      </w:pPr>
      <w:r>
        <w:t xml:space="preserve">Se realizó una exploración de los factores que pueden afectar el costo de los recetarios mediante un análisis de regresión lineal múltiple, para lo cual se tomó el costo de los recetarios, y se tuvieron en cuenta regresores como:</w:t>
      </w:r>
    </w:p>
    <w:p>
      <w:pPr>
        <w:numPr>
          <w:ilvl w:val="0"/>
          <w:numId w:val="1012"/>
        </w:numPr>
      </w:pPr>
      <w:r>
        <w:t xml:space="preserve">número de prescripciones en el recetario (variable continua).</w:t>
      </w:r>
    </w:p>
    <w:p>
      <w:pPr>
        <w:numPr>
          <w:ilvl w:val="0"/>
          <w:numId w:val="1012"/>
        </w:numPr>
      </w:pPr>
      <w:r>
        <w:t xml:space="preserve">número de medidas de seguridad implementadas en el recetario (variable continua).</w:t>
      </w:r>
    </w:p>
    <w:p>
      <w:pPr>
        <w:numPr>
          <w:ilvl w:val="0"/>
          <w:numId w:val="1012"/>
        </w:numPr>
      </w:pPr>
      <w:r>
        <w:t xml:space="preserve">modalidad de selección de oferentes en la contratación (variable categórica con cuatro niveles mencionadas previamente)</w:t>
      </w:r>
    </w:p>
    <w:p>
      <w:pPr>
        <w:pStyle w:val="FirstParagraph"/>
      </w:pPr>
      <w:r>
        <w:t xml:space="preserve">Tabla 5.1: Resumen de modelo de regresión lineal múltiple para el costo del recetario.</w:t>
      </w:r>
    </w:p>
    <w:p>
      <w:pPr>
        <w:pStyle w:val="BodyText"/>
      </w:pPr>
      <w:r>
        <w:t xml:space="preserve">Parámetro</w:t>
      </w:r>
    </w:p>
    <w:p>
      <w:pPr>
        <w:pStyle w:val="BodyText"/>
      </w:pPr>
      <w:r>
        <w:t xml:space="preserve">Estimado</w:t>
      </w:r>
    </w:p>
    <w:p>
      <w:pPr>
        <w:pStyle w:val="BodyText"/>
      </w:pPr>
      <w:r>
        <w:t xml:space="preserve">Error Estándar</w:t>
      </w:r>
    </w:p>
    <w:p>
      <w:pPr>
        <w:pStyle w:val="BodyText"/>
      </w:pPr>
      <w:r>
        <w:t xml:space="preserve">Valor t</w:t>
      </w:r>
    </w:p>
    <w:p>
      <w:pPr>
        <w:pStyle w:val="BodyText"/>
      </w:pPr>
      <w:r>
        <w:t xml:space="preserve">Pr(&gt;|t|)</w:t>
      </w:r>
    </w:p>
    <w:p>
      <w:pPr>
        <w:pStyle w:val="BodyText"/>
      </w:pPr>
      <w:r>
        <w:t xml:space="preserve">Intercepto</w:t>
      </w:r>
    </w:p>
    <w:p>
      <w:pPr>
        <w:pStyle w:val="BodyText"/>
      </w:pPr>
      <w:r>
        <w:t xml:space="preserve">12181.9</w:t>
      </w:r>
    </w:p>
    <w:p>
      <w:pPr>
        <w:pStyle w:val="BodyText"/>
      </w:pPr>
      <w:r>
        <w:t xml:space="preserve">12799.4</w:t>
      </w:r>
    </w:p>
    <w:p>
      <w:pPr>
        <w:pStyle w:val="BodyText"/>
      </w:pPr>
      <w:r>
        <w:t xml:space="preserve">0.952</w:t>
      </w:r>
    </w:p>
    <w:p>
      <w:pPr>
        <w:pStyle w:val="BodyText"/>
      </w:pPr>
      <w:r>
        <w:t xml:space="preserve">0.352</w:t>
      </w:r>
    </w:p>
    <w:p>
      <w:pPr>
        <w:pStyle w:val="BodyText"/>
      </w:pPr>
      <w:r>
        <w:t xml:space="preserve">N.° de prescripciones</w:t>
      </w:r>
    </w:p>
    <w:p>
      <w:pPr>
        <w:pStyle w:val="BodyText"/>
      </w:pPr>
      <w:r>
        <w:t xml:space="preserve">228.1</w:t>
      </w:r>
    </w:p>
    <w:p>
      <w:pPr>
        <w:pStyle w:val="BodyText"/>
      </w:pPr>
      <w:r>
        <w:t xml:space="preserve">177.8</w:t>
      </w:r>
    </w:p>
    <w:p>
      <w:pPr>
        <w:pStyle w:val="BodyText"/>
      </w:pPr>
      <w:r>
        <w:t xml:space="preserve">1.283</w:t>
      </w:r>
    </w:p>
    <w:p>
      <w:pPr>
        <w:pStyle w:val="BodyText"/>
      </w:pPr>
      <w:r>
        <w:t xml:space="preserve">0.213</w:t>
      </w:r>
    </w:p>
    <w:p>
      <w:pPr>
        <w:pStyle w:val="BodyText"/>
      </w:pPr>
      <w:r>
        <w:t xml:space="preserve">N.° de medidas</w:t>
      </w:r>
    </w:p>
    <w:p>
      <w:pPr>
        <w:pStyle w:val="BodyText"/>
      </w:pPr>
      <w:r>
        <w:t xml:space="preserve">-1712.0</w:t>
      </w:r>
    </w:p>
    <w:p>
      <w:pPr>
        <w:pStyle w:val="BodyText"/>
      </w:pPr>
      <w:r>
        <w:t xml:space="preserve">1578.6</w:t>
      </w:r>
    </w:p>
    <w:p>
      <w:pPr>
        <w:pStyle w:val="BodyText"/>
      </w:pPr>
      <w:r>
        <w:t xml:space="preserve">-1.085</w:t>
      </w:r>
    </w:p>
    <w:p>
      <w:pPr>
        <w:pStyle w:val="BodyText"/>
      </w:pPr>
      <w:r>
        <w:t xml:space="preserve">0.290</w:t>
      </w:r>
    </w:p>
    <w:p>
      <w:pPr>
        <w:pStyle w:val="BodyText"/>
      </w:pPr>
      <w:r>
        <w:t xml:space="preserve">Modalidad - Licitación pública</w:t>
      </w:r>
    </w:p>
    <w:p>
      <w:pPr>
        <w:pStyle w:val="BodyText"/>
      </w:pPr>
      <w:r>
        <w:t xml:space="preserve">-4760.7</w:t>
      </w:r>
    </w:p>
    <w:p>
      <w:pPr>
        <w:pStyle w:val="BodyText"/>
      </w:pPr>
      <w:r>
        <w:t xml:space="preserve">12064.4</w:t>
      </w:r>
    </w:p>
    <w:p>
      <w:pPr>
        <w:pStyle w:val="BodyText"/>
      </w:pPr>
      <w:r>
        <w:t xml:space="preserve">-0.395</w:t>
      </w:r>
    </w:p>
    <w:p>
      <w:pPr>
        <w:pStyle w:val="BodyText"/>
      </w:pPr>
      <w:r>
        <w:t xml:space="preserve">0.697</w:t>
      </w:r>
    </w:p>
    <w:p>
      <w:pPr>
        <w:pStyle w:val="BodyText"/>
      </w:pPr>
      <w:r>
        <w:t xml:space="preserve">Modalidad - Mínima Cuantía</w:t>
      </w:r>
    </w:p>
    <w:p>
      <w:pPr>
        <w:pStyle w:val="BodyText"/>
      </w:pPr>
      <w:r>
        <w:t xml:space="preserve">-3656.2</w:t>
      </w:r>
    </w:p>
    <w:p>
      <w:pPr>
        <w:pStyle w:val="BodyText"/>
      </w:pPr>
      <w:r>
        <w:t xml:space="preserve">8269.9</w:t>
      </w:r>
    </w:p>
    <w:p>
      <w:pPr>
        <w:pStyle w:val="BodyText"/>
      </w:pPr>
      <w:r>
        <w:t xml:space="preserve">-0.442</w:t>
      </w:r>
    </w:p>
    <w:p>
      <w:pPr>
        <w:pStyle w:val="BodyText"/>
      </w:pPr>
      <w:r>
        <w:t xml:space="preserve">0.663</w:t>
      </w:r>
    </w:p>
    <w:p>
      <w:pPr>
        <w:pStyle w:val="BodyText"/>
      </w:pPr>
      <w:r>
        <w:t xml:space="preserve">Modalidad - Selección abreviada</w:t>
      </w:r>
    </w:p>
    <w:p>
      <w:pPr>
        <w:pStyle w:val="BodyText"/>
      </w:pPr>
      <w:r>
        <w:t xml:space="preserve">-1414.0</w:t>
      </w:r>
    </w:p>
    <w:p>
      <w:pPr>
        <w:pStyle w:val="BodyText"/>
      </w:pPr>
      <w:r>
        <w:t xml:space="preserve">14418.9</w:t>
      </w:r>
    </w:p>
    <w:p>
      <w:pPr>
        <w:pStyle w:val="BodyText"/>
      </w:pPr>
      <w:r>
        <w:t xml:space="preserve">-0.098</w:t>
      </w:r>
    </w:p>
    <w:p>
      <w:pPr>
        <w:pStyle w:val="BodyText"/>
      </w:pPr>
      <w:r>
        <w:t xml:space="preserve">0.923</w:t>
      </w:r>
    </w:p>
    <w:p>
      <w:pPr>
        <w:pStyle w:val="BodyText"/>
      </w:pPr>
      <w:r>
        <w:t xml:space="preserve">El modelo generado (ver Tabla</w:t>
      </w:r>
      <w:r>
        <w:t xml:space="preserve"> </w:t>
      </w:r>
      <w:r>
        <w:t xml:space="preserve">5.1</w:t>
      </w:r>
      <w:r>
        <w:t xml:space="preserve">) presenta una bondad de ajuste muy baja (</w:t>
      </w:r>
      <m:oMath>
        <m:sSup>
          <m:e>
            <m:r>
              <m:t>R</m:t>
            </m:r>
          </m:e>
          <m:sup>
            <m:r>
              <m:t>2</m:t>
            </m:r>
          </m:sup>
        </m:sSup>
        <m:r>
          <m:rPr>
            <m:sty m:val="p"/>
          </m:rPr>
          <m:t>=</m:t>
        </m:r>
        <m:r>
          <m:rPr>
            <m:sty m:val="p"/>
          </m:rPr>
          <m:t>−</m:t>
        </m:r>
        <m:r>
          <m:t>0.064</m:t>
        </m:r>
      </m:oMath>
      <w:r>
        <w:t xml:space="preserve">), y no se logra demostrar un efecto significativo de los factores explorados, pese a esto se presentan tendencias en estos factores.</w:t>
      </w:r>
    </w:p>
    <w:p>
      <w:pPr>
        <w:pStyle w:val="BodyText"/>
      </w:pPr>
      <w:r>
        <w:t xml:space="preserve">En la Figura</w:t>
      </w:r>
      <w:r>
        <w:t xml:space="preserve"> </w:t>
      </w:r>
      <w:r>
        <w:t xml:space="preserve">5.6</w:t>
      </w:r>
      <w:r>
        <w:t xml:space="preserve"> </w:t>
      </w:r>
      <w:r>
        <w:t xml:space="preserve">se muestran gráficos de dependencia parcial de los factores explorados, se observan tendencias como que el N.° de prescripciones elevan el costo de los recetarios. Pese a que se podría suponer que al aumentar el número de características de seguridad en el recetario se aumentaría el costo de este, se encuentra una relación inversa entre el número de medidas y el costo de adquisición. Esto podría deberse a la facilidad de elaboración en departamentos con la capacidad tecnológica adecuada, la forma en que se adjudican los contratos y los diferentes oferentes en el concurso de contratación.</w:t>
      </w:r>
    </w:p>
    <w:p>
      <w:pPr>
        <w:pStyle w:val="CaptionedFigure"/>
      </w:pPr>
      <w:r>
        <w:drawing>
          <wp:inline>
            <wp:extent cx="5334000" cy="2963333"/>
            <wp:effectExtent b="0" l="0" r="0" t="0"/>
            <wp:docPr descr="Figura 5.6: Gráficos de dependencia parcial - Modelo de Cost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61"/>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2" w:name="fig15"/>
      <w:r>
        <w:t xml:space="preserve">Figure </w:t>
      </w:r>
      <w:fldSimple w:instr="SEQ Figure \* ARABIC ">
        <w:r>
          <w:t>15</w:t>
        </w:r>
      </w:fldSimple>
      <w:r>
        <w:t xml:space="preserve">:</w:t>
      </w:r>
      <w:r>
        <w:t xml:space="preserve"> </w:t>
      </w:r>
      <w:bookmarkEnd w:id="62"/>
      <w:r>
        <w:t xml:space="preserve">Figura 5.6: Gráficos de dependencia parcial - Modelo de Costos.</w:t>
      </w:r>
    </w:p>
    <w:p>
      <w:pPr>
        <w:pStyle w:val="BodyText"/>
      </w:pPr>
      <w:r>
        <w:t xml:space="preserve">De esta forma, el tipo de contratación que se concreta con las empresas fabricante de los recetarios es una variable que influye en el costo de los recetarios, así pues, las modalidades de contratación por licitación pública, mínima cuantía y selección abreviada tienden a disminuir el costo del recetario en comparación con la modalidad de contratación directa, factor esperado ya que al no haber competencia entre empresas oferentes, quien posee el monopolio de fabricación es libre de disponer los precios de venta a las entidades territoriales.</w:t>
      </w:r>
    </w:p>
    <w:p>
      <w:pPr>
        <w:pStyle w:val="BodyText"/>
      </w:pPr>
      <w:r>
        <w:t xml:space="preserve">Por otra parte, los FRE que concretaron órdenes de compra de recetarios por mínima cuantía y selección abreviada, tienden a presentar precios mayores de adquisición, con costo alrededor de los 10.000 COP y 15.000 COP, mientras que, los entes territoriales que optaron por la modalidad de licitación pública tienden a ser los recetarios más económicos en relación con las demás, con costos inferiores a los 10.000 COP por recetario en promedio.</w:t>
      </w:r>
    </w:p>
    <w:bookmarkEnd w:id="63"/>
    <w:bookmarkStart w:id="66" w:name="Xd2761c9ad369c6df89557ae16d7fdce84290838"/>
    <w:p>
      <w:pPr>
        <w:pStyle w:val="Heading3"/>
      </w:pPr>
      <w:r>
        <w:rPr>
          <w:rStyle w:val="SectionNumber"/>
        </w:rPr>
        <w:t xml:space="preserve">5.2.3</w:t>
      </w:r>
      <w:r>
        <w:tab/>
      </w:r>
      <w:r>
        <w:t xml:space="preserve">Precio de venta de recetario por prescripción</w:t>
      </w:r>
    </w:p>
    <w:p>
      <w:pPr>
        <w:pStyle w:val="FirstParagraph"/>
      </w:pPr>
      <w:r>
        <w:t xml:space="preserve">Finalmente, se concluye que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5.7</w:t>
      </w:r>
      <w:r>
        <w:t xml:space="preserve">).</w:t>
      </w:r>
    </w:p>
    <w:p>
      <w:pPr>
        <w:pStyle w:val="CaptionedFigure"/>
      </w:pPr>
      <w:r>
        <w:drawing>
          <wp:inline>
            <wp:extent cx="5334000" cy="2963333"/>
            <wp:effectExtent b="0" l="0" r="0" t="0"/>
            <wp:docPr descr="Figura 5.7: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5" w:name="fig16"/>
      <w:r>
        <w:t xml:space="preserve">Figure </w:t>
      </w:r>
      <w:fldSimple w:instr="SEQ Figure \* ARABIC ">
        <w:r>
          <w:t>16</w:t>
        </w:r>
      </w:fldSimple>
      <w:r>
        <w:t xml:space="preserve">:</w:t>
      </w:r>
      <w:r>
        <w:t xml:space="preserve"> </w:t>
      </w:r>
      <w:bookmarkEnd w:id="65"/>
      <w:r>
        <w:t xml:space="preserve">Figura 5.7: Precio de venta de recetario por prescripción.</w:t>
      </w:r>
    </w:p>
    <w:p>
      <w:pPr>
        <w:pStyle w:val="BodyText"/>
      </w:pPr>
      <w:r>
        <w:t xml:space="preserve">El valor por prescripción más alto a nivel nacional se presenta en el departamento de Casanare, pese a que este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p>
      <w:pPr>
        <w:pStyle w:val="BodyText"/>
      </w:pPr>
      <w:r>
        <w:t xml:space="preserve">El precio de venta por prescripción podría incrementar los costos a los que se venden los MME a los pacientes en los puntos de dispensación.</w:t>
      </w:r>
    </w:p>
    <w:bookmarkEnd w:id="66"/>
    <w:bookmarkEnd w:id="67"/>
    <w:bookmarkStart w:id="76" w:name="adquisición-de-recetarios"/>
    <w:p>
      <w:pPr>
        <w:pStyle w:val="Heading2"/>
      </w:pPr>
      <w:r>
        <w:rPr>
          <w:rStyle w:val="SectionNumber"/>
        </w:rPr>
        <w:t xml:space="preserve">5.3</w:t>
      </w:r>
      <w:r>
        <w:tab/>
      </w:r>
      <w:r>
        <w:t xml:space="preserve">Adquisición de recetarios</w:t>
      </w:r>
    </w:p>
    <w:bookmarkStart w:id="72" w:name="proceso-de-adquisición-de-recetario"/>
    <w:p>
      <w:pPr>
        <w:pStyle w:val="Heading3"/>
      </w:pPr>
      <w:r>
        <w:rPr>
          <w:rStyle w:val="SectionNumber"/>
        </w:rPr>
        <w:t xml:space="preserve">5.3.1</w:t>
      </w:r>
      <w:r>
        <w:tab/>
      </w:r>
      <w:r>
        <w:t xml:space="preserve">Proceso de adquisición de recetario</w:t>
      </w:r>
    </w:p>
    <w:p>
      <w:pPr>
        <w:pStyle w:val="FirstParagraph"/>
      </w:pPr>
      <w:r>
        <w:t xml:space="preserve">La adquisición de recetarios oficiales por parte de los FRE es un proceso que se lleva a cabe mediante contratación pública. En la Figura</w:t>
      </w:r>
      <w:r>
        <w:t xml:space="preserve"> </w:t>
      </w:r>
      <w:r>
        <w:t xml:space="preserve">5.8</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CaptionedFigure"/>
      </w:pPr>
      <w:r>
        <w:drawing>
          <wp:inline>
            <wp:extent cx="5334000" cy="3048000"/>
            <wp:effectExtent b="0" l="0" r="0" t="0"/>
            <wp:docPr descr="Figura 5.8: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68"/>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9" w:name="fig17"/>
      <w:r>
        <w:t xml:space="preserve">Figure </w:t>
      </w:r>
      <w:fldSimple w:instr="SEQ Figure \* ARABIC ">
        <w:r>
          <w:t>17</w:t>
        </w:r>
      </w:fldSimple>
      <w:r>
        <w:t xml:space="preserve">:</w:t>
      </w:r>
      <w:r>
        <w:t xml:space="preserve"> </w:t>
      </w:r>
      <w:bookmarkEnd w:id="69"/>
      <w:r>
        <w:t xml:space="preserve">Figura 5.8: Modalidad de selección para contratos de adquisición de recetarios</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(citar Figura</w:t>
      </w:r>
      <w:r>
        <w:t xml:space="preserve"> </w:t>
      </w:r>
      <w:r>
        <w:t xml:space="preserve">??</w:t>
      </w:r>
      <w:r>
        <w:t xml:space="preserve">).</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BodyText"/>
      </w:pPr>
      <w:r>
        <w:t xml:space="preserve">En el marco de las actividades de las Jornadas de inmersión territorial, se logró observar un patrón en el proceso de licitación y contratación de recetarios oficiales por los FRE alrededor del país. Como se evidencia en la Figura</w:t>
      </w:r>
      <w:r>
        <w:t xml:space="preserve"> </w:t>
      </w:r>
      <w:r>
        <w:t xml:space="preserve">5.9</w:t>
      </w:r>
      <w:r>
        <w:t xml:space="preserve">, en la mayoría de los casos, los funcionarios de los FRE se encargan exclusivamente de la realización de los estudios previos, en donde se solicita la necesidad en cantidad y forma de recetarios. Posterior a ello, es la dirección territorial en salud, que en algunos casos es la secretaria de salud departamental, la gobernación u otra dependencia con interés en la salud pública del territorio, la encargada de desarrollar la etapa contractual del proceso, mediante una de las modalidades de selección de oferentes que más convenga, se elige la empresa proveedora y se establece el contrato de elaboración de recetarios oficiales.</w:t>
      </w:r>
    </w:p>
    <w:p>
      <w:pPr>
        <w:pStyle w:val="CaptionedFigure"/>
      </w:pPr>
      <w:r>
        <w:drawing>
          <wp:inline>
            <wp:extent cx="3810000" cy="4943856"/>
            <wp:effectExtent b="0" l="0" r="0" t="0"/>
            <wp:docPr descr="Figura 5.9: Proceso de contratación/licitación de los recetarios oficiales." title="" id="1" name="Picture"/>
            <a:graphic>
              <a:graphicData uri="http://schemas.openxmlformats.org/drawingml/2006/picture">
                <pic:pic>
                  <pic:nvPicPr>
                    <pic:cNvPr descr="figures/procesoContractual.jpg" id="0" name="Picture"/>
                    <pic:cNvPicPr>
                      <a:picLocks noChangeArrowheads="1" noChangeAspect="1"/>
                    </pic:cNvPicPr>
                  </pic:nvPicPr>
                  <pic:blipFill>
                    <a:blip r:embed="rId70"/>
                    <a:stretch>
                      <a:fillRect/>
                    </a:stretch>
                  </pic:blipFill>
                  <pic:spPr bwMode="auto">
                    <a:xfrm>
                      <a:off x="0" y="0"/>
                      <a:ext cx="3810000" cy="4943856"/>
                    </a:xfrm>
                    <a:prstGeom prst="rect">
                      <a:avLst/>
                    </a:prstGeom>
                    <a:noFill/>
                    <a:ln w="9525">
                      <a:noFill/>
                      <a:headEnd/>
                      <a:tailEnd/>
                    </a:ln>
                  </pic:spPr>
                </pic:pic>
              </a:graphicData>
            </a:graphic>
          </wp:inline>
        </w:drawing>
      </w:r>
    </w:p>
    <w:p>
      <w:pPr>
        <w:pStyle w:val="ImageCaption"/>
      </w:pPr>
      <w:bookmarkStart w:id="71" w:name="fig18"/>
      <w:r>
        <w:t xml:space="preserve">Figure </w:t>
      </w:r>
      <w:fldSimple w:instr="SEQ Figure \* ARABIC ">
        <w:r>
          <w:t>18</w:t>
        </w:r>
      </w:fldSimple>
      <w:r>
        <w:t xml:space="preserve">:</w:t>
      </w:r>
      <w:r>
        <w:t xml:space="preserve"> </w:t>
      </w:r>
      <w:bookmarkEnd w:id="71"/>
      <w:r>
        <w:t xml:space="preserve">Figura 5.9: Proceso de contratación/licitación de los recetarios oficiales.</w:t>
      </w:r>
    </w:p>
    <w:bookmarkEnd w:id="72"/>
    <w:bookmarkStart w:id="75" w:name="tiempos-de-adquisición"/>
    <w:p>
      <w:pPr>
        <w:pStyle w:val="Heading3"/>
      </w:pPr>
      <w:r>
        <w:rPr>
          <w:rStyle w:val="SectionNumber"/>
        </w:rPr>
        <w:t xml:space="preserve">5.3.2</w:t>
      </w:r>
      <w:r>
        <w:tab/>
      </w:r>
      <w:r>
        <w:t xml:space="preserve">Tiempos de adquisición</w:t>
      </w:r>
    </w:p>
    <w:p>
      <w:pPr>
        <w:pStyle w:val="CaptionedFigure"/>
      </w:pPr>
      <w:r>
        <w:drawing>
          <wp:inline>
            <wp:extent cx="5334000" cy="3809999"/>
            <wp:effectExtent b="0" l="0" r="0" t="0"/>
            <wp:docPr descr="Figura 5.10: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7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4" w:name="fig19"/>
      <w:r>
        <w:t xml:space="preserve">Figure </w:t>
      </w:r>
      <w:fldSimple w:instr="SEQ Figure \* ARABIC ">
        <w:r>
          <w:t>19</w:t>
        </w:r>
      </w:fldSimple>
      <w:r>
        <w:t xml:space="preserve">:</w:t>
      </w:r>
      <w:r>
        <w:t xml:space="preserve"> </w:t>
      </w:r>
      <w:bookmarkEnd w:id="74"/>
      <w:r>
        <w:t xml:space="preserve">Figura 5.10: Tiempo de demora para adquisición de recetarios</w:t>
      </w:r>
    </w:p>
    <w:p>
      <w:pPr>
        <w:pStyle w:val="BodyText"/>
      </w:pPr>
      <w:r>
        <w:t xml:space="preserve">En la Figura</w:t>
      </w:r>
      <w:r>
        <w:t xml:space="preserve"> </w:t>
      </w:r>
      <w:r>
        <w:t xml:space="preserve">5.10</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licitación.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bookmarkEnd w:id="75"/>
    <w:bookmarkEnd w:id="76"/>
    <w:bookmarkStart w:id="94" w:name="procesos-relacionados-a-los-recetarios"/>
    <w:p>
      <w:pPr>
        <w:pStyle w:val="Heading2"/>
      </w:pPr>
      <w:r>
        <w:rPr>
          <w:rStyle w:val="SectionNumber"/>
        </w:rPr>
        <w:t xml:space="preserve">5.4</w:t>
      </w:r>
      <w:r>
        <w:tab/>
      </w:r>
      <w:r>
        <w:t xml:space="preserve">Procesos relacionados a los recetarios</w:t>
      </w:r>
    </w:p>
    <w:bookmarkStart w:id="79" w:name="recepción-de-recetarios"/>
    <w:p>
      <w:pPr>
        <w:pStyle w:val="Heading3"/>
      </w:pPr>
      <w:r>
        <w:rPr>
          <w:rStyle w:val="SectionNumber"/>
        </w:rPr>
        <w:t xml:space="preserve">5.4.1</w:t>
      </w:r>
      <w:r>
        <w:tab/>
      </w:r>
      <w:r>
        <w:t xml:space="preserve">Recepción de recetarios</w:t>
      </w:r>
    </w:p>
    <w:p>
      <w:pPr>
        <w:pStyle w:val="FirstParagraph"/>
      </w:pPr>
      <w:r>
        <w:t xml:space="preserve">En relación con la Figura</w:t>
      </w:r>
      <w:r>
        <w:t xml:space="preserve"> </w:t>
      </w:r>
      <w:r>
        <w:t xml:space="preserve">5.11</w:t>
      </w:r>
      <w:r>
        <w:t xml:space="preserve">A, se puede observar que 17 de los FRE entrevistados confirmaron que, sí reciben los recetarios diligenciados de las instituciones inscritas en su despacho dentro de los tiempos estimados, ver Figura</w:t>
      </w:r>
      <w:r>
        <w:t xml:space="preserve"> </w:t>
      </w:r>
      <w:r>
        <w:t xml:space="preserve">5.11</w:t>
      </w:r>
      <w:r>
        <w:t xml:space="preserve">B. Esto se realiza con el fin de corroborar los informes allegados correspondientes al anexo 13 que se entregan mensualmente.</w:t>
      </w:r>
    </w:p>
    <w:p>
      <w:pPr>
        <w:pStyle w:val="CaptionedFigure"/>
      </w:pPr>
      <w:r>
        <w:drawing>
          <wp:inline>
            <wp:extent cx="5334000" cy="2667000"/>
            <wp:effectExtent b="0" l="0" r="0" t="0"/>
            <wp:docPr descr="Figura 5.11: Recepción de recetarios. Panel A. Porcentaje de entes territoriales que reciben recetarios oficiales recibidos prescritos/diligenciados. Panel B. Tiempo de recepción de recetarios oficiales desde IP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8" w:name="fig20"/>
      <w:r>
        <w:t xml:space="preserve">Figure </w:t>
      </w:r>
      <w:fldSimple w:instr="SEQ Figure \* ARABIC ">
        <w:r>
          <w:t>20</w:t>
        </w:r>
      </w:fldSimple>
      <w:r>
        <w:t xml:space="preserve">:</w:t>
      </w:r>
      <w:r>
        <w:t xml:space="preserve"> </w:t>
      </w:r>
      <w:bookmarkEnd w:id="78"/>
      <w:r>
        <w:t xml:space="preserve">Figura 5.11: Recepción de recetarios. Panel A. Porcentaje de entes territoriales que reciben recetarios oficiales recibidos prescritos/diligenciados. Panel B. Tiempo de recepción de recetarios oficiales desde IPS.</w:t>
      </w:r>
    </w:p>
    <w:p>
      <w:pPr>
        <w:pStyle w:val="BodyText"/>
      </w:pPr>
      <w:r>
        <w:t xml:space="preserve">Los recetarios entregados deben revisarse exhaustivamente para evidenciar el buen uso de estos. Junto con los recetarios se trae el anexo 13 para corroborar que los medicamentos formulados coincidan con los valores prescritos en cada uno de los mismos. Esta tarea se realiza en 17 de los 31 departamentos visitados, sin embargo, es una actividad demorada debido a la: (a) falta de personal en los entes territoriales y (b) cantidad de instituciones inscritas y/o médicos prescriptores que hay en el departamento.</w:t>
      </w:r>
    </w:p>
    <w:p>
      <w:pPr>
        <w:pStyle w:val="BodyText"/>
      </w:pPr>
      <w:r>
        <w:t xml:space="preserve">El resto de los departamentos (57%) no reciben los recetarios prescritos en físico, entre las razones, la más frecuente está relacionada con la capacidad de almacenamiento del FRE de este tipo de documentación, que suele ser muy limitado o no se cuenta con el mismo. En dichos casos, los FRE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 un muestreo para verificar que las fórmulas prescritas en un determinado tiempo concuerden con las cantidades de medicamentos reportados en los informes mensuales.</w:t>
      </w:r>
    </w:p>
    <w:bookmarkEnd w:id="79"/>
    <w:bookmarkStart w:id="84" w:name="proceso-de-venta-de-recetarios-oficiales"/>
    <w:p>
      <w:pPr>
        <w:pStyle w:val="Heading3"/>
      </w:pPr>
      <w:r>
        <w:rPr>
          <w:rStyle w:val="SectionNumber"/>
        </w:rPr>
        <w:t xml:space="preserve">5.4.2</w:t>
      </w:r>
      <w:r>
        <w:tab/>
      </w:r>
      <w:r>
        <w:t xml:space="preserve">Proceso de venta de recetarios oficiales</w:t>
      </w:r>
    </w:p>
    <w:p>
      <w:pPr>
        <w:pStyle w:val="FirstParagraph"/>
      </w:pPr>
      <w:r>
        <w:t xml:space="preserve">El proceso de venta de recetarios oficiales se lleva a cabo de forma estandarizada en el grueso de los FRE del país, siguiendo el procedimiento descrito en la Figura</w:t>
      </w:r>
      <w:r>
        <w:t xml:space="preserve"> </w:t>
      </w:r>
      <w:r>
        <w:t xml:space="preserve">5.12</w:t>
      </w:r>
      <w:r>
        <w:t xml:space="preserve">. Allí se observa se forma generalizada la primera instancia del proceso, la cual es la solicitud de cotización de recetarios oficiales al FRE. Esta puede ser de forma personal o vía correo electrónico. Posterior a ello, el ente territorial realiza su estudio interno de disponibilidad y responde a la institución interesada con la cantidad que puede vender, de ser el caso en que no disponga del total de recetarios que el establecimiento farmacéutico requirió.</w:t>
      </w:r>
    </w:p>
    <w:p>
      <w:pPr>
        <w:pStyle w:val="CaptionedFigure"/>
      </w:pPr>
      <w:r>
        <w:drawing>
          <wp:inline>
            <wp:extent cx="4639376" cy="4350618"/>
            <wp:effectExtent b="0" l="0" r="0" t="0"/>
            <wp:docPr descr="Figura 5.12: Proceso de venta de recetarios oficiales" title="" id="1" name="Picture"/>
            <a:graphic>
              <a:graphicData uri="http://schemas.openxmlformats.org/drawingml/2006/picture">
                <pic:pic>
                  <pic:nvPicPr>
                    <pic:cNvPr descr="figures/procesoVentaREC.png" id="0" name="Picture"/>
                    <pic:cNvPicPr>
                      <a:picLocks noChangeArrowheads="1" noChangeAspect="1"/>
                    </pic:cNvPicPr>
                  </pic:nvPicPr>
                  <pic:blipFill>
                    <a:blip r:embed="rId80"/>
                    <a:stretch>
                      <a:fillRect/>
                    </a:stretch>
                  </pic:blipFill>
                  <pic:spPr bwMode="auto">
                    <a:xfrm>
                      <a:off x="0" y="0"/>
                      <a:ext cx="4639376" cy="4350618"/>
                    </a:xfrm>
                    <a:prstGeom prst="rect">
                      <a:avLst/>
                    </a:prstGeom>
                    <a:noFill/>
                    <a:ln w="9525">
                      <a:noFill/>
                      <a:headEnd/>
                      <a:tailEnd/>
                    </a:ln>
                  </pic:spPr>
                </pic:pic>
              </a:graphicData>
            </a:graphic>
          </wp:inline>
        </w:drawing>
      </w:r>
    </w:p>
    <w:p>
      <w:pPr>
        <w:pStyle w:val="ImageCaption"/>
      </w:pPr>
      <w:bookmarkStart w:id="81" w:name="fig21"/>
      <w:r>
        <w:t xml:space="preserve">Figure </w:t>
      </w:r>
      <w:fldSimple w:instr="SEQ Figure \* ARABIC ">
        <w:r>
          <w:t>21</w:t>
        </w:r>
      </w:fldSimple>
      <w:r>
        <w:t xml:space="preserve">:</w:t>
      </w:r>
      <w:r>
        <w:t xml:space="preserve"> </w:t>
      </w:r>
      <w:bookmarkEnd w:id="81"/>
      <w:r>
        <w:t xml:space="preserve">Figura 5.12: Proceso de venta de recetarios oficiales</w:t>
      </w:r>
    </w:p>
    <w:p>
      <w:pPr>
        <w:pStyle w:val="BodyText"/>
      </w:pPr>
      <w:r>
        <w:t xml:space="preserve">Según la Resolución 1479 de 2006</w:t>
      </w:r>
      <w:hyperlink w:anchor="ref-MSPS1479-2006">
        <w:r>
          <w:rPr>
            <w:rStyle w:val="Hyperlink"/>
            <w:vertAlign w:val="superscript"/>
          </w:rPr>
          <w:t xml:space="preserve">1</w:t>
        </w:r>
      </w:hyperlink>
      <w:r>
        <w:t xml:space="preserve"> </w:t>
      </w:r>
      <w:r>
        <w:t xml:space="preserve">- articulo 3, cada FRE debe contar con una cuenta bancaria en donde administre sus operaciones. En esta cuenta es donde la institución interesada deposita el monto de la cotización realizada. Finalmente, se radica ante el FRE el soporte de pago y los documentos de la cotización para que sean enviados al área de contabilidad del ente territorial, y los recetarios despachados al establecimiento farmacéutico que los requiere.</w:t>
      </w:r>
    </w:p>
    <w:p>
      <w:pPr>
        <w:pStyle w:val="BodyText"/>
      </w:pPr>
      <w:r>
        <w:t xml:space="preserve">Este proceso de venta de recetarios oficiales se desarrolla de forma rápida como lo demuestra la Figura</w:t>
      </w:r>
      <w:r>
        <w:t xml:space="preserve"> </w:t>
      </w:r>
      <w:r>
        <w:t xml:space="preserve">5.13</w:t>
      </w:r>
      <w:r>
        <w:t xml:space="preserve">. En la mayoría de departamentos tarda entre 1 y 2 días concretar la venta, tiempo que es determinado realmente por el establecimiento y cuanto demore en hacer el pago bancario a la cuenta del FRE. Los casos particulares en que el proceso toma hasta 5 días o más, como es el caso particular del FRE de Norte de Santander, se da por el alto riesgo de desvíos y posibilidad de fraudes de recetarios oficiales, por lo que los funcionarios del ente territorial, se toman una semana para realizar exhaustivamente la revisión del comprador. Por otro lado, en los FRE de Huila, Tolima y Vaupés, este comportamiento se presenta principalmente por falta de personal que pueda abarcar el total de las actividades que debe desarrollar el ente territorial, panorama común dentro de lo observado a lo largo de los acompañamientos técnicos del Proyecto de inversión Misión PRI 1901 a los distintos FRE de la nación, en donde por carencia de personal suficiente se tienen que priorizar unas tareas y relegar otras actividades del ente territorial igualmente valiosas para la salud pública de la región.</w:t>
      </w:r>
    </w:p>
    <w:p>
      <w:pPr>
        <w:pStyle w:val="CaptionedFigure"/>
      </w:pPr>
      <w:r>
        <w:drawing>
          <wp:inline>
            <wp:extent cx="5334000" cy="4000500"/>
            <wp:effectExtent b="0" l="0" r="0" t="0"/>
            <wp:docPr descr="Figura 5.13: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8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83" w:name="fig22"/>
      <w:r>
        <w:t xml:space="preserve">Figure </w:t>
      </w:r>
      <w:fldSimple w:instr="SEQ Figure \* ARABIC ">
        <w:r>
          <w:t>22</w:t>
        </w:r>
      </w:fldSimple>
      <w:r>
        <w:t xml:space="preserve">:</w:t>
      </w:r>
      <w:r>
        <w:t xml:space="preserve"> </w:t>
      </w:r>
      <w:bookmarkEnd w:id="83"/>
      <w:r>
        <w:t xml:space="preserve">Figura 5.13: Tiempo de demora en la venta de recetarios oficiales a clientes</w:t>
      </w:r>
    </w:p>
    <w:bookmarkEnd w:id="84"/>
    <w:bookmarkStart w:id="89" w:name="seguimiento-a-uso-de-recetarios"/>
    <w:p>
      <w:pPr>
        <w:pStyle w:val="Heading3"/>
      </w:pPr>
      <w:r>
        <w:rPr>
          <w:rStyle w:val="SectionNumber"/>
        </w:rPr>
        <w:t xml:space="preserve">5.4.3</w:t>
      </w:r>
      <w:r>
        <w:tab/>
      </w:r>
      <w:r>
        <w:t xml:space="preserve">Seguimiento a uso de recetarios</w:t>
      </w:r>
    </w:p>
    <w:p>
      <w:pPr>
        <w:pStyle w:val="FirstParagraph"/>
      </w:pPr>
      <w:r>
        <w:t xml:space="preserve">La Figura</w:t>
      </w:r>
      <w:r>
        <w:t xml:space="preserve"> </w:t>
      </w:r>
      <w:r>
        <w:t xml:space="preserve">5.14</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13"/>
        </w:numPr>
      </w:pPr>
      <w:r>
        <w:t xml:space="preserve">Datos básicos de las entidades y prescriptores inscritos en el FRE.</w:t>
      </w:r>
    </w:p>
    <w:p>
      <w:pPr>
        <w:numPr>
          <w:ilvl w:val="0"/>
          <w:numId w:val="1013"/>
        </w:numPr>
      </w:pPr>
      <w:r>
        <w:t xml:space="preserve">Unidades consumidas y su respectivo valor.</w:t>
      </w:r>
    </w:p>
    <w:p>
      <w:pPr>
        <w:numPr>
          <w:ilvl w:val="0"/>
          <w:numId w:val="1013"/>
        </w:numPr>
      </w:pPr>
      <w:r>
        <w:t xml:space="preserve">Datos de identificación de los recetarios.</w:t>
      </w:r>
    </w:p>
    <w:p>
      <w:pPr>
        <w:numPr>
          <w:ilvl w:val="0"/>
          <w:numId w:val="1013"/>
        </w:numPr>
      </w:pPr>
      <w:r>
        <w:t xml:space="preserve">Número de talonarios que se distribuyen en los respectivos departamentos.</w:t>
      </w:r>
    </w:p>
    <w:p>
      <w:pPr>
        <w:pStyle w:val="CaptionedFigure"/>
      </w:pPr>
      <w:r>
        <w:drawing>
          <wp:inline>
            <wp:extent cx="5334000" cy="3048000"/>
            <wp:effectExtent b="0" l="0" r="0" t="0"/>
            <wp:docPr descr="Figura 5.14: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85"/>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6" w:name="fig23"/>
      <w:r>
        <w:t xml:space="preserve">Figure </w:t>
      </w:r>
      <w:fldSimple w:instr="SEQ Figure \* ARABIC ">
        <w:r>
          <w:t>23</w:t>
        </w:r>
      </w:fldSimple>
      <w:r>
        <w:t xml:space="preserve">:</w:t>
      </w:r>
      <w:r>
        <w:t xml:space="preserve"> </w:t>
      </w:r>
      <w:bookmarkEnd w:id="86"/>
      <w:r>
        <w:t xml:space="preserve">Figura 5.14: Proporción de FRE que diligencian campos en BD de venta de recetarios</w:t>
      </w:r>
    </w:p>
    <w:p>
      <w:pPr>
        <w:pStyle w:val="BodyText"/>
      </w:pPr>
      <w:r>
        <w:t xml:space="preserve">Durante la jornada de inmersión territorial, se puedo observar que los FRE utilizan dichas bases con dos propósitos principales:</w:t>
      </w:r>
    </w:p>
    <w:p>
      <w:pPr>
        <w:numPr>
          <w:ilvl w:val="0"/>
          <w:numId w:val="1014"/>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14"/>
        </w:numPr>
      </w:pPr>
      <w:r>
        <w:t xml:space="preserve">Evitar fraudes o falsificaciones al realizar un control en el manejo de talonarios, y contrastando la información de las bases con la entregada o solicitada durante visitas.</w:t>
      </w:r>
    </w:p>
    <w:p>
      <w:pPr>
        <w:pStyle w:val="FirstParagraph"/>
      </w:pPr>
      <w:r>
        <w:t xml:space="preserve">Se observó que la mayoría de FRE (proporción mayor a 50% en la Figura</w:t>
      </w:r>
      <w:r>
        <w:t xml:space="preserve"> </w:t>
      </w:r>
      <w:r>
        <w:t xml:space="preserve">5.14</w:t>
      </w:r>
      <w:r>
        <w:t xml:space="preserve">) llevaban un control de información con el fin de identificar a los compradores (Nombre del comprador persona o institución) y las cantidades adquiridas – Unidades compradas.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5.15</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En segundo lugar, se encuentra la verificación de base de ventas. Esta actividad se explicó al mencionar que las mismas se utilizan para el control y seguimiento de posibles desvíos o anormalidades en los consumos.</w:t>
      </w:r>
    </w:p>
    <w:p>
      <w:pPr>
        <w:pStyle w:val="BodyText"/>
      </w:pPr>
      <w:r>
        <w:t xml:space="preserve">Las actividades anteriormente descritas se consideran actividades de seguimiento pasivas, caso contrario a la verificación de recambios. Esta actividad se realiza en un 22% del territorio Nacional, la cual consiste en autorizar la venta de recetarios a las entidades y/o médicos prescriptores solo sí devuelve los recetarios comprados anteriormente. Por parte de los departamentos se aclara que no es necesarios vender la misma cantidad de recetarios que el comprador devuelve.</w:t>
      </w:r>
    </w:p>
    <w:p>
      <w:pPr>
        <w:pStyle w:val="BodyText"/>
      </w:pPr>
      <w:r>
        <w:t xml:space="preserve">Otras actividades de seguimiento activo al manejo de RO son el seguimiento a las denuncias, las cuales tienen una proporción menor al 5%. Finalmente,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3333750"/>
            <wp:effectExtent b="0" l="0" r="0" t="0"/>
            <wp:docPr descr="Figura 5.15: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88" w:name="fig24"/>
      <w:r>
        <w:t xml:space="preserve">Figure </w:t>
      </w:r>
      <w:fldSimple w:instr="SEQ Figure \* ARABIC ">
        <w:r>
          <w:t>24</w:t>
        </w:r>
      </w:fldSimple>
      <w:r>
        <w:t xml:space="preserve">:</w:t>
      </w:r>
      <w:r>
        <w:t xml:space="preserve"> </w:t>
      </w:r>
      <w:bookmarkEnd w:id="88"/>
      <w:r>
        <w:t xml:space="preserve">Figura 5.15: Actividades realizadas por el FRE para el seguimiento del uso de recetarios</w:t>
      </w:r>
    </w:p>
    <w:bookmarkEnd w:id="89"/>
    <w:bookmarkStart w:id="93" w:name="archivo-de-recetarios"/>
    <w:p>
      <w:pPr>
        <w:pStyle w:val="Heading3"/>
      </w:pPr>
      <w:r>
        <w:rPr>
          <w:rStyle w:val="SectionNumber"/>
        </w:rPr>
        <w:t xml:space="preserve">5.4.4</w:t>
      </w:r>
      <w:r>
        <w:tab/>
      </w:r>
      <w:r>
        <w:t xml:space="preserve">Archivo de recetarios</w:t>
      </w:r>
    </w:p>
    <w:p>
      <w:pPr>
        <w:pStyle w:val="FirstParagraph"/>
      </w:pPr>
      <w:r>
        <w:t xml:space="preserve">Durante el acompañamiento se complementó como recomendación a los FRE, se considerará alinearse a lo expresado en la Circular 009 de 2015 del FNE, donde se difunde la buena práctica de implementar bases de retención documental y gestión de archivo</w:t>
      </w:r>
      <w:hyperlink w:anchor="ref-FNE2015-9">
        <w:r>
          <w:rPr>
            <w:rStyle w:val="Hyperlink"/>
            <w:vertAlign w:val="superscript"/>
          </w:rPr>
          <w:t xml:space="preserve">8</w:t>
        </w:r>
      </w:hyperlink>
      <w:r>
        <w:t xml:space="preserve">. La frecuencia con la cual se reciben los recetarios oficiales a los FRE desde las entidades y médicos prescriptores inscritos se observa en la Figura</w:t>
      </w:r>
      <w:r>
        <w:t xml:space="preserve"> </w:t>
      </w:r>
      <w:r>
        <w:t xml:space="preserve">5.11</w:t>
      </w:r>
      <w:r>
        <w:t xml:space="preserve">B La frecuencia de recepción de recetarios guarda relación con la información analizada en el punto anterior. Se tiene que 13 FRE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 Se tiene que 17 de 31 FRE reciben los recetarios oficiales desde IPS.</w:t>
      </w:r>
    </w:p>
    <w:p>
      <w:pPr>
        <w:pStyle w:val="BodyText"/>
      </w:pPr>
      <w:r>
        <w:t xml:space="preserve">Complementando la información reportada en la Figura</w:t>
      </w:r>
      <w:r>
        <w:t xml:space="preserve"> </w:t>
      </w:r>
      <w:r>
        <w:t xml:space="preserve">5.11</w:t>
      </w:r>
      <w:r>
        <w:t xml:space="preserve"> </w:t>
      </w:r>
      <w:r>
        <w:t xml:space="preserve">y en la Figura</w:t>
      </w:r>
      <w:r>
        <w:t xml:space="preserve"> </w:t>
      </w:r>
      <w:r>
        <w:t xml:space="preserve">5.16</w:t>
      </w:r>
      <w:r>
        <w:t xml:space="preserve">, se relacionó el tiempo de archivo que los FRE que si reciben los recetarios oficiales los almacenan, obteniendo que 10 FRE los almacenan por un periodo mayor a 5 años. Durante las jornadas de inmersión territorial se pudo observar que este tiempo de almacenamiento, en la mayoría de los casos, es por desinformación en los FRE, puesto que no se tiene presente el tiempo que se deben guardar estas copias, y al considerarlas parte de la historia clínica de un paciente estiman guardarlas hasta por 10 años, superando en muchos casos la capacidad de archivo de los FRE.</w:t>
      </w:r>
    </w:p>
    <w:p>
      <w:pPr>
        <w:pStyle w:val="CaptionedFigure"/>
      </w:pPr>
      <w:r>
        <w:drawing>
          <wp:inline>
            <wp:extent cx="5334000" cy="3809999"/>
            <wp:effectExtent b="0" l="0" r="0" t="0"/>
            <wp:docPr descr="Figura 5.16: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9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1" w:name="fig25"/>
      <w:r>
        <w:t xml:space="preserve">Figure </w:t>
      </w:r>
      <w:fldSimple w:instr="SEQ Figure \* ARABIC ">
        <w:r>
          <w:t>25</w:t>
        </w:r>
      </w:fldSimple>
      <w:r>
        <w:t xml:space="preserve">:</w:t>
      </w:r>
      <w:r>
        <w:t xml:space="preserve"> </w:t>
      </w:r>
      <w:bookmarkEnd w:id="91"/>
      <w:r>
        <w:t xml:space="preserve">Figura 5.16: Tiempo de archivo de los recetarios oficiales en los FRE</w:t>
      </w:r>
    </w:p>
    <w:p>
      <w:pPr>
        <w:pStyle w:val="BodyText"/>
      </w:pPr>
      <w:r>
        <w:t xml:space="preserve">En otros casos, la intención de archivo se acoge a las medidas establecidas por las gobernaciones, en las cuales se pide un archivo de 20 años para documentación critica, según las tablas de retención documental gubernamental</w:t>
      </w:r>
      <w:hyperlink w:anchor="X4242f5a7e44b24d61e2675796eed085a7e5e2cf">
        <w:r>
          <w:rPr>
            <w:rStyle w:val="Hyperlink"/>
            <w:vertAlign w:val="superscript"/>
          </w:rPr>
          <w:t xml:space="preserve">9</w:t>
        </w:r>
      </w:hyperlink>
      <w:r>
        <w:t xml:space="preserve">. Otros FRE en cambio establecieron protocolo de archivo y una vez cumplido el periodo de almacenamiento, por supuesto, posterior revisión, los recetarios oficiales son destruidos.</w:t>
      </w:r>
    </w:p>
    <w:p>
      <w:pPr>
        <w:pStyle w:val="BodyText"/>
      </w:pPr>
      <w:r>
        <w:t xml:space="preserve">Como se mencionó previamente durante el acompañamiento se compartió la Circular 009 de 2015</w:t>
      </w:r>
      <w:hyperlink w:anchor="ref-FNE2015-9">
        <w:r>
          <w:rPr>
            <w:rStyle w:val="Hyperlink"/>
            <w:vertAlign w:val="superscript"/>
          </w:rPr>
          <w:t xml:space="preserve">8</w:t>
        </w:r>
      </w:hyperlink>
      <w:r>
        <w:t xml:space="preserve">, la cual en su Artículo Primero expresa:</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 Cuando se utilicen talonarios (artículo 30, inciso 2 b) de recetas oficiales, dichos talonarios se conservarán también durante un periodo de dos años por lo menos</w:t>
      </w:r>
      <w:r>
        <w:rPr>
          <w:iCs/>
          <w:i/>
        </w:rPr>
        <w:t xml:space="preserve">”</w:t>
      </w:r>
      <w:r>
        <w:rPr>
          <w:iCs/>
          <w:i/>
        </w:rPr>
        <w:t xml:space="preserve">.</w:t>
      </w:r>
    </w:p>
    <w:p>
      <w:pPr>
        <w:pStyle w:val="FirstParagraph"/>
      </w:pPr>
      <w:r>
        <w:t xml:space="preserve">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w:t>
      </w:r>
      <w:r>
        <w:t xml:space="preserve"> </w:t>
      </w:r>
      <w:r>
        <w:t xml:space="preserve">se observa que todos los departamentos han implementado algún tipo de medida de seguridad para el control de los recetarios.</w:t>
      </w:r>
    </w:p>
    <w:p>
      <w:pPr>
        <w:pStyle w:val="BodyText"/>
      </w:pPr>
      <w:r>
        <w:drawing>
          <wp:inline>
            <wp:extent cx="5334000" cy="3809999"/>
            <wp:effectExtent b="0" l="0" r="0" t="0"/>
            <wp:docPr descr=""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92"/>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t xml:space="preserve">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recetarios. 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w:t>
      </w:r>
    </w:p>
    <w:p>
      <w:pPr>
        <w:pStyle w:val="BodyText"/>
      </w:pPr>
      <w:r>
        <w:t xml:space="preserve">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Por último, sólo 3 departamentos realizan un inventario físico diario, asegurando que los recetarios estén completos. Esta actividad suele hacerse revisando las cajas donde son traídos los recetarios, observando que la cantidad de estas no estén alteradas.</w:t>
      </w:r>
    </w:p>
    <w:bookmarkEnd w:id="93"/>
    <w:bookmarkEnd w:id="94"/>
    <w:bookmarkStart w:id="103" w:name="características-de-los-recetarios"/>
    <w:p>
      <w:pPr>
        <w:pStyle w:val="Heading2"/>
      </w:pPr>
      <w:r>
        <w:rPr>
          <w:rStyle w:val="SectionNumber"/>
        </w:rPr>
        <w:t xml:space="preserve">5.5</w:t>
      </w:r>
      <w:r>
        <w:tab/>
      </w:r>
      <w:r>
        <w:t xml:space="preserve">Características de los recetarios</w:t>
      </w:r>
    </w:p>
    <w:bookmarkStart w:id="97" w:name="número-de-prescripciones-por-recetario"/>
    <w:p>
      <w:pPr>
        <w:pStyle w:val="Heading3"/>
      </w:pPr>
      <w:r>
        <w:rPr>
          <w:rStyle w:val="SectionNumber"/>
        </w:rPr>
        <w:t xml:space="preserve">5.5.1</w:t>
      </w:r>
      <w:r>
        <w:tab/>
      </w:r>
      <w:r>
        <w:t xml:space="preserve">Número de prescripciones por recetario</w:t>
      </w:r>
    </w:p>
    <w:p>
      <w:pPr>
        <w:pStyle w:val="FirstParagraph"/>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5.17</w:t>
      </w:r>
      <w:r>
        <w:t xml:space="preserve">. Cabe aclarar que según las normas de regulación de MME y recetarios oficiales, como los son las Resolución 1478 de 2006</w:t>
      </w:r>
      <w:hyperlink w:anchor="ref-MSPS1478-2006">
        <w:r>
          <w:rPr>
            <w:rStyle w:val="Hyperlink"/>
            <w:vertAlign w:val="superscript"/>
          </w:rPr>
          <w:t xml:space="preserve">4</w:t>
        </w:r>
      </w:hyperlink>
      <w:r>
        <w:t xml:space="preserve"> </w:t>
      </w:r>
      <w:r>
        <w:t xml:space="preserve">y Resolución 1479 de 2006</w:t>
      </w:r>
      <w:hyperlink w:anchor="ref-MSPS1479-2006">
        <w:r>
          <w:rPr>
            <w:rStyle w:val="Hyperlink"/>
            <w:vertAlign w:val="superscript"/>
          </w:rPr>
          <w:t xml:space="preserve">1</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17: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9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6" w:name="fig26"/>
      <w:r>
        <w:t xml:space="preserve">Figure </w:t>
      </w:r>
      <w:fldSimple w:instr="SEQ Figure \* ARABIC ">
        <w:r>
          <w:t>26</w:t>
        </w:r>
      </w:fldSimple>
      <w:r>
        <w:t xml:space="preserve">:</w:t>
      </w:r>
      <w:r>
        <w:t xml:space="preserve"> </w:t>
      </w:r>
      <w:bookmarkEnd w:id="96"/>
      <w:r>
        <w:t xml:space="preserve">Figura 5.17: N.° de prescripciones por recetario</w:t>
      </w:r>
    </w:p>
    <w:bookmarkEnd w:id="97"/>
    <w:bookmarkStart w:id="102" w:name="medidas-de-seguridad"/>
    <w:p>
      <w:pPr>
        <w:pStyle w:val="Heading3"/>
      </w:pPr>
      <w:r>
        <w:rPr>
          <w:rStyle w:val="SectionNumber"/>
        </w:rPr>
        <w:t xml:space="preserve">5.5.2</w:t>
      </w:r>
      <w:r>
        <w:tab/>
      </w:r>
      <w:r>
        <w:t xml:space="preserve">Medidas de seguridad</w:t>
      </w:r>
    </w:p>
    <w:p>
      <w:pPr>
        <w:pStyle w:val="FirstParagraph"/>
      </w:pPr>
      <w:r>
        <w:t xml:space="preserve">Uno de los puntos de acompañamiento del proyecto Misión PRI 1901 era conocer tanto en las visitas presenciales como virtuales, los tipos de medidas de seguridad que se implementan en los recetarios. La Figura</w:t>
      </w:r>
      <w:r>
        <w:t xml:space="preserve"> </w:t>
      </w:r>
      <w:r>
        <w:t xml:space="preserve">5.18</w:t>
      </w:r>
      <w:r>
        <w:t xml:space="preserve"> </w:t>
      </w:r>
      <w:r>
        <w:t xml:space="preserve">contempló lo mencionado anteriormente, en la cual se observa que existe una gran variedad de medidas consideradas de seguridad en los recetarios, y que existen y existirán tantas como proponentes se tengan. Así mismo, se catalogaron las medidas de seguridad en baja y alta complejidad, teniendo como base lo difícil que pueden llegar a ser falsificados. Se reconoce que todos los departamentos implementaron la codificación en los recetarios oficiales tal y como se menciona en la Resolución 1478 de 2008</w:t>
      </w:r>
      <w:hyperlink w:anchor="ref-MSPS1478-2006">
        <w:r>
          <w:rPr>
            <w:rStyle w:val="Hyperlink"/>
            <w:vertAlign w:val="superscript"/>
          </w:rPr>
          <w:t xml:space="preserve">4</w:t>
        </w:r>
      </w:hyperlink>
      <w:r>
        <w:t xml:space="preserve"> </w:t>
      </w:r>
      <w:r>
        <w:t xml:space="preserve">en el Artículo 89 y dicha codificación desarrollada para cada talonario está pensada para ser una identificación única de los mismos.</w:t>
      </w:r>
      <w:r>
        <w:t xml:space="preserve"> </w:t>
      </w:r>
      <w:r>
        <w:t xml:space="preserve">Tanto como la codificación como las marcas de agua, sellos y escudos se catalogaron como medidas de seguridad de baja complejidad, teniendo en cuenta que hay un riesgo latente de falsificación debido a que las marcas de agua corresponden a figuras particulares o al escudo de la gobernación y/o secretaria de salud, al igual que los sellos y escudos. Sumado a lo anterior, los recetarios están elaborados en papel común y corriente, lo que podría aumentar la probabilidad de ser falsificados.</w:t>
      </w:r>
    </w:p>
    <w:p>
      <w:pPr>
        <w:pStyle w:val="CaptionedFigure"/>
      </w:pPr>
      <w:r>
        <w:drawing>
          <wp:inline>
            <wp:extent cx="5334000" cy="3809999"/>
            <wp:effectExtent b="0" l="0" r="0" t="0"/>
            <wp:docPr descr="Figura 5.18: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9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9" w:name="fig27"/>
      <w:r>
        <w:t xml:space="preserve">Figure </w:t>
      </w:r>
      <w:fldSimple w:instr="SEQ Figure \* ARABIC ">
        <w:r>
          <w:t>27</w:t>
        </w:r>
      </w:fldSimple>
      <w:r>
        <w:t xml:space="preserve">:</w:t>
      </w:r>
      <w:r>
        <w:t xml:space="preserve"> </w:t>
      </w:r>
      <w:bookmarkEnd w:id="99"/>
      <w:r>
        <w:t xml:space="preserve">Figura 5.18: Medidas de seguridad en los recetarios</w:t>
      </w:r>
    </w:p>
    <w:p>
      <w:pPr>
        <w:pStyle w:val="BodyText"/>
      </w:pPr>
      <w:r>
        <w:t xml:space="preserve">Considerando lo anterior, los FRE han optado por implementar niveles de seguridad mayores y elevar la confianza en el manejo de los recetarios, entre estas medidas se observan las siguientes:</w:t>
      </w:r>
    </w:p>
    <w:p>
      <w:pPr>
        <w:numPr>
          <w:ilvl w:val="0"/>
          <w:numId w:val="1015"/>
        </w:numPr>
      </w:pPr>
      <w:r>
        <w:t xml:space="preserve">Tintas invisibles o fluorescentes que brillan al estar frente a la luz UV.</w:t>
      </w:r>
    </w:p>
    <w:p>
      <w:pPr>
        <w:numPr>
          <w:ilvl w:val="0"/>
          <w:numId w:val="1015"/>
        </w:numPr>
      </w:pPr>
      <w:r>
        <w:t xml:space="preserve">Microletras/microtextos, los cuales están inmersos en cada folio del recetario donde se describe para quien va cada copia.</w:t>
      </w:r>
    </w:p>
    <w:p>
      <w:pPr>
        <w:numPr>
          <w:ilvl w:val="0"/>
          <w:numId w:val="1015"/>
        </w:numPr>
      </w:pPr>
      <w:r>
        <w:t xml:space="preserve">Relieves o laminados observados en la copia original de los recetarios.</w:t>
      </w:r>
    </w:p>
    <w:p>
      <w:pPr>
        <w:numPr>
          <w:ilvl w:val="0"/>
          <w:numId w:val="1015"/>
        </w:numPr>
      </w:pPr>
      <w:r>
        <w:t xml:space="preserve">Filamentos o bandas de seguridad tecnología similar a los billetes.</w:t>
      </w:r>
    </w:p>
    <w:p>
      <w:pPr>
        <w:numPr>
          <w:ilvl w:val="0"/>
          <w:numId w:val="1015"/>
        </w:numPr>
      </w:pPr>
      <w:r>
        <w:t xml:space="preserve">Pruebas reactivo metal, que consisten en raspar un espacio determinado del recetario con un metal o moneda desde la página original del mismo y automáticamente los folios continuos se marcarán.</w:t>
      </w:r>
    </w:p>
    <w:p>
      <w:pPr>
        <w:numPr>
          <w:ilvl w:val="0"/>
          <w:numId w:val="1015"/>
        </w:numPr>
      </w:pPr>
      <w:r>
        <w:t xml:space="preserve">Códigos QR que codifican información del año en el cual fue distribuido el talonario.</w:t>
      </w:r>
    </w:p>
    <w:p>
      <w:pPr>
        <w:pStyle w:val="FirstParagraph"/>
      </w:pPr>
      <w:r>
        <w:t xml:space="preserve">Menos del 40% de los FRE han implementado medidas de alta seguridad en sus recetarios debido a la capacidad de manufactura de los proveedores departamentales. Dicha limitante se identificó en especial en las regiones alejadas del centro del país, donde en términos de los FRE, los proveedores departamentales no tienen la capacidad o la tecnología suficiente para elaborar un talonario con características de alta seguridad. Además, adquirir contratos con proveedores externos al departamento dificulta el seguimiento o alarga los procesos de compra, por lo que supone superar las barreras geográficas y/o sociales de algunos departamentos.</w:t>
      </w:r>
    </w:p>
    <w:p>
      <w:pPr>
        <w:pStyle w:val="BodyText"/>
      </w:pPr>
      <w:r>
        <w:t xml:space="preserve">Al inicio del proyecto de inversión, se estimaba que los recetarios oficiales con más características de seguridad (independiente de su nivel de complejidad) aumentarían de forma proporcional su costo de adquisición y del mismo modo su precio de venta, sin embargo, se evidenció una tendencia totalmente diferente que se puede observar en la Figura</w:t>
      </w:r>
      <w:r>
        <w:t xml:space="preserve"> </w:t>
      </w:r>
      <w:r>
        <w:t xml:space="preserve">5.19</w:t>
      </w:r>
      <w:r>
        <w:t xml:space="preserve"> </w:t>
      </w:r>
      <w:r>
        <w:t xml:space="preserve">y Figura</w:t>
      </w:r>
      <w:r>
        <w:t xml:space="preserve"> </w:t>
      </w:r>
      <w:r>
        <w:t xml:space="preserve">5.6</w:t>
      </w:r>
      <w:r>
        <w:t xml:space="preserve">, entre más características de seguridad implementadas en un recetario, éste tiende a ser más económico en su costo de adquisición.</w:t>
      </w:r>
    </w:p>
    <w:p>
      <w:pPr>
        <w:pStyle w:val="CaptionedFigure"/>
      </w:pPr>
      <w:r>
        <w:drawing>
          <wp:inline>
            <wp:extent cx="5334000" cy="2667000"/>
            <wp:effectExtent b="0" l="0" r="0" t="0"/>
            <wp:docPr descr="Figura 5.19: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01" w:name="fig28"/>
      <w:r>
        <w:t xml:space="preserve">Figure </w:t>
      </w:r>
      <w:fldSimple w:instr="SEQ Figure \* ARABIC ">
        <w:r>
          <w:t>28</w:t>
        </w:r>
      </w:fldSimple>
      <w:r>
        <w:t xml:space="preserve">:</w:t>
      </w:r>
      <w:r>
        <w:t xml:space="preserve"> </w:t>
      </w:r>
      <w:bookmarkEnd w:id="101"/>
      <w:r>
        <w:t xml:space="preserve">Figura 5.19: Comparativo de márgen de ganancia de recetarios</w:t>
      </w:r>
    </w:p>
    <w:p>
      <w:pPr>
        <w:pStyle w:val="BodyText"/>
      </w:pPr>
      <w:r>
        <w:t xml:space="preserve">Por otro lado, se observa el margen de ganancia obtenido mediante la venta de recetarios en los fondos rotatorios, este ítem ya se analizó anteriormente con la Figura</w:t>
      </w:r>
      <w:r>
        <w:t xml:space="preserve"> </w:t>
      </w:r>
      <w:r>
        <w:t xml:space="preserve">5.5</w:t>
      </w:r>
      <w:r>
        <w:t xml:space="preserve">. Sin embargo, no se encuentra una relación entre este margen de ganancia con el número de personas que trabajan dentro del FRE.</w:t>
      </w:r>
    </w:p>
    <w:p>
      <w:pPr>
        <w:pStyle w:val="BodyText"/>
      </w:pPr>
      <w:r>
        <w:t xml:space="preserve">Si bien las ganancias obtenidas por las ventas de recetarios son unas de las fuentes principales de ingresos en los entes territoriales, no hay claridad de cómo se manejan estos valores debido a que departamentos con los mismos márgenes de ganancia tienen condiciones distintas, tanto en personal como en infraestructura tecnológica y estructural.</w:t>
      </w:r>
    </w:p>
    <w:bookmarkEnd w:id="102"/>
    <w:bookmarkEnd w:id="103"/>
    <w:bookmarkStart w:id="108" w:name="recetario-oficial-electrónico"/>
    <w:p>
      <w:pPr>
        <w:pStyle w:val="Heading2"/>
      </w:pPr>
      <w:r>
        <w:rPr>
          <w:rStyle w:val="SectionNumber"/>
        </w:rPr>
        <w:t xml:space="preserve">5.6</w:t>
      </w:r>
      <w:r>
        <w:tab/>
      </w:r>
      <w:r>
        <w:t xml:space="preserve">Recetario Oficial Electrónico</w:t>
      </w:r>
    </w:p>
    <w:p>
      <w:pPr>
        <w:pStyle w:val="FirstParagraph"/>
      </w:pPr>
      <w:r>
        <w:t xml:space="preserve">El recetario oficial es …</w:t>
      </w:r>
    </w:p>
    <w:bookmarkStart w:id="106" w:name="opiniones-sobre-el-roe"/>
    <w:p>
      <w:pPr>
        <w:pStyle w:val="Heading3"/>
      </w:pPr>
      <w:r>
        <w:rPr>
          <w:rStyle w:val="SectionNumber"/>
        </w:rPr>
        <w:t xml:space="preserve">5.6.1</w:t>
      </w:r>
      <w:r>
        <w:tab/>
      </w:r>
      <w:r>
        <w:t xml:space="preserve">Opiniones sobre el ROE</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10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5" w:name="fig29"/>
      <w:r>
        <w:t xml:space="preserve">Figure </w:t>
      </w:r>
      <w:fldSimple w:instr="SEQ Figure \* ARABIC ">
        <w:r>
          <w:t>29</w:t>
        </w:r>
      </w:fldSimple>
      <w:r>
        <w:t xml:space="preserve">:</w:t>
      </w:r>
      <w:r>
        <w:t xml:space="preserve"> </w:t>
      </w:r>
      <w:bookmarkEnd w:id="105"/>
      <w:r>
        <w:t xml:space="preserve">Figura 5.20: Opinión sobre la implementación del Recetario Oficial Electrónico (ROE)</w:t>
      </w:r>
    </w:p>
    <w:p>
      <w:pPr>
        <w:pStyle w:val="BodyText"/>
      </w:pPr>
      <w:r>
        <w:t xml:space="preserve">Como se observa en la Figura</w:t>
      </w:r>
      <w:r>
        <w:t xml:space="preserve"> </w:t>
      </w:r>
      <w:r>
        <w:t xml:space="preserve">5.20</w:t>
      </w:r>
      <w:r>
        <w:t xml:space="preserve">, el 58% de los FRE del país tienen una opinión favorable acerca del ROE, ya que, según la información recopilada, los encargados de los diferentes FRE piensan que podría ser una herramienta que brinde mayor seguimiento, trazabilidad y seguridad a las prescripciones de MME, además del ahorro de papel y de espacio de almacenamiento en las bodegas que sería liberado. Como ejemplo de opinión positiva respecto a la implementación del FRE se tiene:</w:t>
      </w:r>
    </w:p>
    <w:p>
      <w:pPr>
        <w:pStyle w:val="BlockText"/>
      </w:pPr>
      <w:r>
        <w:rPr>
          <w:iCs/>
          <w:i/>
        </w:rPr>
        <w:t xml:space="preserve">“</w:t>
      </w:r>
      <w:r>
        <w:rPr>
          <w:iCs/>
          <w:i/>
        </w:rPr>
        <w:t xml:space="preserve">… puede ser un proceso interesante para llevar trazabilidad de los recetarios oficiales. El recetario oficial actual es insuficiente para hacer el respectivo seguimiento y control. Igualmente, el ROE podría mejorar la accesibilidad de medicamentos.</w:t>
      </w:r>
      <w:r>
        <w:rPr>
          <w:iCs/>
          <w:i/>
        </w:rPr>
        <w:t xml:space="preserve">”</w:t>
      </w:r>
    </w:p>
    <w:p>
      <w:pPr>
        <w:pStyle w:val="FirstParagraph"/>
      </w:pPr>
      <w:r>
        <w:t xml:space="preserve">Por otro lado, 29%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Como ejemplo de opinión negativa se tiene:</w:t>
      </w:r>
    </w:p>
    <w:p>
      <w:pPr>
        <w:pStyle w:val="BlockText"/>
      </w:pPr>
      <w:r>
        <w:rPr>
          <w:iCs/>
          <w:i/>
        </w:rPr>
        <w:t xml:space="preserve">“</w:t>
      </w:r>
      <w:r>
        <w:rPr>
          <w:iCs/>
          <w:i/>
        </w:rPr>
        <w:t xml:space="preserve">La razón principal es el factor financiero. El FRE necesita los ingresos generados por los recetarios oficiales propios, para su sostenimiento. Igualmente, es difícil continuar con las actividades de seguimiento y control para los recetarios oficiales. Así mismo, podría prestarse para un manejo inadecuado de los MME, contemplando fraude y desvíos en los recetarios oficiales electrónicos.</w:t>
      </w:r>
      <w:r>
        <w:rPr>
          <w:iCs/>
          <w:i/>
        </w:rPr>
        <w:t xml:space="preserve">”</w:t>
      </w:r>
    </w:p>
    <w:bookmarkEnd w:id="106"/>
    <w:bookmarkStart w:id="107" w:name="X48acb357b00d559a146f6f2135defaabfe2787f"/>
    <w:p>
      <w:pPr>
        <w:pStyle w:val="Heading3"/>
      </w:pPr>
      <w:r>
        <w:rPr>
          <w:rStyle w:val="SectionNumber"/>
        </w:rPr>
        <w:t xml:space="preserve">5.6.2</w:t>
      </w:r>
      <w:r>
        <w:tab/>
      </w:r>
      <w:r>
        <w:t xml:space="preserve">Lineamientos para el buen manejo de recetarios</w:t>
      </w:r>
    </w:p>
    <w:p>
      <w:pPr>
        <w:pStyle w:val="FirstParagraph"/>
      </w:pPr>
      <w:r>
        <w:t xml:space="preserve">Tras la recolección de información en el territorio nacional, se encontró que hay fortalezas y debilidades en los departamentos respecto al manejo de los recetarios. Por ende, se hace necesario realizar unos lineamientos técnicos para tener en cuenta y ser adoptados dentro de los entes territoriales, de los cuales se resaltan:</w:t>
      </w:r>
    </w:p>
    <w:p>
      <w:pPr>
        <w:numPr>
          <w:ilvl w:val="0"/>
          <w:numId w:val="1016"/>
        </w:numPr>
      </w:pPr>
      <w:r>
        <w:t xml:space="preserve">Tener una espacio exclusivo y seguro para el almacenamiento de los recetarios, en el cual sólo se tenga acceso cierto personal del FRE.</w:t>
      </w:r>
    </w:p>
    <w:p>
      <w:pPr>
        <w:numPr>
          <w:ilvl w:val="0"/>
          <w:numId w:val="1016"/>
        </w:numPr>
      </w:pPr>
      <w:r>
        <w:t xml:space="preserve">Realizar un seguimiento de los recetarios por medio de la codificación al momento de venderse, puesto que al no llevar registro de los mismos hay una posibilidad de falsificación y/o desvío.</w:t>
      </w:r>
    </w:p>
    <w:p>
      <w:pPr>
        <w:numPr>
          <w:ilvl w:val="0"/>
          <w:numId w:val="1016"/>
        </w:numPr>
      </w:pPr>
      <w:r>
        <w:t xml:space="preserve">Tratar de implementar medidas de seguridad más altas, elevando el nivel de confianza del recetario. En los departamentos donde sólo hay 1 o 2 litografías, se aconseja hablar con dichos proveedores para llegar a un acuerdo de que medidas pueden adicionarse en el recetario. Por ejemplo, adicionar microtextos en cada copia del recetario.</w:t>
      </w:r>
    </w:p>
    <w:p>
      <w:pPr>
        <w:numPr>
          <w:ilvl w:val="0"/>
          <w:numId w:val="1016"/>
        </w:numPr>
      </w:pPr>
      <w:r>
        <w:t xml:space="preserve">Seguir las circulares emitidas por el FNE relacionado con el almacenamiento de los recetarios diligenciados, liberándose de espacio en los entes territoriales y teniendo un lugar de trabajo más óptimo.</w:t>
      </w:r>
    </w:p>
    <w:p>
      <w:pPr>
        <w:numPr>
          <w:ilvl w:val="0"/>
          <w:numId w:val="1016"/>
        </w:numPr>
      </w:pPr>
      <w:r>
        <w:t xml:space="preserve">Tener niveles de seguridad para realizar la compra de nuevos recetarios, evitando desabastecimientos y llegando a planes de contingencia que pueden llegar a ser reprocesos en los entes territoriales.</w:t>
      </w:r>
    </w:p>
    <w:bookmarkEnd w:id="107"/>
    <w:bookmarkEnd w:id="108"/>
    <w:bookmarkEnd w:id="109"/>
    <w:bookmarkStart w:id="167" w:name="manejo-de-medicamentos"/>
    <w:p>
      <w:pPr>
        <w:pStyle w:val="Heading1"/>
      </w:pPr>
      <w:r>
        <w:rPr>
          <w:rStyle w:val="SectionNumber"/>
        </w:rPr>
        <w:t xml:space="preserve">6</w:t>
      </w:r>
      <w:r>
        <w:tab/>
      </w:r>
      <w:r>
        <w:t xml:space="preserve">Manejo de Medicamentos</w:t>
      </w:r>
    </w:p>
    <w:bookmarkStart w:id="127" w:name="adquisición-de-mme-por-parte-del-fre"/>
    <w:p>
      <w:pPr>
        <w:pStyle w:val="Heading2"/>
      </w:pPr>
      <w:r>
        <w:rPr>
          <w:rStyle w:val="SectionNumber"/>
        </w:rPr>
        <w:t xml:space="preserve">6.1</w:t>
      </w:r>
      <w:r>
        <w:tab/>
      </w:r>
      <w:r>
        <w:t xml:space="preserve">Adquisición de MME por parte del FRE</w:t>
      </w:r>
    </w:p>
    <w:bookmarkStart w:id="111" w:name="control-de-inventarios"/>
    <w:p>
      <w:pPr>
        <w:pStyle w:val="Heading3"/>
      </w:pPr>
      <w:r>
        <w:rPr>
          <w:rStyle w:val="SectionNumber"/>
        </w:rPr>
        <w:t xml:space="preserve">6.1.1</w:t>
      </w:r>
      <w:r>
        <w:tab/>
      </w:r>
      <w:r>
        <w:t xml:space="preserve">Control de inventarios</w:t>
      </w:r>
    </w:p>
    <w:p>
      <w:pPr>
        <w:pStyle w:val="FirstParagraph"/>
      </w:pPr>
      <w:r>
        <w:t xml:space="preserve">El manejo de inventarios es de gran relevancia para las organizaciones que tienen bienes tangibles dispuestos a la venta y cuyo volumen recibido supera el volumen distribuido, como es el caso de los FRE, es por ello por lo que se indago sobre las herramientas que tienen a disposición para el control de inventarios de MME. La mayoría de los FRE realizan el seguimiento de inventarios mediante un paquete ofimático con una proporción de 45.2% (ver Figura</w:t>
      </w:r>
      <w:r>
        <w:t xml:space="preserve"> </w:t>
      </w:r>
      <w:r>
        <w:t xml:space="preserve">6.1</w:t>
      </w:r>
      <w:r>
        <w:t xml:space="preserve">), siendo la herramienta principal Excel, con uso especial de hojas estandarizadas, como en el caso de los FRE Boyacá, Cauca, Sucre, entre otros.</w:t>
      </w:r>
    </w:p>
    <w:p>
      <w:pPr>
        <w:pStyle w:val="BodyText"/>
      </w:pPr>
      <w:r>
        <w:drawing>
          <wp:inline>
            <wp:extent cx="5334000" cy="3809999"/>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10"/>
                    <a:stretch>
                      <a:fillRect/>
                    </a:stretch>
                  </pic:blipFill>
                  <pic:spPr bwMode="auto">
                    <a:xfrm>
                      <a:off x="0" y="0"/>
                      <a:ext cx="5334000" cy="3809999"/>
                    </a:xfrm>
                    <a:prstGeom prst="rect">
                      <a:avLst/>
                    </a:prstGeom>
                    <a:noFill/>
                    <a:ln w="9525">
                      <a:noFill/>
                      <a:headEnd/>
                      <a:tailEnd/>
                    </a:ln>
                  </pic:spPr>
                </pic:pic>
              </a:graphicData>
            </a:graphic>
          </wp:inline>
        </w:drawing>
      </w:r>
      <w:r>
        <w:t xml:space="preserve"> </w:t>
      </w:r>
      <w:r>
        <w:t xml:space="preserve">Algunos FRE se apoyan en otras herramientas además del paquete ofimático para llevar a cabo la tarea del control de inventarios. En la segunda posición de la Figura</w:t>
      </w:r>
      <w:r>
        <w:t xml:space="preserve"> </w:t>
      </w:r>
      <w:r>
        <w:t xml:space="preserve">6.1</w:t>
      </w:r>
      <w:r>
        <w:t xml:space="preserve"> </w:t>
      </w:r>
      <w:r>
        <w:t xml:space="preserve">se observa el uso de software en una proporción del 38.7%. La elección del software se hace según los criterios de cada entidad territorial en la mayoría de los casos se utiliza un software interno de la gobernación del territorio para el desarrollo de estas actividades como es el caso de los FRE Atlántico, Cesar, Santander, entre otros.</w:t>
      </w:r>
    </w:p>
    <w:p>
      <w:pPr>
        <w:pStyle w:val="BodyText"/>
      </w:pPr>
      <w:r>
        <w:t xml:space="preserve">El alcance del software es distinto, por ejemplo, el caso del FRE Risaralda que hace uso del software SIMEC para soportar tanto el manejo de inventarios, como los procesos relacionados con el sistema de IVC en todo lo relacionado con MME. Este software funciona además como medio de comunicación entre el FRE y todos sus inscritos, mostrándose como una plataforma muy completa y eficiente, sin embargo, existe poca disponibilidad de equipos de cómputo en el FRE que impide que más personal pueda acceder al software y a sus herramientas por lo cual puede ser un recurso subutilizado.</w:t>
      </w:r>
    </w:p>
    <w:p>
      <w:pPr>
        <w:pStyle w:val="BodyText"/>
      </w:pPr>
      <w:r>
        <w:t xml:space="preserve">Se evidencia que algunos FRE poseen herramientas completas para el manejo de sus procesos, mientras que otros realizan el manejo de inventarios apoyándose en el uso de herramientas manuales (32.3%), como se indica en la Figura</w:t>
      </w:r>
      <w:r>
        <w:t xml:space="preserve"> </w:t>
      </w:r>
      <w:r>
        <w:t xml:space="preserve">6.1</w:t>
      </w:r>
      <w:r>
        <w:t xml:space="preserve"> </w:t>
      </w:r>
      <w:r>
        <w:t xml:space="preserve">En muchos FRE el control de inventarios de forma manual se realiza con apoyo de herramientas ofimáticas como Excel.</w:t>
      </w:r>
    </w:p>
    <w:p>
      <w:pPr>
        <w:pStyle w:val="BodyText"/>
      </w:pPr>
      <w:r>
        <w:t xml:space="preserve">Sólo en tres casos se encontró que el control de inventarios dependía exclusivamente de herramientas manuales como la revisión de libros contables. Pese a que no es el ideal algunos territorios, especialmente los menos centralizados (p.ej. Amazonas y La Guajira), se ven en la necesidad de llevar sus procesos de esta forma debido a la no disponibilidad de equipos de cómputo o que sí bien los hay, esto se encuentran obsoletos y no soportan el uso de tecnologías más recientes y apropiadas.</w:t>
      </w:r>
    </w:p>
    <w:p>
      <w:pPr>
        <w:pStyle w:val="BodyText"/>
      </w:pPr>
      <w:r>
        <w:t xml:space="preserve">Finalmente, el manejo de inventarios por parte de los FRE deja en evidencia las brechas tecnológicas importantes entre los territorios. Los FRE menos centralizados presentan menor acceso a tecnologías actualizadas y en estos fue común encontrar la necesidad de acceso a más equipos de cómputo que le permita al personal desarrollar las actividades para el funcionamiento del FRE.</w:t>
      </w:r>
    </w:p>
    <w:bookmarkEnd w:id="111"/>
    <w:bookmarkStart w:id="115" w:name="Xc45cd4a64f99073019fbd4f2b6fa0ebe3e64c13"/>
    <w:p>
      <w:pPr>
        <w:pStyle w:val="Heading3"/>
      </w:pPr>
      <w:r>
        <w:rPr>
          <w:rStyle w:val="SectionNumber"/>
        </w:rPr>
        <w:t xml:space="preserve">6.1.2</w:t>
      </w:r>
      <w:r>
        <w:tab/>
      </w:r>
      <w:r>
        <w:t xml:space="preserve">Tiempos de demora en el proceso de adquisición</w:t>
      </w:r>
    </w:p>
    <w:p>
      <w:pPr>
        <w:pStyle w:val="FirstParagraph"/>
      </w:pPr>
      <w:r>
        <w:t xml:space="preserve">La adquisición de MME se realiza a través de un proceso que conlleva diferentes etapas, de forma general se consideraron cinco etapas del proceso:</w:t>
      </w:r>
    </w:p>
    <w:p>
      <w:pPr>
        <w:numPr>
          <w:ilvl w:val="0"/>
          <w:numId w:val="1017"/>
        </w:numPr>
        <w:pStyle w:val="Compact"/>
      </w:pPr>
      <w:r>
        <w:t xml:space="preserve">Estimación de necesidades</w:t>
      </w:r>
    </w:p>
    <w:p>
      <w:pPr>
        <w:numPr>
          <w:ilvl w:val="0"/>
          <w:numId w:val="1017"/>
        </w:numPr>
        <w:pStyle w:val="Compact"/>
      </w:pPr>
      <w:r>
        <w:t xml:space="preserve">Precontractual</w:t>
      </w:r>
    </w:p>
    <w:p>
      <w:pPr>
        <w:numPr>
          <w:ilvl w:val="0"/>
          <w:numId w:val="1017"/>
        </w:numPr>
        <w:pStyle w:val="Compact"/>
      </w:pPr>
      <w:r>
        <w:t xml:space="preserve">Contractual</w:t>
      </w:r>
    </w:p>
    <w:p>
      <w:pPr>
        <w:numPr>
          <w:ilvl w:val="0"/>
          <w:numId w:val="1017"/>
        </w:numPr>
        <w:pStyle w:val="Compact"/>
      </w:pPr>
      <w:r>
        <w:t xml:space="preserve">Solicitud en la plataforma tecnológica</w:t>
      </w:r>
    </w:p>
    <w:p>
      <w:pPr>
        <w:numPr>
          <w:ilvl w:val="0"/>
          <w:numId w:val="1017"/>
        </w:numPr>
        <w:pStyle w:val="Compact"/>
      </w:pPr>
      <w:r>
        <w:t xml:space="preserve">Despacho</w:t>
      </w:r>
    </w:p>
    <w:p>
      <w:pPr>
        <w:pStyle w:val="FirstParagraph"/>
      </w:pPr>
      <w:r>
        <w:t xml:space="preserve">En este caso la plataforma tecnológica es la tienda virtual del Estado Colombia Compra Eficiente. El proceso puede cambiar de acuerdo con las particularidades de cada territorio, y en particular pueden tenerse diversos tiempos para llevar a cabo estos procesos.</w:t>
      </w:r>
      <w:r>
        <w:t xml:space="preserve"> </w:t>
      </w:r>
      <w:r>
        <w:t xml:space="preserve">La diferencia en los tiempos para llevar a cabo los procesos de adquisición de MME (mostrados en la Figura</w:t>
      </w:r>
      <w:r>
        <w:t xml:space="preserve"> </w:t>
      </w:r>
      <w:r>
        <w:t xml:space="preserve">6.2</w:t>
      </w:r>
      <w:r>
        <w:t xml:space="preserve">) se puede explicar teniendo en cuenta factores como: (a) volumen de medicamentos requeridos en cada departamento, (b) herramientas usadas para el cálculo de la estimación de la necesidad, (c) procesos contractuales de cada entidad y (d) distancia física entre el FNE y la oficina del FRE. Este último factor puede afectar el tiempo de despacho de los MME de forma especial en las zonas más alejadas de la capital del país.</w:t>
      </w:r>
    </w:p>
    <w:p>
      <w:pPr>
        <w:pStyle w:val="BodyText"/>
      </w:pPr>
      <w:r>
        <w:drawing>
          <wp:inline>
            <wp:extent cx="5334000" cy="3111500"/>
            <wp:effectExtent b="0" l="0" r="0" t="0"/>
            <wp:docPr descr="Figura 6.2: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12"/>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Como se identifica en la Figura</w:t>
      </w:r>
      <w:r>
        <w:t xml:space="preserve"> </w:t>
      </w:r>
      <w:r>
        <w:t xml:space="preserve">6.3</w:t>
      </w:r>
      <w:r>
        <w:t xml:space="preserve">, la gran mayoría de territorios manifiesta que las actividades que más tiempos requieren son las etapas precontractuales y contractuales, esto debido a los requisitos que establece la contratación pública</w:t>
      </w:r>
      <w:hyperlink w:anchor="ref-CongresodelaRepublicadeColombia1993">
        <w:r>
          <w:rPr>
            <w:rStyle w:val="Hyperlink"/>
            <w:vertAlign w:val="superscript"/>
          </w:rPr>
          <w:t xml:space="preserve">10</w:t>
        </w:r>
      </w:hyperlink>
      <w:r>
        <w:rPr>
          <w:vertAlign w:val="superscript"/>
        </w:rPr>
        <w:t xml:space="preserve">,</w:t>
      </w:r>
      <w:hyperlink w:anchor="ref-CongresodelaRepublicadeColombia2007">
        <w:r>
          <w:rPr>
            <w:rStyle w:val="Hyperlink"/>
            <w:vertAlign w:val="superscript"/>
          </w:rPr>
          <w:t xml:space="preserve">11</w:t>
        </w:r>
      </w:hyperlink>
      <w:r>
        <w:t xml:space="preserve">. Para que una institución estatal pueda realizar una compra debe tener en cuenta la modalidad de contratación y los documentos exigidos en la misma, p.ej. los estudios previos en los que la entidad debe tener claridad sobre las especificaciones técnicas mínimas del servicio o bien a adquirir (referencia).</w:t>
      </w:r>
    </w:p>
    <w:p>
      <w:pPr>
        <w:pStyle w:val="CaptionedFigure"/>
      </w:pPr>
      <w:r>
        <w:drawing>
          <wp:inline>
            <wp:extent cx="5334000" cy="4000500"/>
            <wp:effectExtent b="0" l="0" r="0" t="0"/>
            <wp:docPr descr="Figura 6.3: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1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4" w:name="fig30"/>
      <w:r>
        <w:t xml:space="preserve">Figure </w:t>
      </w:r>
      <w:fldSimple w:instr="SEQ Figure \* ARABIC ">
        <w:r>
          <w:t>30</w:t>
        </w:r>
      </w:fldSimple>
      <w:r>
        <w:t xml:space="preserve">:</w:t>
      </w:r>
      <w:r>
        <w:t xml:space="preserve"> </w:t>
      </w:r>
      <w:bookmarkEnd w:id="114"/>
      <w:r>
        <w:t xml:space="preserve">Figura 6.3: Demoras en el proceso de adquisición por departamento (detallado)</w:t>
      </w:r>
    </w:p>
    <w:p>
      <w:pPr>
        <w:pStyle w:val="BodyText"/>
      </w:pPr>
      <w:r>
        <w:t xml:space="preserve">Por lo general, la documentación pertinente de la fase precontractual es revisada y corregida en varias ocasiones por diferentes áreas en una misma entidad, lo que conlleva a largos tiempos de espera en la fase precontractual. Estas demoras se dan especialmente cuando el área encargada de aprobar la documentación o de llevar a cabo el proceso contractual no pertenece a la secretaría de salud, como es el caso de Atlántico, pues los funcionarios de otras áreas de las gobernaciones no están inmersos en el contexto de las necesidades de salud pública y específicamente en la importancia que tiene el abastecimiento de MME para la población, por lo que muchas veces el proceso de adquisición de medicamentos queda a merced de la voluntad de otras áreas, propiciando incluso el desabastecimiento en los departamentos.</w:t>
      </w:r>
    </w:p>
    <w:p>
      <w:pPr>
        <w:pStyle w:val="BodyText"/>
      </w:pPr>
      <w:r>
        <w:t xml:space="preserve">Por otro lado, el proceso de estimación de compra de MME es uno de los más cortos y por lo general se hace teniendo en cuenta el consumo histórico en el territorio. El consumo histórico de medicamentos no es el único factor para tener en cuenta, es así como en el departamento de Casanare, el FRE además de revisar sus consumos históricos, consulta a sus inscritos la proyección de consumo de cada inscrito, adicionalmente agrega un 20% a su proyección final para tener un inventario de seguridad que le permita evitar el desabastecimiento.</w:t>
      </w:r>
    </w:p>
    <w:p>
      <w:pPr>
        <w:pStyle w:val="BodyText"/>
      </w:pPr>
      <w:r>
        <w:t xml:space="preserve">Por otra parte hay territorios como Guaviare en el que la estimación de compra sólo se hace teniendo en cuenta el consumo histórico y cuidando de no sobrepasar el presupuesto que la gobernación ha asignado para esta tarea. El FRE de Guaviare en comparación con otros territorios es pequeño, evidenciando que las necesidades y capacidades de los FRE son diferentes de acuerdo con el territorio.</w:t>
      </w:r>
    </w:p>
    <w:p>
      <w:pPr>
        <w:pStyle w:val="BodyText"/>
      </w:pPr>
      <w:r>
        <w:t xml:space="preserve">Existen casos a exaltar como el FRE de Sucre que, a pesar de tener un tamaño relativamente pequeño a otros en la región, tiene un proceso de estimación de necesidades de MME está altamente estandarizado a través de una herramienta que facilita la toma de decisiones de compra de MME. El FRE afirma que el uso de este manual reduce el tiempo de estimación de compra a una semana, y esto indica que es un proceso eficiente en este departamento.</w:t>
      </w:r>
    </w:p>
    <w:bookmarkEnd w:id="115"/>
    <w:bookmarkStart w:id="118" w:name="traslados-interdepartamentales"/>
    <w:p>
      <w:pPr>
        <w:pStyle w:val="Heading3"/>
      </w:pPr>
      <w:r>
        <w:rPr>
          <w:rStyle w:val="SectionNumber"/>
        </w:rPr>
        <w:t xml:space="preserve">6.1.3</w:t>
      </w:r>
      <w:r>
        <w:tab/>
      </w:r>
      <w:r>
        <w:t xml:space="preserve">Traslados interdepartamentales</w:t>
      </w:r>
    </w:p>
    <w:p>
      <w:pPr>
        <w:pStyle w:val="FirstParagraph"/>
      </w:pPr>
      <w:r>
        <w:t xml:space="preserve">En el traslado interdepartamental de medicamentos se observa que los territorios más descentralizados son los que presentan mayor demora para recibir el traslado de MME, siendo los casos más demorados San Andrés y Amazonas. Como se observa en la Figura</w:t>
      </w:r>
      <w:r>
        <w:t xml:space="preserve"> </w:t>
      </w:r>
      <w:r>
        <w:t xml:space="preserve">6.4</w:t>
      </w:r>
      <w:r>
        <w:t xml:space="preserve"> </w:t>
      </w:r>
      <w:r>
        <w:t xml:space="preserve">las regiones más afectadas son Amazonía, Orinoquía, Pacífico a excepción del Valle del Cauca y algunos departamentos del Caribe. Sin embargo, el departamento que más demora presenta es San Andrés, pues al estar alejado de la zona continental del país, tiene un tiempo de traslado de medicamentos más largo.</w:t>
      </w:r>
    </w:p>
    <w:p>
      <w:pPr>
        <w:pStyle w:val="CaptionedFigure"/>
      </w:pPr>
      <w:r>
        <w:drawing>
          <wp:inline>
            <wp:extent cx="5334000" cy="2182090"/>
            <wp:effectExtent b="0" l="0" r="0" t="0"/>
            <wp:docPr descr="Figura 6.4: Caracterización en demoras de traslados interdepartamentales. Panel A. Gráfico de tiempos de traslados interdepartamentales reportados para los departamentos. Panel B. Mapa de tiempo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16"/>
                    <a:stretch>
                      <a:fillRect/>
                    </a:stretch>
                  </pic:blipFill>
                  <pic:spPr bwMode="auto">
                    <a:xfrm>
                      <a:off x="0" y="0"/>
                      <a:ext cx="5334000" cy="2182090"/>
                    </a:xfrm>
                    <a:prstGeom prst="rect">
                      <a:avLst/>
                    </a:prstGeom>
                    <a:noFill/>
                    <a:ln w="9525">
                      <a:noFill/>
                      <a:headEnd/>
                      <a:tailEnd/>
                    </a:ln>
                  </pic:spPr>
                </pic:pic>
              </a:graphicData>
            </a:graphic>
          </wp:inline>
        </w:drawing>
      </w:r>
    </w:p>
    <w:p>
      <w:pPr>
        <w:pStyle w:val="ImageCaption"/>
      </w:pPr>
      <w:bookmarkStart w:id="117" w:name="fig31"/>
      <w:r>
        <w:t xml:space="preserve">Figure </w:t>
      </w:r>
      <w:fldSimple w:instr="SEQ Figure \* ARABIC ">
        <w:r>
          <w:t>31</w:t>
        </w:r>
      </w:fldSimple>
      <w:r>
        <w:t xml:space="preserve">:</w:t>
      </w:r>
      <w:r>
        <w:t xml:space="preserve"> </w:t>
      </w:r>
      <w:bookmarkEnd w:id="117"/>
      <w:r>
        <w:t xml:space="preserve">Figura 6.4: Caracterización en demoras de traslados interdepartamentales. Panel A. Gráfico de tiempos de traslados interdepartamentales reportados para los departamentos. Panel B. Mapa de tiempos de traslados interdepartamentales.</w:t>
      </w:r>
    </w:p>
    <w:bookmarkEnd w:id="118"/>
    <w:bookmarkStart w:id="121" w:name="plataforma-de-compra-estatal"/>
    <w:p>
      <w:pPr>
        <w:pStyle w:val="Heading3"/>
      </w:pPr>
      <w:r>
        <w:rPr>
          <w:rStyle w:val="SectionNumber"/>
        </w:rPr>
        <w:t xml:space="preserve">6.1.4</w:t>
      </w:r>
      <w:r>
        <w:tab/>
      </w:r>
      <w:r>
        <w:t xml:space="preserve">Plataforma de compra estatal</w:t>
      </w:r>
    </w:p>
    <w:p>
      <w:pPr>
        <w:pStyle w:val="FirstParagraph"/>
      </w:pPr>
      <w:r>
        <w:t xml:space="preserve">La plataforma Colombia Compra es el ente rector en materia de contratación pública y desde 2013 se puso en marcha la tienda virtual del Estado colombiano como herramienta en línea del sistema de compra pública. Esta plataforma permite hacer compras a través de acuerdos marco, instrumentos de agregación de demanda y catálogo de bienes de las grandes superficies. En concordancia con lo anterior, Colombia Compra Eficiente dispuso un documento en su plataforma denominado</w:t>
      </w:r>
      <w:r>
        <w:t xml:space="preserve"> </w:t>
      </w:r>
      <w:r>
        <w:rPr>
          <w:iCs/>
          <w:i/>
        </w:rPr>
        <w:t xml:space="preserve">“</w:t>
      </w:r>
      <w:r>
        <w:rPr>
          <w:iCs/>
          <w:i/>
        </w:rPr>
        <w:t xml:space="preserve">Estudios y Documentos Previos de la contratación con el Fondo Nacional de Estupefacientes para la adquisición de Medicamentos de Control Especial de Monopolio del Estado</w:t>
      </w:r>
      <w:r>
        <w:rPr>
          <w:iCs/>
          <w:i/>
        </w:rPr>
        <w:t xml:space="preserve">”</w:t>
      </w:r>
      <w:r>
        <w:t xml:space="preserve"> </w:t>
      </w:r>
      <w:r>
        <w:t xml:space="preserve">donde afirma que se promueve un Instrumento de Agregación de Demanda de Precios para la adquisición de MME mediante contratación directa con el FNE, con el objetivo de aumentar la eficiencia en los procesos de cada FRE y aprovechar las economías a escala. Pese a su implementación y sus objetivos algunos FRE no perciben su uso como una ventaja.</w:t>
      </w:r>
    </w:p>
    <w:p>
      <w:pPr>
        <w:pStyle w:val="BodyText"/>
      </w:pPr>
      <w:r>
        <w:t xml:space="preserve">De esta manera los FRE adquieren los MME a través de esta herramienta, por tal motivo se indagó sobre el uso de la plataforma y la opinión que tenían los FRE sobre la misma. Se encuentra que en términos generales (ver la Figura</w:t>
      </w:r>
      <w:r>
        <w:t xml:space="preserve"> </w:t>
      </w:r>
      <w:r>
        <w:t xml:space="preserve">6.3</w:t>
      </w:r>
      <w:r>
        <w:t xml:space="preserve">), que los FRE consideran que el tiempo invertido en el uso y trámite que se realiza a través de la plataforma, no es tan dispendioso como las etapas precontractuales y contractuales del proceso.</w:t>
      </w:r>
    </w:p>
    <w:p>
      <w:pPr>
        <w:pStyle w:val="BodyText"/>
      </w:pPr>
      <w:r>
        <w:t xml:space="preserve">La mayoría de los departamentos hace uso de esta plataforma, encontrándose diferentes percepciones sobre ella. Por ejemplo, el FRE del Cauca indica alta satisfacción con el uso de la plataforma al considerar que es muy organizada, por otra parte el FRE del Valle del Cauca que indica inconformidad en el uso porque consideran que el mismo implica un extenso proceso precontractual y esto puede ser ineficiente y poco intuitivo. El FRE Meta afirma que en la plataforma existen factores que tardan en actualizarse como por ejemplo firmas de la secretaría de salud o incongruencias en el despacho de medicamentos comprados, y el FRE de Santander menciona que los precios en la plataforma suelen encontrarse desactualizados respecto a los del FNE.</w:t>
      </w:r>
    </w:p>
    <w:p>
      <w:pPr>
        <w:pStyle w:val="BodyText"/>
      </w:pPr>
      <w:r>
        <w:t xml:space="preserve">Si bien el uso del Instrumento de Agregación de Demanda de precios dispuesto por Colombia Compra Eficiente para la adquisición de MME por parte de los FRE es de obligatoriedad, según la Circular Externa 005 de 2019 emitida por el FNE</w:t>
      </w:r>
      <w:hyperlink w:anchor="ref-FNE005-2019">
        <w:r>
          <w:rPr>
            <w:rStyle w:val="Hyperlink"/>
            <w:vertAlign w:val="superscript"/>
          </w:rPr>
          <w:t xml:space="preserve">12</w:t>
        </w:r>
      </w:hyperlink>
      <w:r>
        <w:t xml:space="preserve">, no todos llevan a cabo este proceso. Un caso podría ser el FRE Guainía que no ha utilizado la plataforma por falta de conocimiento sobre la misma y tiempo para capacitar a su personal respecto a ello, o el FRE Meta que expresa varias inconformidades sobre el uso de esta.</w:t>
      </w:r>
    </w:p>
    <w:p>
      <w:pPr>
        <w:pStyle w:val="BodyText"/>
      </w:pPr>
      <w:r>
        <w:t xml:space="preserve">De otra parte, es necesario mencionar que, si bien casi todos los departamentos hacen uso de la plataforma, este proceso no siempre está a cargo del FRE, como en el caso del departamento del Atlántico, donde el proceso se lleva a través de Secretaría General y por ello su percepción sobre la misma es</w:t>
      </w:r>
      <w:r>
        <w:t xml:space="preserve"> </w:t>
      </w:r>
      <w:r>
        <w:rPr>
          <w:iCs/>
          <w:i/>
        </w:rPr>
        <w:t xml:space="preserve">“</w:t>
      </w:r>
      <w:r>
        <w:rPr>
          <w:iCs/>
          <w:i/>
        </w:rPr>
        <w:t xml:space="preserve">ni conforme ni inconforme</w:t>
      </w:r>
      <w:r>
        <w:rPr>
          <w:iCs/>
          <w:i/>
        </w:rPr>
        <w:t xml:space="preserve">”</w:t>
      </w:r>
      <w:r>
        <w:t xml:space="preserve">. Es así como en la Figura</w:t>
      </w:r>
      <w:r>
        <w:t xml:space="preserve"> </w:t>
      </w:r>
      <w:r>
        <w:t xml:space="preserve">6.5</w:t>
      </w:r>
      <w:r>
        <w:t xml:space="preserve"> </w:t>
      </w:r>
      <w:r>
        <w:t xml:space="preserve">se identifica como la segunda respuesta más frecuente</w:t>
      </w:r>
      <w:r>
        <w:t xml:space="preserve"> </w:t>
      </w:r>
      <w:r>
        <w:rPr>
          <w:iCs/>
          <w:i/>
        </w:rPr>
        <w:t xml:space="preserve">“</w:t>
      </w:r>
      <w:r>
        <w:rPr>
          <w:iCs/>
          <w:i/>
        </w:rPr>
        <w:t xml:space="preserve">Ni conforme ni inconforme</w:t>
      </w:r>
      <w:r>
        <w:rPr>
          <w:iCs/>
          <w:i/>
        </w:rPr>
        <w:t xml:space="preserve">”</w:t>
      </w:r>
      <w:r>
        <w:t xml:space="preserve"> </w:t>
      </w:r>
      <w:r>
        <w:t xml:space="preserve">con el uso de esta plataforma. De otra parte, el FRE Putumayo comenta que el uso de la plataforma depende en gran medida de otras áreas de la gobernación, evidenciando varias dificultades en su uso y aumentando el tiempo en los procesos de contratación.</w:t>
      </w:r>
    </w:p>
    <w:p>
      <w:pPr>
        <w:pStyle w:val="CaptionedFigure"/>
      </w:pPr>
      <w:r>
        <w:drawing>
          <wp:inline>
            <wp:extent cx="5334000" cy="4000500"/>
            <wp:effectExtent b="0" l="0" r="0" t="0"/>
            <wp:docPr descr="Figura 6.5: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1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0" w:name="fig32"/>
      <w:r>
        <w:t xml:space="preserve">Figure </w:t>
      </w:r>
      <w:fldSimple w:instr="SEQ Figure \* ARABIC ">
        <w:r>
          <w:t>32</w:t>
        </w:r>
      </w:fldSimple>
      <w:r>
        <w:t xml:space="preserve">:</w:t>
      </w:r>
      <w:r>
        <w:t xml:space="preserve"> </w:t>
      </w:r>
      <w:bookmarkEnd w:id="120"/>
      <w:r>
        <w:t xml:space="preserve">Figura 6.5: Opinión sobre la plataforma Colombia Compra Eficiente</w:t>
      </w:r>
    </w:p>
    <w:p>
      <w:pPr>
        <w:pStyle w:val="BodyText"/>
      </w:pPr>
      <w:r>
        <w:t xml:space="preserve">En algunos casos, los FRE manifestaron la necesidad de recibir capacitación sobre el uso de esta herramienta, pues el desconocimiento sobre la misma por parte del personal puede ocasionar demoras en el proceso de compra de MME, como ocurre en el caso del FRE Sucre que si bien tienen un método eficiente para realizar la estimación de compra, se ve retrasado en la etapa que implica el uso de esta plataforma.</w:t>
      </w:r>
    </w:p>
    <w:bookmarkEnd w:id="121"/>
    <w:bookmarkStart w:id="126" w:name="comportamiento-de-compra-de-fre"/>
    <w:p>
      <w:pPr>
        <w:pStyle w:val="Heading3"/>
      </w:pPr>
      <w:r>
        <w:rPr>
          <w:rStyle w:val="SectionNumber"/>
        </w:rPr>
        <w:t xml:space="preserve">6.1.5</w:t>
      </w:r>
      <w:r>
        <w:tab/>
      </w:r>
      <w:r>
        <w:t xml:space="preserve">Comportamiento de compra de FRE</w:t>
      </w:r>
    </w:p>
    <w:p>
      <w:pPr>
        <w:pStyle w:val="FirstParagraph"/>
      </w:pPr>
      <w:r>
        <w:t xml:space="preserve">La frecuencia de las compras de MME al FNE en el año también depende de varios factores como: (a) cantidad requerida de estos bienes por cada departamento, (b) presupuesto asignado por las gobernaciones a los FRE y (c) capacidad de satisfacer la demanda de los medicamentos por parte del FNE (ver Figura</w:t>
      </w:r>
      <w:r>
        <w:t xml:space="preserve"> </w:t>
      </w:r>
      <w:r>
        <w:t xml:space="preserve">6.6</w:t>
      </w:r>
      <w:r>
        <w:t xml:space="preserve">).</w:t>
      </w:r>
    </w:p>
    <w:p>
      <w:pPr>
        <w:pStyle w:val="BodyText"/>
      </w:pPr>
      <w:r>
        <w:t xml:space="preserve">Los FRE con demandas pequeñas de medicamentos, como es el caso de Choco, Guainía y Amazonas, la compra se hace una vez al año, a menos que enfrenten casos de desabastecimiento por causas fortuitas como lo fue la situación de Emergencia Sanitaria por la pandemia de coronavirus. Los departamentos con mayor población y necesidad de medicamentos se ven en la obligación de realizar varias compras en el año como es el caso del departamento de Antioquia cuya intención es realizar compras proyectando un abastecimiento de tres meses, sin embargo, manifiesta que el proceso se ve entorpecido por el bajo nivel de servicio relacionado a la disponibilidad de medicamentos en el FNE que le permitan satisfacer su demanda. Se presenta un caso similar para el FRE Santander, donde también afirman que la disponibilidad de medicamentos por parte del FNE es muy poca para cubrir la demanda de su departamento, por lo que obligatoriamente deben autorizar a las IPS y demás a hacer compras directas al FNE.</w:t>
      </w:r>
    </w:p>
    <w:p>
      <w:pPr>
        <w:pStyle w:val="BodyText"/>
      </w:pPr>
      <w:r>
        <w:t xml:space="preserve">Por otra parte, hay departamentos donde la frecuencia de las compras y las cantidades de esta depende del presupuesto asignado por la gobernación, como es el caso de Guainía y Putumayo, este último indica que la demanda de MME en su territorio es más alta de la que se puede cubrir por limitaciones presupuestales.</w:t>
      </w:r>
    </w:p>
    <w:p>
      <w:pPr>
        <w:pStyle w:val="BodyText"/>
      </w:pPr>
      <w:r>
        <w:t xml:space="preserve">Por su parte, otros territorios no pueden realizar las compras con las frecuencias que requieren por problemas administrativos o económicos de alguna índole que corresponden a la gobernación, como han manifestado los FRE de San Andrés, Atlántico y Huila.</w:t>
      </w:r>
    </w:p>
    <w:p>
      <w:pPr>
        <w:pStyle w:val="CaptionedFigure"/>
      </w:pPr>
      <w:r>
        <w:drawing>
          <wp:inline>
            <wp:extent cx="5334000" cy="3556000"/>
            <wp:effectExtent b="0" l="0" r="0" t="0"/>
            <wp:docPr descr="Figura 6.6: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3" w:name="fig33"/>
      <w:r>
        <w:t xml:space="preserve">Figure </w:t>
      </w:r>
      <w:fldSimple w:instr="SEQ Figure \* ARABIC ">
        <w:r>
          <w:t>33</w:t>
        </w:r>
      </w:fldSimple>
      <w:r>
        <w:t xml:space="preserve">:</w:t>
      </w:r>
      <w:r>
        <w:t xml:space="preserve"> </w:t>
      </w:r>
      <w:bookmarkEnd w:id="123"/>
      <w:r>
        <w:t xml:space="preserve">Figura 6.6: Frecuencia de compras de medicamentos por año al FNE</w:t>
      </w:r>
    </w:p>
    <w:p>
      <w:pPr>
        <w:pStyle w:val="BodyText"/>
      </w:pPr>
      <w:r>
        <w:t xml:space="preserve">La venta de MME a instituciones en los departamentos se da según lo establecido por cada FRE y las necesidades de cada departamento, p.ej. en el departamento de Vaupés cuyo abastecimiento se enfoca en satisfacer la demanda del Hospital, no se realiza venta a otras IPS y por lo tanto ni si quiera tienen necesidad de almacenar los medicamentos en el FRE, las compras se destinan inmediatamente al Hospital. Se presenta un caso diferente en departamentos con mayor población y necesidad de medicamentos como Risaralda donde la venta de MME es frecuente, sin embargo, se ha establecido a las IPS que deben proyectar sus necesidades mensualmente.</w:t>
      </w:r>
    </w:p>
    <w:p>
      <w:pPr>
        <w:pStyle w:val="CaptionedFigure"/>
      </w:pPr>
      <w:r>
        <w:drawing>
          <wp:inline>
            <wp:extent cx="5334000" cy="3556000"/>
            <wp:effectExtent b="0" l="0" r="0" t="0"/>
            <wp:docPr descr="Figura 6.7: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2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5" w:name="fig34"/>
      <w:r>
        <w:t xml:space="preserve">Figure </w:t>
      </w:r>
      <w:fldSimple w:instr="SEQ Figure \* ARABIC ">
        <w:r>
          <w:t>34</w:t>
        </w:r>
      </w:fldSimple>
      <w:r>
        <w:t xml:space="preserve">:</w:t>
      </w:r>
      <w:r>
        <w:t xml:space="preserve"> </w:t>
      </w:r>
      <w:bookmarkEnd w:id="125"/>
      <w:r>
        <w:t xml:space="preserve">Figura 6.7: Frecuencia de venta de MME a instituciones en el departamento</w:t>
      </w:r>
    </w:p>
    <w:p>
      <w:pPr>
        <w:pStyle w:val="BodyText"/>
      </w:pPr>
      <w:r>
        <w:t xml:space="preserve">En el departamento del Atlántico antes de la pandemia la venta de medicamentos se hacía diariamente, sin embargo, por la contingencia en salud se decidió que solo se despachan medicamentos dos días a la semana. Otro departamento que hace venta diaria de MME es Choco y afirma que las necesidades de MME pueden variar en el departamento gracias al traslado no esperado de pacientes de zonas muy distantes a las capitales de los departamentos de Antioquia y Valle del Cauca.</w:t>
      </w:r>
    </w:p>
    <w:bookmarkEnd w:id="126"/>
    <w:bookmarkEnd w:id="127"/>
    <w:bookmarkStart w:id="136" w:name="recepción-de-medicamentos"/>
    <w:p>
      <w:pPr>
        <w:pStyle w:val="Heading2"/>
      </w:pPr>
      <w:r>
        <w:rPr>
          <w:rStyle w:val="SectionNumber"/>
        </w:rPr>
        <w:t xml:space="preserve">6.2</w:t>
      </w:r>
      <w:r>
        <w:tab/>
      </w:r>
      <w:r>
        <w:t xml:space="preserve">Recepción de medicamentos</w:t>
      </w:r>
    </w:p>
    <w:p>
      <w:pPr>
        <w:pStyle w:val="CaptionedFigure"/>
      </w:pPr>
      <w:r>
        <w:drawing>
          <wp:inline>
            <wp:extent cx="5334000" cy="4000500"/>
            <wp:effectExtent b="0" l="0" r="0" t="0"/>
            <wp:docPr descr="Figura 6.8: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9" w:name="fig35"/>
      <w:r>
        <w:t xml:space="preserve">Figure </w:t>
      </w:r>
      <w:fldSimple w:instr="SEQ Figure \* ARABIC ">
        <w:r>
          <w:t>35</w:t>
        </w:r>
      </w:fldSimple>
      <w:r>
        <w:t xml:space="preserve">:</w:t>
      </w:r>
      <w:r>
        <w:t xml:space="preserve"> </w:t>
      </w:r>
      <w:bookmarkEnd w:id="129"/>
      <w:r>
        <w:t xml:space="preserve">Figura 6.8: Tiempos en la recepción técnica y almacenamiento de MME</w:t>
      </w:r>
    </w:p>
    <w:p>
      <w:pPr>
        <w:pStyle w:val="CaptionedFigure"/>
      </w:pPr>
      <w:r>
        <w:drawing>
          <wp:inline>
            <wp:extent cx="5334000" cy="4000500"/>
            <wp:effectExtent b="0" l="0" r="0" t="0"/>
            <wp:docPr descr="Figura 6.9: Tiempos en la recepción técnica y almacenamiento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3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1" w:name="fig36"/>
      <w:r>
        <w:t xml:space="preserve">Figure </w:t>
      </w:r>
      <w:fldSimple w:instr="SEQ Figure \* ARABIC ">
        <w:r>
          <w:t>36</w:t>
        </w:r>
      </w:fldSimple>
      <w:r>
        <w:t xml:space="preserve">:</w:t>
      </w:r>
      <w:r>
        <w:t xml:space="preserve"> </w:t>
      </w:r>
      <w:bookmarkEnd w:id="131"/>
      <w:r>
        <w:t xml:space="preserve">Figura 6.9: Tiempos en la recepción técnica y almacenamiento de MME</w:t>
      </w:r>
    </w:p>
    <w:p>
      <w:pPr>
        <w:pStyle w:val="CaptionedFigure"/>
      </w:pPr>
      <w:r>
        <w:drawing>
          <wp:inline>
            <wp:extent cx="5334000" cy="4000500"/>
            <wp:effectExtent b="0" l="0" r="0" t="0"/>
            <wp:docPr descr="Figura 6.10: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3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3" w:name="fig37"/>
      <w:r>
        <w:t xml:space="preserve">Figure </w:t>
      </w:r>
      <w:fldSimple w:instr="SEQ Figure \* ARABIC ">
        <w:r>
          <w:t>37</w:t>
        </w:r>
      </w:fldSimple>
      <w:r>
        <w:t xml:space="preserve">:</w:t>
      </w:r>
      <w:r>
        <w:t xml:space="preserve"> </w:t>
      </w:r>
      <w:bookmarkEnd w:id="133"/>
      <w:r>
        <w:t xml:space="preserve">Figura 6.10: Tiempos en la recepción técnica y almacenamiento de MME (mapa)</w:t>
      </w:r>
    </w:p>
    <w:p>
      <w:pPr>
        <w:pStyle w:val="CaptionedFigure"/>
      </w:pPr>
      <w:r>
        <w:drawing>
          <wp:inline>
            <wp:extent cx="5334000" cy="3556000"/>
            <wp:effectExtent b="0" l="0" r="0" t="0"/>
            <wp:docPr descr="Figura 6.11: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3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5" w:name="fig38"/>
      <w:r>
        <w:t xml:space="preserve">Figure </w:t>
      </w:r>
      <w:fldSimple w:instr="SEQ Figure \* ARABIC ">
        <w:r>
          <w:t>38</w:t>
        </w:r>
      </w:fldSimple>
      <w:r>
        <w:t xml:space="preserve">:</w:t>
      </w:r>
      <w:r>
        <w:t xml:space="preserve"> </w:t>
      </w:r>
      <w:bookmarkEnd w:id="135"/>
      <w:r>
        <w:t xml:space="preserve">Figura 6.11: Uso de niveles de seguridad del inventarios</w:t>
      </w:r>
    </w:p>
    <w:bookmarkEnd w:id="136"/>
    <w:bookmarkStart w:id="158" w:name="almacenamiento"/>
    <w:p>
      <w:pPr>
        <w:pStyle w:val="Heading2"/>
      </w:pPr>
      <w:r>
        <w:rPr>
          <w:rStyle w:val="SectionNumber"/>
        </w:rPr>
        <w:t xml:space="preserve">6.3</w:t>
      </w:r>
      <w:r>
        <w:tab/>
      </w:r>
      <w:r>
        <w:t xml:space="preserve">Almacenamiento</w:t>
      </w:r>
    </w:p>
    <w:bookmarkStart w:id="139" w:name="Xa9baf659ea1be69c2d279b5cca6283251b5fdeb"/>
    <w:p>
      <w:pPr>
        <w:pStyle w:val="Heading3"/>
      </w:pPr>
      <w:r>
        <w:rPr>
          <w:rStyle w:val="SectionNumber"/>
        </w:rPr>
        <w:t xml:space="preserve">6.3.1</w:t>
      </w:r>
      <w:r>
        <w:tab/>
      </w:r>
      <w:r>
        <w:t xml:space="preserve">Medidas de seguridad para el almacenamiento</w:t>
      </w:r>
    </w:p>
    <w:p>
      <w:pPr>
        <w:pStyle w:val="FirstParagraph"/>
      </w:pPr>
      <w:r>
        <w:t xml:space="preserve">En la Figura</w:t>
      </w:r>
      <w:r>
        <w:t xml:space="preserve"> </w:t>
      </w:r>
      <w:r>
        <w:t xml:space="preserve">6.12</w:t>
      </w:r>
      <w:r>
        <w:t xml:space="preserve"> </w:t>
      </w:r>
      <w:r>
        <w:t xml:space="preserve">se listan las medidas de seguridad adoptadas por los FRE para disminuir la posibilidad de robo con fines de desvío de los MME. Las medidas más adoptadas por parte de los FRE consisten en: (a) el acceso de seguridad restringido a cierto personal (con respuesta afirmativa por parte de 18 de 26 FRE), seguido de (b) gabinetes con llaves simple (en 14 de 26 FRE), (c) almacenamiento en oficina privada (14 de 26 FRE responden que lo aplican), (d) inventarios físicos diarios, y (e) protección en gabinetes hechos de materiales resistentes.</w:t>
      </w:r>
    </w:p>
    <w:p>
      <w:pPr>
        <w:pStyle w:val="CaptionedFigure"/>
      </w:pPr>
      <w:r>
        <w:drawing>
          <wp:inline>
            <wp:extent cx="5334000" cy="4000500"/>
            <wp:effectExtent b="0" l="0" r="0" t="0"/>
            <wp:docPr descr="Figura 6.12: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8" w:name="fig39"/>
      <w:r>
        <w:t xml:space="preserve">Figure </w:t>
      </w:r>
      <w:fldSimple w:instr="SEQ Figure \* ARABIC ">
        <w:r>
          <w:t>39</w:t>
        </w:r>
      </w:fldSimple>
      <w:r>
        <w:t xml:space="preserve">:</w:t>
      </w:r>
      <w:r>
        <w:t xml:space="preserve"> </w:t>
      </w:r>
      <w:bookmarkEnd w:id="138"/>
      <w:r>
        <w:t xml:space="preserve">Figura 6.12: Medidas de seguridad en el almacenamiento de MME</w:t>
      </w:r>
    </w:p>
    <w:p>
      <w:pPr>
        <w:pStyle w:val="BodyText"/>
      </w:pPr>
      <w:r>
        <w:t xml:space="preserve">El departamento que reporta la mayor cantidad de medidas de seguridad es César con 7 medidas como: (a) acceso de seguridad restringido a cierto personal, (b) procedimientos para el manejo de personal huésped, (c) visitantes, (d) mantenimiento o no empleados del FRE, (e) almacenamiento en oficina privada, (f) inventario físico diario, y (g)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39"/>
    <w:bookmarkStart w:id="143" w:name="revisión-de-condiciones-ambientales"/>
    <w:p>
      <w:pPr>
        <w:pStyle w:val="Heading3"/>
      </w:pPr>
      <w:r>
        <w:rPr>
          <w:rStyle w:val="SectionNumber"/>
        </w:rPr>
        <w:t xml:space="preserve">6.3.2</w:t>
      </w:r>
      <w:r>
        <w:tab/>
      </w:r>
      <w:r>
        <w:t xml:space="preserve">Revisión de condiciones ambientales</w:t>
      </w:r>
    </w:p>
    <w:p>
      <w:pPr>
        <w:pStyle w:val="FirstParagraph"/>
      </w:pPr>
      <w:r>
        <w:t xml:space="preserve">En la Figura</w:t>
      </w:r>
      <w:r>
        <w:t xml:space="preserve"> </w:t>
      </w:r>
      <w:r>
        <w:t xml:space="preserve">6.13</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13: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1" w:name="fig40"/>
      <w:r>
        <w:t xml:space="preserve">Figure </w:t>
      </w:r>
      <w:fldSimple w:instr="SEQ Figure \* ARABIC ">
        <w:r>
          <w:t>40</w:t>
        </w:r>
      </w:fldSimple>
      <w:r>
        <w:t xml:space="preserve">:</w:t>
      </w:r>
      <w:r>
        <w:t xml:space="preserve"> </w:t>
      </w:r>
      <w:bookmarkEnd w:id="141"/>
      <w:r>
        <w:t xml:space="preserve">Figura 6.13: Frecuencia de revisión de condiciones ambientales</w:t>
      </w:r>
    </w:p>
    <w:p>
      <w:pPr>
        <w:pStyle w:val="BodyText"/>
      </w:pPr>
      <w:r>
        <w:t xml:space="preserve">En el panel izquierdo de la Figura</w:t>
      </w:r>
      <w:r>
        <w:t xml:space="preserve"> </w:t>
      </w:r>
      <w:r>
        <w:t xml:space="preserve">6.14</w:t>
      </w:r>
      <w:r>
        <w:t xml:space="preserve"> </w:t>
      </w:r>
      <w:r>
        <w:t xml:space="preserve">se presentan los métodos o tecnologías utilizadas en la monitorización de los medicamentos. En la Figura</w:t>
      </w:r>
      <w:r>
        <w:t xml:space="preserve"> </w:t>
      </w:r>
      <w:r>
        <w:t xml:space="preserve">6.14</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4: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42"/>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6.14</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43"/>
    <w:bookmarkStart w:id="149" w:name="espacio-de-almacenamiento"/>
    <w:p>
      <w:pPr>
        <w:pStyle w:val="Heading3"/>
      </w:pPr>
      <w:r>
        <w:rPr>
          <w:rStyle w:val="SectionNumber"/>
        </w:rPr>
        <w:t xml:space="preserve">6.3.3</w:t>
      </w:r>
      <w:r>
        <w:tab/>
      </w:r>
      <w:r>
        <w:t xml:space="preserve">Espacio de almacenamiento</w:t>
      </w:r>
    </w:p>
    <w:p>
      <w:pPr>
        <w:pStyle w:val="FirstParagraph"/>
      </w:pPr>
      <w:r>
        <w:t xml:space="preserve">En la Figura</w:t>
      </w:r>
      <w:r>
        <w:t xml:space="preserve"> </w:t>
      </w:r>
      <w:r>
        <w:t xml:space="preserve">6.15</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1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44"/>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6.16</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3556000"/>
            <wp:effectExtent b="0" l="0" r="0" t="0"/>
            <wp:docPr descr="Figura 6.16: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4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6" w:name="fig41"/>
      <w:r>
        <w:t xml:space="preserve">Figure </w:t>
      </w:r>
      <w:fldSimple w:instr="SEQ Figure \* ARABIC ">
        <w:r>
          <w:t>41</w:t>
        </w:r>
      </w:fldSimple>
      <w:r>
        <w:t xml:space="preserve">:</w:t>
      </w:r>
      <w:r>
        <w:t xml:space="preserve"> </w:t>
      </w:r>
      <w:bookmarkEnd w:id="146"/>
      <w:r>
        <w:t xml:space="preserve">Figura 6.16: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13</w:t>
        </w:r>
      </w:hyperlink>
      <w:r>
        <w:t xml:space="preserve">.</w:t>
      </w:r>
      <w:r>
        <w:t xml:space="preserve"> </w:t>
      </w:r>
      <w:r>
        <w:t xml:space="preserve">En la Figura</w:t>
      </w:r>
      <w:r>
        <w:t xml:space="preserve"> </w:t>
      </w:r>
      <w:r>
        <w:t xml:space="preserve">6.17</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1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4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48" w:name="fig42"/>
      <w:r>
        <w:t xml:space="preserve">Figure </w:t>
      </w:r>
      <w:fldSimple w:instr="SEQ Figure \* ARABIC ">
        <w:r>
          <w:t>42</w:t>
        </w:r>
      </w:fldSimple>
      <w:r>
        <w:t xml:space="preserve">:</w:t>
      </w:r>
      <w:r>
        <w:t xml:space="preserve"> </w:t>
      </w:r>
      <w:bookmarkEnd w:id="148"/>
      <w:r>
        <w:t xml:space="preserve">Figura 6.17: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49"/>
    <w:bookmarkStart w:id="154" w:name="control-de-fechas-de-vencimiento"/>
    <w:p>
      <w:pPr>
        <w:pStyle w:val="Heading3"/>
      </w:pPr>
      <w:r>
        <w:rPr>
          <w:rStyle w:val="SectionNumber"/>
        </w:rPr>
        <w:t xml:space="preserve">6.3.4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14</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14</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15</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18"/>
        </w:numPr>
        <w:pStyle w:val="Compact"/>
      </w:pPr>
      <w:r>
        <w:t xml:space="preserve">Rojo: medicamento que se encuentra próximo a vencer.</w:t>
      </w:r>
    </w:p>
    <w:p>
      <w:pPr>
        <w:numPr>
          <w:ilvl w:val="0"/>
          <w:numId w:val="1018"/>
        </w:numPr>
        <w:pStyle w:val="Compact"/>
      </w:pPr>
      <w:r>
        <w:t xml:space="preserve">Amarillo: medicamento que se encuentra en riesgo moderado de vencimiento.</w:t>
      </w:r>
    </w:p>
    <w:p>
      <w:pPr>
        <w:numPr>
          <w:ilvl w:val="0"/>
          <w:numId w:val="1018"/>
        </w:numPr>
        <w:pStyle w:val="Compact"/>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BodyText"/>
      </w:pPr>
      <w:r>
        <w:t xml:space="preserve">En la Figura</w:t>
      </w:r>
      <w:r>
        <w:t xml:space="preserve"> </w:t>
      </w:r>
      <w:r>
        <w:t xml:space="preserve">6.18</w:t>
      </w:r>
      <w:r>
        <w:t xml:space="preserve"> </w:t>
      </w:r>
      <w:r>
        <w:t xml:space="preserve">se observa que el 71% de los FRE han presentado casos de medicamentos vencidos lo que constituye a 22 de 31 FRE existentes en el país, y esto indica que los vencimientos son una situación frecuente para los FRE.</w:t>
      </w:r>
    </w:p>
    <w:p>
      <w:pPr>
        <w:pStyle w:val="CaptionedFigure"/>
      </w:pPr>
      <w:r>
        <w:drawing>
          <wp:inline>
            <wp:extent cx="5334000" cy="3556000"/>
            <wp:effectExtent b="0" l="0" r="0" t="0"/>
            <wp:docPr descr="Figura 6.18: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5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1" w:name="fig43"/>
      <w:r>
        <w:t xml:space="preserve">Figure </w:t>
      </w:r>
      <w:fldSimple w:instr="SEQ Figure \* ARABIC ">
        <w:r>
          <w:t>43</w:t>
        </w:r>
      </w:fldSimple>
      <w:r>
        <w:t xml:space="preserve">:</w:t>
      </w:r>
      <w:r>
        <w:t xml:space="preserve"> </w:t>
      </w:r>
      <w:bookmarkEnd w:id="151"/>
      <w:r>
        <w:t xml:space="preserve">Figura 6.18: Presentación de casos de vencimiento de MME</w:t>
      </w:r>
    </w:p>
    <w:p>
      <w:pPr>
        <w:pStyle w:val="BodyText"/>
      </w:pPr>
      <w:r>
        <w:t xml:space="preserve">En la Figura</w:t>
      </w:r>
      <w:r>
        <w:t xml:space="preserve"> </w:t>
      </w:r>
      <w:r>
        <w:t xml:space="preserve">6.19</w:t>
      </w:r>
      <w:r>
        <w:t xml:space="preserve"> </w:t>
      </w:r>
      <w:r>
        <w:t xml:space="preserve">se muestran los medicamentos más involucrados en casos de vencimientos. En primer lugar, se tiene al Metilfenidato Tableta x 10 mg ya que 13 de los 31 FRE han presentado vencimientos relacionados a este producto. La razón para estos vencimientos podría deberse a varios factores como:</w:t>
      </w:r>
    </w:p>
    <w:p>
      <w:pPr>
        <w:numPr>
          <w:ilvl w:val="0"/>
          <w:numId w:val="1019"/>
        </w:numPr>
        <w:pStyle w:val="Compact"/>
      </w:pPr>
      <w:r>
        <w:t xml:space="preserve">El producto cuenta con una vida útil de 18 meses.</w:t>
      </w:r>
    </w:p>
    <w:p>
      <w:pPr>
        <w:numPr>
          <w:ilvl w:val="0"/>
          <w:numId w:val="1019"/>
        </w:numPr>
        <w:pStyle w:val="Compact"/>
      </w:pPr>
      <w:r>
        <w:t xml:space="preserve">Este medicamento es importado y en ocasiones la casa matriz entrega el producto con una vida útil efectiva menor a los 18 meses mencionados.- Debido a la emergencia sanitaria producida por el coronavirus se ha presentado una contracción importante de la demanda que se encuentra posiblemente relacionada a los cambios en la movilidad de los ciudadanos y las restricciones de presencialidad en instituciones escolares.</w:t>
      </w:r>
    </w:p>
    <w:p>
      <w:pPr>
        <w:pStyle w:val="FirstParagraph"/>
      </w:pPr>
      <w:r>
        <w:t xml:space="preserve">El segundo medicamento más involucrado en casos de vencimiento es Primidona Tableta x 250 mg debido a que 4 de los 31 FRE reportan casos de vencimientos, seguido de los vencimientos de Meperidina de 100mg/2mL, Fenobarbital Solución inyectable x 40 mg/mL y Fenobarbital Solución inyectable x 200 mg/mL que fueron reportados por 3 de 31 FREs a nivel nacional que se puede explicar debido a que son productos de baja rotación, y es posible que los FRE no hayan recibido una adecuada asistencia por parte del FNE para el manejo de ítems de este tipo.</w:t>
      </w:r>
    </w:p>
    <w:p>
      <w:pPr>
        <w:pStyle w:val="CaptionedFigure"/>
      </w:pPr>
      <w:r>
        <w:drawing>
          <wp:inline>
            <wp:extent cx="5334000" cy="3556000"/>
            <wp:effectExtent b="0" l="0" r="0" t="0"/>
            <wp:docPr descr="Figura 6.19: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5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3" w:name="fig44"/>
      <w:r>
        <w:t xml:space="preserve">Figure </w:t>
      </w:r>
      <w:fldSimple w:instr="SEQ Figure \* ARABIC ">
        <w:r>
          <w:t>44</w:t>
        </w:r>
      </w:fldSimple>
      <w:r>
        <w:t xml:space="preserve">:</w:t>
      </w:r>
      <w:r>
        <w:t xml:space="preserve"> </w:t>
      </w:r>
      <w:bookmarkEnd w:id="153"/>
      <w:r>
        <w:t xml:space="preserve">Figura 6.19: Medicamentos implicados en casos de vencimiento de MME</w:t>
      </w:r>
    </w:p>
    <w:bookmarkEnd w:id="154"/>
    <w:bookmarkStart w:id="157" w:name="transporte"/>
    <w:p>
      <w:pPr>
        <w:pStyle w:val="Heading3"/>
      </w:pPr>
      <w:r>
        <w:rPr>
          <w:rStyle w:val="SectionNumber"/>
        </w:rPr>
        <w:t xml:space="preserve">6.3.5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El FNE contrata a una empresa especializada en distribución logística de mercancías y bienes para la entrega del producto a nivel nacional.</w:t>
      </w:r>
    </w:p>
    <w:p>
      <w:pPr>
        <w:pStyle w:val="BodyText"/>
      </w:pPr>
      <w:r>
        <w:t xml:space="preserve">En la Figura</w:t>
      </w:r>
      <w:r>
        <w:t xml:space="preserve"> </w:t>
      </w:r>
      <w:r>
        <w:t xml:space="preserve">6.20</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3556000"/>
            <wp:effectExtent b="0" l="0" r="0" t="0"/>
            <wp:docPr descr="Figura 6.20: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6" w:name="fig45"/>
      <w:r>
        <w:t xml:space="preserve">Figure </w:t>
      </w:r>
      <w:fldSimple w:instr="SEQ Figure \* ARABIC ">
        <w:r>
          <w:t>45</w:t>
        </w:r>
      </w:fldSimple>
      <w:r>
        <w:t xml:space="preserve">:</w:t>
      </w:r>
      <w:r>
        <w:t xml:space="preserve"> </w:t>
      </w:r>
      <w:bookmarkEnd w:id="156"/>
      <w:r>
        <w:t xml:space="preserve">Figura 6.20: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57"/>
    <w:bookmarkEnd w:id="158"/>
    <w:bookmarkStart w:id="166" w:name="precio-de-medicamentos"/>
    <w:p>
      <w:pPr>
        <w:pStyle w:val="Heading2"/>
      </w:pPr>
      <w:r>
        <w:rPr>
          <w:rStyle w:val="SectionNumber"/>
        </w:rPr>
        <w:t xml:space="preserve">6.4</w:t>
      </w:r>
      <w:r>
        <w:tab/>
      </w:r>
      <w:r>
        <w:t xml:space="preserve">Precio de medicamentos</w:t>
      </w:r>
    </w:p>
    <w:p>
      <w:pPr>
        <w:pStyle w:val="FirstParagraph"/>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y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6.21</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 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1: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5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0" w:name="fig46"/>
      <w:r>
        <w:t xml:space="preserve">Figure </w:t>
      </w:r>
      <w:fldSimple w:instr="SEQ Figure \* ARABIC ">
        <w:r>
          <w:t>46</w:t>
        </w:r>
      </w:fldSimple>
      <w:r>
        <w:t xml:space="preserve">:</w:t>
      </w:r>
      <w:r>
        <w:t xml:space="preserve"> </w:t>
      </w:r>
      <w:bookmarkEnd w:id="160"/>
      <w:r>
        <w:t xml:space="preserve">Figura 6.21: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m:t>
        </m:r>
        <m:r>
          <m:rPr>
            <m:sty m:val="p"/>
          </m:rPr>
          <m:t>,</m:t>
        </m:r>
        <m:r>
          <m:t>000</m:t>
        </m:r>
      </m:oMath>
      <w:r>
        <w:t xml:space="preserve"> </w:t>
      </w:r>
      <w:r>
        <w:t xml:space="preserve">a</w:t>
      </w:r>
      <w:r>
        <w:t xml:space="preserve"> </w:t>
      </w:r>
      <m:oMath>
        <m:r>
          <m:rPr>
            <m:sty m:val="p"/>
          </m:rPr>
          <m:t>$</m:t>
        </m:r>
        <m:r>
          <m:t>150</m:t>
        </m:r>
        <m:r>
          <m:rPr>
            <m:sty m:val="p"/>
          </m:rPr>
          <m:t>,</m:t>
        </m:r>
        <m:r>
          <m:t>000</m:t>
        </m:r>
      </m:oMath>
      <w:r>
        <w:t xml:space="preserve">, mientras que en la línea de narcóticos se tiene al producto importado de Metadona tabletas 40mg como el más costoso (con precios que rondan</w:t>
      </w:r>
      <w:r>
        <w:t xml:space="preserve"> </w:t>
      </w:r>
      <m:oMath>
        <m:r>
          <m:rPr>
            <m:sty m:val="p"/>
          </m:rPr>
          <m:t>$</m:t>
        </m:r>
        <m:r>
          <m:t>100</m:t>
        </m:r>
        <m:r>
          <m:rPr>
            <m:sty m:val="p"/>
          </m:rPr>
          <m:t>,</m:t>
        </m:r>
        <m:r>
          <m:t>000</m:t>
        </m:r>
      </m:oMath>
      <w:r>
        <w:t xml:space="preserve"> </w:t>
      </w:r>
      <w:r>
        <w:t xml:space="preserve">y</w:t>
      </w:r>
      <w:r>
        <w:t xml:space="preserve"> </w:t>
      </w:r>
      <m:oMath>
        <m:r>
          <m:rPr>
            <m:sty m:val="p"/>
          </m:rPr>
          <m:t>$</m:t>
        </m:r>
        <m:r>
          <m:t>200</m:t>
        </m:r>
        <m:r>
          <m:rPr>
            <m:sty m:val="p"/>
          </m:rPr>
          <m:t>,</m:t>
        </m:r>
        <m:r>
          <m:t>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acc>
            <m:accPr>
              <m:chr m:val="́"/>
            </m:accPr>
            <m:e>
              <m:r>
                <m:rPr>
                  <m:sty m:val="p"/>
                </m:rPr>
                <m:t>a</m:t>
              </m:r>
            </m:e>
          </m:acc>
          <m:r>
            <m:rPr>
              <m:sty m:val="p"/>
            </m:rPr>
            <m:t>r</m:t>
          </m:r>
          <m:r>
            <m:rPr>
              <m:sty m:val="p"/>
            </m:rPr>
            <m:t>g</m:t>
          </m:r>
          <m:r>
            <m:rPr>
              <m:sty m:val="p"/>
            </m:rPr>
            <m:t>e</m:t>
          </m:r>
          <m:r>
            <m:rPr>
              <m:sty m:val="p"/>
            </m:rPr>
            <m:t>n</m:t>
          </m:r>
          <m:r>
            <m:rPr>
              <m:sty m:val="p"/>
            </m:rPr>
            <m:t>=</m:t>
          </m:r>
          <m:f>
            <m:fPr>
              <m:type m:val="bar"/>
            </m:fPr>
            <m:num>
              <m:r>
                <m:rPr>
                  <m:nor/>
                  <m:sty m:val="p"/>
                </m:rPr>
                <m:t>Precio de venta</m:t>
              </m:r>
            </m:num>
            <m:den>
              <m:r>
                <m:rPr>
                  <m:nor/>
                  <m:sty m:val="p"/>
                </m:rPr>
                <m:t>Precio de compra</m:t>
              </m:r>
            </m:den>
          </m:f>
        </m:oMath>
      </m:oMathPara>
    </w:p>
    <w:p>
      <w:pPr>
        <w:pStyle w:val="FirstParagraph"/>
      </w:pPr>
      <w:r>
        <w:t xml:space="preserve">En el panel A de la Figura</w:t>
      </w:r>
      <w:r>
        <w:t xml:space="preserve"> </w:t>
      </w:r>
      <w:r>
        <w:t xml:space="preserve">6.22</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2: Comparativo de márgenes de precio de venta en el departamento por medicamentos y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61"/>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62" w:name="fig47"/>
      <w:r>
        <w:t xml:space="preserve">Figure </w:t>
      </w:r>
      <w:fldSimple w:instr="SEQ Figure \* ARABIC ">
        <w:r>
          <w:t>47</w:t>
        </w:r>
      </w:fldSimple>
      <w:r>
        <w:t xml:space="preserve">:</w:t>
      </w:r>
      <w:r>
        <w:t xml:space="preserve"> </w:t>
      </w:r>
      <w:bookmarkEnd w:id="162"/>
      <w:r>
        <w:t xml:space="preserve">Figura 6.22: Comparativo de márgenes de precio de venta en el departamento por medicamentos y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6.22</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6.23</w:t>
      </w:r>
      <w:r>
        <w:t xml:space="preserve">) mediante regresión lineal. Parece existir una relación entre las dos variables, sin embargo la presencia de casos anómalos que se muestran como etiquetas en la figura evitan que haya la relación tenga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w:t>
      </w:r>
    </w:p>
    <w:p>
      <w:pPr>
        <w:pStyle w:val="CaptionedFigure"/>
      </w:pPr>
      <w:r>
        <w:drawing>
          <wp:inline>
            <wp:extent cx="5334000" cy="2933700"/>
            <wp:effectExtent b="0" l="0" r="0" t="0"/>
            <wp:docPr descr="Figura 6.23: Relación de márgen de ganancia y otras variable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63"/>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64" w:name="fig48"/>
      <w:r>
        <w:t xml:space="preserve">Figure </w:t>
      </w:r>
      <w:fldSimple w:instr="SEQ Figure \* ARABIC ">
        <w:r>
          <w:t>48</w:t>
        </w:r>
      </w:fldSimple>
      <w:r>
        <w:t xml:space="preserve">:</w:t>
      </w:r>
      <w:r>
        <w:t xml:space="preserve"> </w:t>
      </w:r>
      <w:bookmarkEnd w:id="164"/>
      <w:r>
        <w:t xml:space="preserve">Figura 6.23: Relación de márgen de ganancia y otras variables</w:t>
      </w:r>
    </w:p>
    <w:bookmarkStart w:id="165" w:name="recomendaciones-finales"/>
    <w:p>
      <w:pPr>
        <w:pStyle w:val="Heading3"/>
      </w:pPr>
      <w:r>
        <w:rPr>
          <w:rStyle w:val="SectionNumber"/>
        </w:rPr>
        <w:t xml:space="preserve">6.4.1</w:t>
      </w:r>
      <w:r>
        <w:tab/>
      </w:r>
      <w:r>
        <w:t xml:space="preserve">Recomendaciones finales</w:t>
      </w:r>
    </w:p>
    <w:p>
      <w:pPr>
        <w:numPr>
          <w:ilvl w:val="0"/>
          <w:numId w:val="1020"/>
        </w:numPr>
      </w:pPr>
      <w:r>
        <w:t xml:space="preserve">Se recomienda realizar ajustes en los esquemas de precios por parte del FNE para disminuir la utilización del canal de compra directa.</w:t>
      </w:r>
    </w:p>
    <w:p>
      <w:pPr>
        <w:numPr>
          <w:ilvl w:val="0"/>
          <w:numId w:val="1020"/>
        </w:numPr>
      </w:pPr>
      <w:r>
        <w:t xml:space="preserve">Se deben establecer mecanismos para la armonización de los precios de ventas de medicamentos de acuerdo a factores como distancia, costos de transporte o mantenimientos ya que los resultados no indican aumentos en los precios debido a este tipo de variables.</w:t>
      </w:r>
    </w:p>
    <w:bookmarkEnd w:id="165"/>
    <w:bookmarkEnd w:id="166"/>
    <w:bookmarkEnd w:id="167"/>
    <w:bookmarkStart w:id="178" w:name="ruta-tecnológica"/>
    <w:p>
      <w:pPr>
        <w:pStyle w:val="Heading1"/>
      </w:pPr>
      <w:r>
        <w:rPr>
          <w:rStyle w:val="SectionNumber"/>
        </w:rPr>
        <w:t xml:space="preserve">7</w:t>
      </w:r>
      <w:r>
        <w:tab/>
      </w:r>
      <w:r>
        <w:t xml:space="preserve">Ruta Tecnológica</w:t>
      </w:r>
    </w:p>
    <w:p>
      <w:pPr>
        <w:pStyle w:val="FirstParagraph"/>
      </w:pPr>
      <w:r>
        <w:t xml:space="preserve">De acuerdo a la Figura</w:t>
      </w:r>
      <w:r>
        <w:t xml:space="preserve"> </w:t>
      </w:r>
      <w:r>
        <w:t xml:space="preserve">7.1</w:t>
      </w:r>
      <w:r>
        <w:t xml:space="preserve"> </w:t>
      </w:r>
      <w:r>
        <w:t xml:space="preserve">se evidencia que los canales más frecuentes que manejan los FRE para comunicarse con los usuarios corresponden al teléfono y el correo electrónico. Incluso estos medios de comunicación toman mayor relevancia en estos tiempos actuales de distanciamiento por la pandemia reciente referente a la COVID-19. En ese orden de ideas, menos de la mitad de los FRE mantienen la atención presencial en el FRE y la correspondencia ya fue reemplazada por la digitalización y el correo electrónico. Esto podría demostrar cierta aceptabilidad, por parte del personal del FRE y los usuarios inscritos, por los medios digitales que han surgido en la actualidad.</w:t>
      </w:r>
    </w:p>
    <w:p>
      <w:pPr>
        <w:pStyle w:val="CaptionedFigure"/>
      </w:pPr>
      <w:r>
        <w:drawing>
          <wp:inline>
            <wp:extent cx="5334000" cy="3809999"/>
            <wp:effectExtent b="0" l="0" r="0" t="0"/>
            <wp:docPr descr="Figura 7.1: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6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69" w:name="fig49"/>
      <w:r>
        <w:t xml:space="preserve">Figure </w:t>
      </w:r>
      <w:fldSimple w:instr="SEQ Figure \* ARABIC ">
        <w:r>
          <w:t>49</w:t>
        </w:r>
      </w:fldSimple>
      <w:r>
        <w:t xml:space="preserve">:</w:t>
      </w:r>
      <w:r>
        <w:t xml:space="preserve"> </w:t>
      </w:r>
      <w:bookmarkEnd w:id="169"/>
      <w:r>
        <w:t xml:space="preserve">Figura 7.1: Canales de comunicación FRE con clientes</w:t>
      </w:r>
    </w:p>
    <w:p>
      <w:pPr>
        <w:pStyle w:val="BodyText"/>
      </w:pPr>
      <w:r>
        <w:t xml:space="preserve">Por otro lado, la</w:t>
      </w:r>
      <w:r>
        <w:t xml:space="preserve"> </w:t>
      </w:r>
      <w:r>
        <w:t xml:space="preserve">7.2</w:t>
      </w:r>
      <w:r>
        <w:t xml:space="preserve"> </w:t>
      </w:r>
      <w:r>
        <w:t xml:space="preserve">exhibe la velocidad de conexión a internet en cada zona donde se encuentra ubicado el FRE departamental de cada territorio.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ante todo, aquellos territorios que muestran falencias en la conectividad a internet, con el fin de evitar barreras al acceso de medicamentos en estas zonas.</w:t>
      </w:r>
    </w:p>
    <w:p>
      <w:pPr>
        <w:pStyle w:val="CaptionedFigure"/>
      </w:pPr>
      <w:r>
        <w:drawing>
          <wp:inline>
            <wp:extent cx="5334000" cy="3809999"/>
            <wp:effectExtent b="0" l="0" r="0" t="0"/>
            <wp:docPr descr="Figura 7.2: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7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71" w:name="fig50"/>
      <w:r>
        <w:t xml:space="preserve">Figure </w:t>
      </w:r>
      <w:fldSimple w:instr="SEQ Figure \* ARABIC ">
        <w:r>
          <w:t>50</w:t>
        </w:r>
      </w:fldSimple>
      <w:r>
        <w:t xml:space="preserve">:</w:t>
      </w:r>
      <w:r>
        <w:t xml:space="preserve"> </w:t>
      </w:r>
      <w:bookmarkEnd w:id="171"/>
      <w:r>
        <w:t xml:space="preserve">Figura 7.2: Velocidad de conexión de internet</w:t>
      </w:r>
    </w:p>
    <w:p>
      <w:pPr>
        <w:pStyle w:val="BodyText"/>
      </w:pPr>
      <w:r>
        <w:t xml:space="preserve">Según la Figura</w:t>
      </w:r>
      <w:r>
        <w:t xml:space="preserve"> </w:t>
      </w:r>
      <w:r>
        <w:t xml:space="preserve">7.3</w:t>
      </w:r>
      <w:r>
        <w:t xml:space="preserve">, más de la mitad de los FRE poseen hasta dos (2) computadores para el desarrollo de sus funciones como ente territorial. En dos casos particularmente, FRE Guaviare y FRE San Andres, no cuentan con equipo de cómputo actualmente y esto influye desfavorablemente en el cumplimiento de sus obligaciones como FRE. En esa misma línea, podemos encontrar nueve FRE que poseen solo un (1) equipo de cómputo, perjudicando igualmente el avance de sus actividades laborales y funciones principales como ente territorial, responsable del control de MME en el departamento. Incluso, según las experiencias y observaciones del personal vinculado a los FRE, disponer de dos (2) computadores sigue siendo condicionado el desarrollo laboral y en casi todas las ocasiones, los equipos son insuficientes para el personal del FRE.</w:t>
      </w:r>
    </w:p>
    <w:p>
      <w:pPr>
        <w:pStyle w:val="CaptionedFigure"/>
      </w:pPr>
      <w:r>
        <w:drawing>
          <wp:inline>
            <wp:extent cx="5334000" cy="3556000"/>
            <wp:effectExtent b="0" l="0" r="0" t="0"/>
            <wp:docPr descr="Figura 7.3: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7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3" w:name="fig51"/>
      <w:r>
        <w:t xml:space="preserve">Figure </w:t>
      </w:r>
      <w:fldSimple w:instr="SEQ Figure \* ARABIC ">
        <w:r>
          <w:t>51</w:t>
        </w:r>
      </w:fldSimple>
      <w:r>
        <w:t xml:space="preserve">:</w:t>
      </w:r>
      <w:r>
        <w:t xml:space="preserve"> </w:t>
      </w:r>
      <w:bookmarkEnd w:id="173"/>
      <w:r>
        <w:t xml:space="preserve">Figura 7.3: N.° de equipos en el FRE</w:t>
      </w:r>
    </w:p>
    <w:p>
      <w:pPr>
        <w:pStyle w:val="BodyText"/>
      </w:pPr>
      <w:r>
        <w:t xml:space="preserve">Únicamente 6 FRE departamentales cuentan con cuatro (4) o más computadores en su área de trabajo, cuya índole permite mejores condiciones laborales al equipo de apoyo del FRE. Por consiguiente, estos 6 entes territoriales, se encuentran en excelentes condiciones de infraestructura tecnológica para atender y proyectar una gestión apropiada en los MME y los recetarios oficiales.</w:t>
      </w:r>
    </w:p>
    <w:p>
      <w:pPr>
        <w:pStyle w:val="CaptionedFigure"/>
      </w:pPr>
      <w:r>
        <w:drawing>
          <wp:inline>
            <wp:extent cx="5334000" cy="3556000"/>
            <wp:effectExtent b="0" l="0" r="0" t="0"/>
            <wp:docPr descr="Figura 7.4: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7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5" w:name="fig52"/>
      <w:r>
        <w:t xml:space="preserve">Figure </w:t>
      </w:r>
      <w:fldSimple w:instr="SEQ Figure \* ARABIC ">
        <w:r>
          <w:t>52</w:t>
        </w:r>
      </w:fldSimple>
      <w:r>
        <w:t xml:space="preserve">:</w:t>
      </w:r>
      <w:r>
        <w:t xml:space="preserve"> </w:t>
      </w:r>
      <w:bookmarkEnd w:id="175"/>
      <w:r>
        <w:t xml:space="preserve">Figura 7.4: Relación entre el requerimiento de equipos y el número de personas en el FRE</w:t>
      </w:r>
    </w:p>
    <w:p>
      <w:pPr>
        <w:pStyle w:val="BodyText"/>
      </w:pPr>
      <w:r>
        <w:t xml:space="preserve">De acuerdo a la Figura</w:t>
      </w:r>
      <w:r>
        <w:t xml:space="preserve"> </w:t>
      </w:r>
      <w:r>
        <w:t xml:space="preserve">7.5</w:t>
      </w:r>
      <w:r>
        <w:t xml:space="preserve"> </w:t>
      </w:r>
      <w:r>
        <w:t xml:space="preserve">se puede evidenciar que aproximadamente la mitad de los FRE manifiestan que los equipos de cómputo del FRE son adecuados para las actividades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actuales Como se mencionó anteriormente, la modernización en los procesos referentes al manejo de recetarios oficiales y MME, tendrá que considerar, ante todo, aquellos territorios que muestran obstáculos en su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5: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7" w:name="fig53"/>
      <w:r>
        <w:t xml:space="preserve">Figure </w:t>
      </w:r>
      <w:fldSimple w:instr="SEQ Figure \* ARABIC ">
        <w:r>
          <w:t>53</w:t>
        </w:r>
      </w:fldSimple>
      <w:r>
        <w:t xml:space="preserve">:</w:t>
      </w:r>
      <w:r>
        <w:t xml:space="preserve"> </w:t>
      </w:r>
      <w:bookmarkEnd w:id="177"/>
      <w:r>
        <w:t xml:space="preserve">Figura 7.5: Opinión sobre los equipos de cómputo del FRE</w:t>
      </w:r>
    </w:p>
    <w:p>
      <w:pPr>
        <w:pStyle w:val="BodyText"/>
      </w:pPr>
      <w:r>
        <w:t xml:space="preserve">Si los inconvenientes relacionados a la infraestructura tecnológica, se presentan actualmente en las zonas más alejadas del país, el escenario de la implementación del ROE no podría aspirar a grandes cambios en cada territorio. Lo anterior, se originaria barrera al acceso de medicamentos desde cada Secretaria de Salud o Dirección en salud departamental.</w:t>
      </w:r>
      <w:r>
        <w:t xml:space="preserve"> </w:t>
      </w:r>
      <w:r>
        <w:rPr>
          <w:bCs/>
          <w:b/>
        </w:rPr>
        <w:t xml:space="preserve">JUSTIFICAR CON OBSERVACIONES</w:t>
      </w:r>
      <w:r>
        <w:t xml:space="preserve"> </w:t>
      </w:r>
      <w:r>
        <w:t xml:space="preserve">hasta mejorar esta condición tecnológica.</w:t>
      </w:r>
    </w:p>
    <w:bookmarkEnd w:id="178"/>
    <w:bookmarkStart w:id="199"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1</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1</w:t>
        </w:r>
      </w:hyperlink>
      <w:r>
        <w:t xml:space="preserve">:</w:t>
      </w:r>
    </w:p>
    <w:p>
      <w:pPr>
        <w:numPr>
          <w:ilvl w:val="0"/>
          <w:numId w:val="1021"/>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21"/>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21"/>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21"/>
        </w:numPr>
      </w:pPr>
      <w:r>
        <w:t xml:space="preserve">Novedades sobre la inscripción de los Establecimientos Farmacéuticos e IPS autorizados, de acuerdo al formato (Anexo número 3) de la presente resolución.</w:t>
      </w:r>
    </w:p>
    <w:p>
      <w:pPr>
        <w:numPr>
          <w:ilvl w:val="0"/>
          <w:numId w:val="1021"/>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21"/>
        </w:numPr>
      </w:pPr>
      <w:r>
        <w:t xml:space="preserve">Informe mensual consolidado sobre las transformaciones realizadas en el mes inmediatamente anterior, dentro de los diez (10) primeros días calendarios de cada mes. (Anexo número 4)</w:t>
      </w:r>
    </w:p>
    <w:p>
      <w:pPr>
        <w:numPr>
          <w:ilvl w:val="0"/>
          <w:numId w:val="1021"/>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21"/>
        </w:numPr>
      </w:pPr>
      <w:r>
        <w:t xml:space="preserve">Informe trimestral de sanciones impuestas por infracciones administrativas en la fabricación, distribución y dispensación de medicamentos de Control Especial.</w:t>
      </w:r>
    </w:p>
    <w:p>
      <w:pPr>
        <w:numPr>
          <w:ilvl w:val="0"/>
          <w:numId w:val="1021"/>
        </w:numPr>
      </w:pPr>
      <w:r>
        <w:t xml:space="preserve">Consolidado semestral del registro de Farmacodependientes de productos sometidos a fiscalización.</w:t>
      </w:r>
    </w:p>
    <w:p>
      <w:pPr>
        <w:pStyle w:val="FirstParagraph"/>
      </w:pPr>
      <w:r>
        <w:t xml:space="preserve">En la Figura</w:t>
      </w:r>
      <w:r>
        <w:t xml:space="preserve"> </w:t>
      </w:r>
      <w:r>
        <w:t xml:space="preserve">8.1</w:t>
      </w:r>
      <w:r>
        <w:t xml:space="preserve"> </w:t>
      </w:r>
      <w:r>
        <w:t xml:space="preserve">se tiene una descripción de la herramientas utilizadas el diligenciamiento del Anexo 1 de la Resolución 1479 de 2006 de MSPS. La mayoría de los FRE utilizan hojas de cálculo para el diligenciamiento del Anexo 1 (23 de 30 departamentos). Por lo menos tres departamentos utilizan modalidades de diligenciamiento manual y hojas de cálculo para el Anexo 1, mientras que sólo dos FRE sustentan la actividad mediante procedimientos manuales.</w:t>
      </w:r>
    </w:p>
    <w:p>
      <w:pPr>
        <w:pStyle w:val="BodyText"/>
      </w:pPr>
      <w:r>
        <w:t xml:space="preserve">Algunos FRE como Antioquia, Bolívar, Córdoba, Cesar, Quindío y Valle del Cauca tienen plataformas desarrolladas dentro de la gobernación que son utilizadas para el diligenciamiento del Anexo 1.</w:t>
      </w:r>
    </w:p>
    <w:p>
      <w:pPr>
        <w:pStyle w:val="CaptionedFigure"/>
      </w:pPr>
      <w:r>
        <w:drawing>
          <wp:inline>
            <wp:extent cx="5334000" cy="3809999"/>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7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80" w:name="fig54"/>
      <w:r>
        <w:t xml:space="preserve">Figure </w:t>
      </w:r>
      <w:fldSimple w:instr="SEQ Figure \* ARABIC ">
        <w:r>
          <w:t>54</w:t>
        </w:r>
      </w:fldSimple>
      <w:r>
        <w:t xml:space="preserve">:</w:t>
      </w:r>
      <w:r>
        <w:t xml:space="preserve"> </w:t>
      </w:r>
      <w:bookmarkEnd w:id="180"/>
      <w:r>
        <w:t xml:space="preserve">Figura 8.1: Herramientas en el diligenciamiento del Anexo 1 de la Resolución 1479 de 2006</w:t>
      </w:r>
    </w:p>
    <w:p>
      <w:pPr>
        <w:pStyle w:val="BodyText"/>
      </w:pPr>
      <w:r>
        <w:t xml:space="preserve">En la Figura</w:t>
      </w:r>
      <w:r>
        <w:t xml:space="preserve"> </w:t>
      </w:r>
      <w:r>
        <w:t xml:space="preserve">8.2</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8.2: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8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82" w:name="fig55"/>
      <w:r>
        <w:t xml:space="preserve">Figure </w:t>
      </w:r>
      <w:fldSimple w:instr="SEQ Figure \* ARABIC ">
        <w:r>
          <w:t>55</w:t>
        </w:r>
      </w:fldSimple>
      <w:r>
        <w:t xml:space="preserve">:</w:t>
      </w:r>
      <w:r>
        <w:t xml:space="preserve"> </w:t>
      </w:r>
      <w:bookmarkEnd w:id="182"/>
      <w:r>
        <w:t xml:space="preserve">Figura 8.2: Controles en las ventas directas a pacientes</w:t>
      </w:r>
    </w:p>
    <w:p>
      <w:pPr>
        <w:pStyle w:val="BodyText"/>
      </w:pPr>
      <w:r>
        <w:t xml:space="preserve">Sobre la consolidación de informes las tendencias ya son mucho más uniformes debido que el grupo Interno de regionalización se encarga de la consolidación y verificación de estos informes, por esta misma razón hay una uniformidad en cuanto a la forma de diligenciar los anexos, cómo al control sobre las cantidades de consumo y distribución que presentan los departamentos, esta es la razón por la cuál se observa en las gráficas X y Z que la consolidación de los informes se entrega de manera electrónica al FNE, pero también hay un leve contraste sobre la forma en la que algunos FRE reciben estos anexos por parte de los inscritos, dado que si estos son allegados de forma presencial, se necesita una transcripción, que podría traducirse en un proceso engorroso que toma mucho más tiempo y puede ser causa del retraso en el envío de informes hacia el FNE. Este comportamiento es posible observar en la figura W dónde se resalta que la confección de estos informes puede demorarse más de una semana. Esto puede ser mucho más problemático para regiones con una elevada cantidad de inscritos en relación a la cantidad de personal encargado específicamente en esta tarea.</w:t>
      </w:r>
    </w:p>
    <w:p>
      <w:pPr>
        <w:pStyle w:val="CaptionedFigure"/>
      </w:pPr>
      <w:r>
        <w:drawing>
          <wp:inline>
            <wp:extent cx="5334000" cy="4000500"/>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8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84" w:name="fig56"/>
      <w:r>
        <w:t xml:space="preserve">Figure </w:t>
      </w:r>
      <w:fldSimple w:instr="SEQ Figure \* ARABIC ">
        <w:r>
          <w:t>56</w:t>
        </w:r>
      </w:fldSimple>
      <w:r>
        <w:t xml:space="preserve">:</w:t>
      </w:r>
      <w:r>
        <w:t xml:space="preserve"> </w:t>
      </w:r>
      <w:bookmarkEnd w:id="184"/>
      <w:r>
        <w:t xml:space="preserve">Figura 8.3: Tiempo en la consolidación del Anexo 1 de la Resolución 1479 de 2006</w:t>
      </w:r>
    </w:p>
    <w:p>
      <w:pPr>
        <w:pStyle w:val="CaptionedFigure"/>
      </w:pPr>
      <w:r>
        <w:drawing>
          <wp:inline>
            <wp:extent cx="5334000" cy="4000500"/>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18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86" w:name="fig57"/>
      <w:r>
        <w:t xml:space="preserve">Figure </w:t>
      </w:r>
      <w:fldSimple w:instr="SEQ Figure \* ARABIC ">
        <w:r>
          <w:t>57</w:t>
        </w:r>
      </w:fldSimple>
      <w:r>
        <w:t xml:space="preserve">:</w:t>
      </w:r>
      <w:r>
        <w:t xml:space="preserve"> </w:t>
      </w:r>
      <w:bookmarkEnd w:id="186"/>
      <w:r>
        <w:t xml:space="preserve">Figura 8.4: Tiempo en la consolidación del Anexo 1 de la Resolución 1479 de 2006 vs N° de instituciones que realizan compra en un año</w:t>
      </w:r>
    </w:p>
    <w:p>
      <w:pPr>
        <w:pStyle w:val="CaptionedFigure"/>
      </w:pPr>
      <w:r>
        <w:drawing>
          <wp:inline>
            <wp:extent cx="5334000" cy="2667000"/>
            <wp:effectExtent b="0" l="0" r="0" t="0"/>
            <wp:docPr descr="Figura 8.5: Tiempo en la consolidación del Anexo 2 de la Resolución 1479 de 2006"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18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88" w:name="fig58"/>
      <w:r>
        <w:t xml:space="preserve">Figure </w:t>
      </w:r>
      <w:fldSimple w:instr="SEQ Figure \* ARABIC ">
        <w:r>
          <w:t>58</w:t>
        </w:r>
      </w:fldSimple>
      <w:r>
        <w:t xml:space="preserve">:</w:t>
      </w:r>
      <w:r>
        <w:t xml:space="preserve"> </w:t>
      </w:r>
      <w:bookmarkEnd w:id="188"/>
      <w:r>
        <w:t xml:space="preserve">Figura 8.5: Tiempo en la consolidación del Anexo 2 de la Resolución 1479 de 2006</w:t>
      </w:r>
    </w:p>
    <w:p>
      <w:pPr>
        <w:pStyle w:val="BodyText"/>
      </w:pPr>
      <w:r>
        <w:drawing>
          <wp:inline>
            <wp:extent cx="5334000" cy="4000500"/>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89"/>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8.7: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9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8: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9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9: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9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Analizando algunas otras circunstancias por las cuáles los FRE no realizan los informes a tiempo, podría también estar relacionada con un retraso en la entrega de los informes por parte de las instituciones al FRE, en la gráfica AB, es claro que 23 de los 30 FRE solo se quedan en un llamado de atención en caso de incuplimiento en las fechas de entrega de informes de consumo, esto ya está mucho más relacionado con la forma en la que el área de IVC de cada departamento realiza procesos administrativos o medidas sancionatorias a las instituciones que no hacen entrega de estos documentos, pues si el seguimiento que se hace por parte del FRE es débil, esto puede repercutir en el comportamiento de las instituciones hacía el FRE, pero este es un asunto gobernanza e institucionalidad que es potestad de cada ente territorial tratar.</w:t>
      </w:r>
    </w:p>
    <w:bookmarkStart w:id="198" w:name="seguridad-de-la-información"/>
    <w:p>
      <w:pPr>
        <w:pStyle w:val="Heading2"/>
      </w:pPr>
      <w:r>
        <w:rPr>
          <w:rStyle w:val="SectionNumber"/>
        </w:rPr>
        <w:t xml:space="preserve">8.1</w:t>
      </w:r>
      <w:r>
        <w:tab/>
      </w:r>
      <w:r>
        <w:t xml:space="preserve">Seguridad de la información</w:t>
      </w:r>
    </w:p>
    <w:p>
      <w:pPr>
        <w:pStyle w:val="FirstParagraph"/>
      </w:pPr>
      <w:r>
        <w:t xml:space="preserve">Cabe resaltar que en la Figura</w:t>
      </w:r>
      <w:r>
        <w:t xml:space="preserve"> </w:t>
      </w:r>
      <w:r>
        <w:t xml:space="preserve">8.10</w:t>
      </w:r>
      <w:r>
        <w:t xml:space="preserve"> </w:t>
      </w:r>
      <w:r>
        <w:t xml:space="preserve">cuándo se habla de restricción de acceso, se refiere al restringido acceso que se tiene a estos informes, aunque particularmente algunos FRE cómo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permite una trazabilidad fragmentada en la información completa de un FRE y cómo se ha mencionado anteriormente, la transcripción es más presta a que se cometan errores humanos en la digitación.</w:t>
      </w:r>
    </w:p>
    <w:p>
      <w:pPr>
        <w:pStyle w:val="BodyText"/>
      </w:pPr>
      <w:r>
        <w:drawing>
          <wp:inline>
            <wp:extent cx="5334000" cy="3556000"/>
            <wp:effectExtent b="0" l="0" r="0" t="0"/>
            <wp:docPr descr="Figura 8.10: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93"/>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11: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94"/>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12: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195"/>
                    <a:stretch>
                      <a:fillRect/>
                    </a:stretch>
                  </pic:blipFill>
                  <pic:spPr bwMode="auto">
                    <a:xfrm>
                      <a:off x="0" y="0"/>
                      <a:ext cx="5334000" cy="3556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a 8.13: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9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97" w:name="fig59"/>
      <w:r>
        <w:t xml:space="preserve">Figure </w:t>
      </w:r>
      <w:fldSimple w:instr="SEQ Figure \* ARABIC ">
        <w:r>
          <w:t>59</w:t>
        </w:r>
      </w:fldSimple>
      <w:r>
        <w:t xml:space="preserve">:</w:t>
      </w:r>
      <w:r>
        <w:t xml:space="preserve"> </w:t>
      </w:r>
      <w:bookmarkEnd w:id="197"/>
      <w:r>
        <w:t xml:space="preserve">Figura 8.13: Existencia de otras instituciones que realizan ventas a instituciones a MME</w:t>
      </w:r>
    </w:p>
    <w:bookmarkEnd w:id="198"/>
    <w:bookmarkEnd w:id="199"/>
    <w:bookmarkStart w:id="266" w:name="análisis-a-nivel-regional"/>
    <w:p>
      <w:pPr>
        <w:pStyle w:val="Heading1"/>
      </w:pPr>
      <w:r>
        <w:rPr>
          <w:rStyle w:val="SectionNumber"/>
        </w:rPr>
        <w:t xml:space="preserve">9</w:t>
      </w:r>
      <w:r>
        <w:tab/>
      </w:r>
      <w:r>
        <w:t xml:space="preserve">Análisis a Nivel Regional</w:t>
      </w:r>
    </w:p>
    <w:bookmarkStart w:id="223" w:name="región-andina-norte"/>
    <w:p>
      <w:pPr>
        <w:pStyle w:val="Heading2"/>
      </w:pPr>
      <w:r>
        <w:rPr>
          <w:rStyle w:val="SectionNumber"/>
        </w:rPr>
        <w:t xml:space="preserve">9.1</w:t>
      </w:r>
      <w:r>
        <w:tab/>
      </w:r>
      <w:r>
        <w:t xml:space="preserve">Región Andina Norte</w:t>
      </w:r>
    </w:p>
    <w:p>
      <w:pPr>
        <w:pStyle w:val="FirstParagraph"/>
      </w:pPr>
      <w:r>
        <w:t xml:space="preserve">Esta región se compone de los siguientes departamentos:</w:t>
      </w:r>
    </w:p>
    <w:p>
      <w:pPr>
        <w:numPr>
          <w:ilvl w:val="0"/>
          <w:numId w:val="1022"/>
        </w:numPr>
        <w:pStyle w:val="Compact"/>
      </w:pPr>
      <w:r>
        <w:t xml:space="preserve">Boyacá</w:t>
      </w:r>
    </w:p>
    <w:p>
      <w:pPr>
        <w:numPr>
          <w:ilvl w:val="0"/>
          <w:numId w:val="1022"/>
        </w:numPr>
        <w:pStyle w:val="Compact"/>
      </w:pPr>
      <w:r>
        <w:t xml:space="preserve">Norte de Santander</w:t>
      </w:r>
    </w:p>
    <w:p>
      <w:pPr>
        <w:numPr>
          <w:ilvl w:val="0"/>
          <w:numId w:val="1022"/>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208" w:name="adquisición-venta-y-distribución-de-ro"/>
    <w:p>
      <w:pPr>
        <w:pStyle w:val="Heading3"/>
      </w:pPr>
      <w:r>
        <w:rPr>
          <w:rStyle w:val="SectionNumber"/>
        </w:rPr>
        <w:t xml:space="preserve">9.1.1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9.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200"/>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201" w:name="fig60"/>
      <w:r>
        <w:t xml:space="preserve">Figure </w:t>
      </w:r>
      <w:fldSimple w:instr="SEQ Figure \* ARABIC ">
        <w:r>
          <w:t>60</w:t>
        </w:r>
      </w:fldSimple>
      <w:r>
        <w:t xml:space="preserve">:</w:t>
      </w:r>
      <w:r>
        <w:t xml:space="preserve"> </w:t>
      </w:r>
      <w:bookmarkEnd w:id="201"/>
      <w:r>
        <w:t xml:space="preserve">Figura 9.1: N.° de recetarios en la Región Andina Norte</w:t>
      </w:r>
    </w:p>
    <w:p>
      <w:pPr>
        <w:pStyle w:val="BodyText"/>
      </w:pPr>
      <w:r>
        <w:t xml:space="preserve">En cuanto a las existencias actuales, en la Figura</w:t>
      </w:r>
      <w:r>
        <w:t xml:space="preserve"> </w:t>
      </w:r>
      <w:r>
        <w:t xml:space="preserve">9.1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9.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202"/>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203" w:name="fig61"/>
      <w:r>
        <w:t xml:space="preserve">Figure </w:t>
      </w:r>
      <w:fldSimple w:instr="SEQ Figure \* ARABIC ">
        <w:r>
          <w:t>61</w:t>
        </w:r>
      </w:fldSimple>
      <w:r>
        <w:t xml:space="preserve">:</w:t>
      </w:r>
      <w:r>
        <w:t xml:space="preserve"> </w:t>
      </w:r>
      <w:bookmarkEnd w:id="203"/>
      <w:r>
        <w:t xml:space="preserve">Figura 9.2: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9.3</w:t>
      </w:r>
      <w:r>
        <w:t xml:space="preserve">, si se cruza esta información con el 40% que aporta la venta de los recetarios al total de los ingresos del FRE cómo se ve en la Figura</w:t>
      </w:r>
      <w:r>
        <w:t xml:space="preserve"> </w:t>
      </w:r>
      <w:r>
        <w:t xml:space="preserve">9.3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9.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204"/>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205" w:name="fig62"/>
      <w:r>
        <w:t xml:space="preserve">Figure </w:t>
      </w:r>
      <w:fldSimple w:instr="SEQ Figure \* ARABIC ">
        <w:r>
          <w:t>62</w:t>
        </w:r>
      </w:fldSimple>
      <w:r>
        <w:t xml:space="preserve">:</w:t>
      </w:r>
      <w:r>
        <w:t xml:space="preserve"> </w:t>
      </w:r>
      <w:bookmarkEnd w:id="205"/>
      <w:r>
        <w:t xml:space="preserve">Figura 9.3: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9.4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9.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206"/>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207" w:name="fig63"/>
      <w:r>
        <w:t xml:space="preserve">Figure </w:t>
      </w:r>
      <w:fldSimple w:instr="SEQ Figure \* ARABIC ">
        <w:r>
          <w:t>63</w:t>
        </w:r>
      </w:fldSimple>
      <w:r>
        <w:t xml:space="preserve">:</w:t>
      </w:r>
      <w:r>
        <w:t xml:space="preserve"> </w:t>
      </w:r>
      <w:bookmarkEnd w:id="207"/>
      <w:r>
        <w:t xml:space="preserve">Figura 9.4: Porcentaje de ganancias en los departamentos</w:t>
      </w:r>
    </w:p>
    <w:bookmarkEnd w:id="208"/>
    <w:bookmarkStart w:id="209" w:name="seguimiento-y-control-de-ro"/>
    <w:p>
      <w:pPr>
        <w:pStyle w:val="Heading3"/>
      </w:pPr>
      <w:r>
        <w:rPr>
          <w:rStyle w:val="SectionNumber"/>
        </w:rPr>
        <w:t xml:space="preserve">9.1.2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209"/>
    <w:bookmarkStart w:id="210" w:name="X009f82ebffead5dcb9f8956889afa0983c81115"/>
    <w:p>
      <w:pPr>
        <w:pStyle w:val="Heading3"/>
      </w:pPr>
      <w:r>
        <w:rPr>
          <w:rStyle w:val="SectionNumber"/>
        </w:rPr>
        <w:t xml:space="preserve">9.1.3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210"/>
    <w:bookmarkStart w:id="216" w:name="ruta-tecnológica."/>
    <w:p>
      <w:pPr>
        <w:pStyle w:val="Heading3"/>
      </w:pPr>
      <w:r>
        <w:rPr>
          <w:rStyle w:val="SectionNumber"/>
        </w:rPr>
        <w:t xml:space="preserve">9.1.4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9.6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9.5</w:t>
      </w:r>
      <w:r>
        <w:t xml:space="preserve">).</w:t>
      </w:r>
    </w:p>
    <w:p>
      <w:pPr>
        <w:pStyle w:val="CaptionedFigure"/>
      </w:pPr>
      <w:r>
        <w:drawing>
          <wp:inline>
            <wp:extent cx="3907856" cy="3012707"/>
            <wp:effectExtent b="0" l="0" r="0" t="0"/>
            <wp:docPr descr="Figura 9.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211"/>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212" w:name="fig64"/>
      <w:r>
        <w:t xml:space="preserve">Figure </w:t>
      </w:r>
      <w:fldSimple w:instr="SEQ Figure \* ARABIC ">
        <w:r>
          <w:t>64</w:t>
        </w:r>
      </w:fldSimple>
      <w:r>
        <w:t xml:space="preserve">:</w:t>
      </w:r>
      <w:r>
        <w:t xml:space="preserve"> </w:t>
      </w:r>
      <w:bookmarkEnd w:id="212"/>
      <w:r>
        <w:t xml:space="preserve">Figura 9.5: Cuenta con ordenanza</w:t>
      </w:r>
    </w:p>
    <w:p>
      <w:pPr>
        <w:pStyle w:val="CaptionedFigure"/>
      </w:pPr>
      <w:r>
        <w:drawing>
          <wp:inline>
            <wp:extent cx="3917482" cy="3022332"/>
            <wp:effectExtent b="0" l="0" r="0" t="0"/>
            <wp:docPr descr="Figura 9.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213"/>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4" w:name="fig65"/>
      <w:r>
        <w:t xml:space="preserve">Figure </w:t>
      </w:r>
      <w:fldSimple w:instr="SEQ Figure \* ARABIC ">
        <w:r>
          <w:t>65</w:t>
        </w:r>
      </w:fldSimple>
      <w:r>
        <w:t xml:space="preserve">:</w:t>
      </w:r>
      <w:r>
        <w:t xml:space="preserve"> </w:t>
      </w:r>
      <w:bookmarkEnd w:id="214"/>
      <w:r>
        <w:t xml:space="preserve">Figura 9.6: Evaluación de la conexión de internet</w:t>
      </w:r>
    </w:p>
    <w:p>
      <w:pPr>
        <w:pStyle w:val="TableCaption"/>
      </w:pPr>
      <w:bookmarkStart w:id="215" w:name="table2"/>
      <w:r>
        <w:t xml:space="preserve">Table </w:t>
      </w:r>
      <w:fldSimple w:instr="SEQ Table \* ARABIC ">
        <w:r>
          <w:t>2</w:t>
        </w:r>
      </w:fldSimple>
      <w:r>
        <w:t xml:space="preserve">:</w:t>
      </w:r>
      <w:bookmarkEnd w:id="215"/>
      <w:r>
        <w:t xml:space="preserve"> </w:t>
      </w:r>
      <w:r>
        <w:t xml:space="preserve">Tabla 9.1: Presencia de software para el manejo tecnológico</w:t>
      </w:r>
    </w:p>
    <w:tbl>
      <w:tblPr>
        <w:tblStyle w:val="Table"/>
        <w:tblW w:type="auto" w:w="0"/>
        <w:tblLook w:firstRow="1" w:lastRow="0" w:firstColumn="0" w:lastColumn="0" w:noHBand="0" w:noVBand="0" w:val="0020"/>
        <w:tblCaption w:val="Tabla 9.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216"/>
    <w:bookmarkStart w:id="217" w:name="proyección-de-compra-mme"/>
    <w:p>
      <w:pPr>
        <w:pStyle w:val="Heading3"/>
      </w:pPr>
      <w:r>
        <w:rPr>
          <w:rStyle w:val="SectionNumber"/>
        </w:rPr>
        <w:t xml:space="preserve">9.1.5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217"/>
    <w:bookmarkStart w:id="218" w:name="recepción-técnica."/>
    <w:p>
      <w:pPr>
        <w:pStyle w:val="Heading3"/>
      </w:pPr>
      <w:r>
        <w:rPr>
          <w:rStyle w:val="SectionNumber"/>
        </w:rPr>
        <w:t xml:space="preserve">9.1.6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218"/>
    <w:bookmarkStart w:id="219" w:name="almacenamiento-e-inventario-de-mme"/>
    <w:p>
      <w:pPr>
        <w:pStyle w:val="Heading3"/>
      </w:pPr>
      <w:r>
        <w:rPr>
          <w:rStyle w:val="SectionNumber"/>
        </w:rPr>
        <w:t xml:space="preserve">9.1.7</w:t>
      </w:r>
      <w:r>
        <w:tab/>
      </w:r>
      <w:r>
        <w:t xml:space="preserve">Almacenamiento e inventario de MME</w:t>
      </w:r>
    </w:p>
    <w:bookmarkEnd w:id="219"/>
    <w:bookmarkStart w:id="222" w:name="X655d72eb7072741882bb279aeb3b055e249ceb5"/>
    <w:p>
      <w:pPr>
        <w:pStyle w:val="Heading3"/>
      </w:pPr>
      <w:r>
        <w:rPr>
          <w:rStyle w:val="SectionNumber"/>
        </w:rPr>
        <w:t xml:space="preserve">9.1.8</w:t>
      </w:r>
      <w:r>
        <w:tab/>
      </w:r>
      <w:r>
        <w:t xml:space="preserve">Proceso de distribución a instituciones y pacientes</w:t>
      </w:r>
    </w:p>
    <w:p>
      <w:pPr>
        <w:pStyle w:val="CaptionedFigure"/>
      </w:pPr>
      <w:r>
        <w:drawing>
          <wp:inline>
            <wp:extent cx="3917482" cy="3022332"/>
            <wp:effectExtent b="0" l="0" r="0" t="0"/>
            <wp:docPr descr="Figura 9.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220"/>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1" w:name="fig66"/>
      <w:r>
        <w:t xml:space="preserve">Figure </w:t>
      </w:r>
      <w:fldSimple w:instr="SEQ Figure \* ARABIC ">
        <w:r>
          <w:t>66</w:t>
        </w:r>
      </w:fldSimple>
      <w:r>
        <w:t xml:space="preserve">:</w:t>
      </w:r>
      <w:r>
        <w:t xml:space="preserve"> </w:t>
      </w:r>
      <w:bookmarkEnd w:id="221"/>
      <w:r>
        <w:t xml:space="preserve">Figura 9.7: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222"/>
    <w:bookmarkEnd w:id="223"/>
    <w:bookmarkStart w:id="250" w:name="región-andina-sur"/>
    <w:p>
      <w:pPr>
        <w:pStyle w:val="Heading2"/>
      </w:pPr>
      <w:r>
        <w:rPr>
          <w:rStyle w:val="SectionNumber"/>
        </w:rPr>
        <w:t xml:space="preserve">9.2</w:t>
      </w:r>
      <w:r>
        <w:tab/>
      </w:r>
      <w:r>
        <w:t xml:space="preserve">Región Andina Sur</w:t>
      </w:r>
    </w:p>
    <w:bookmarkStart w:id="234" w:name="adquisición-venta-y-distribución-de-ro-1"/>
    <w:p>
      <w:pPr>
        <w:pStyle w:val="Heading3"/>
      </w:pPr>
      <w:r>
        <w:rPr>
          <w:rStyle w:val="SectionNumber"/>
        </w:rPr>
        <w:t xml:space="preserve">9.2.1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9.8</w:t>
      </w:r>
      <w:r>
        <w:t xml:space="preserve">, para ilustrar la disponibilidad de recetarios oficiales en la región Andina sur.</w:t>
      </w:r>
    </w:p>
    <w:p>
      <w:pPr>
        <w:pStyle w:val="CaptionedFigure"/>
      </w:pPr>
      <w:r>
        <w:drawing>
          <wp:inline>
            <wp:extent cx="2790825" cy="3448050"/>
            <wp:effectExtent b="0" l="0" r="0" t="0"/>
            <wp:docPr descr="Figura 9.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24"/>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25" w:name="fig67"/>
      <w:r>
        <w:t xml:space="preserve">Figure </w:t>
      </w:r>
      <w:fldSimple w:instr="SEQ Figure \* ARABIC ">
        <w:r>
          <w:t>67</w:t>
        </w:r>
      </w:fldSimple>
      <w:r>
        <w:t xml:space="preserve">:</w:t>
      </w:r>
      <w:r>
        <w:t xml:space="preserve"> </w:t>
      </w:r>
      <w:bookmarkEnd w:id="225"/>
      <w:r>
        <w:t xml:space="preserve">Figura 9.8: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9.9</w:t>
      </w:r>
      <w:r>
        <w:t xml:space="preserve">, muestra los tiempos de cada territorio en la adquisición de los recetarios oficiales.</w:t>
      </w:r>
    </w:p>
    <w:p>
      <w:pPr>
        <w:pStyle w:val="CaptionedFigure"/>
      </w:pPr>
      <w:r>
        <w:drawing>
          <wp:inline>
            <wp:extent cx="4350618" cy="3137835"/>
            <wp:effectExtent b="0" l="0" r="0" t="0"/>
            <wp:docPr descr="Figura 9.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26"/>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27" w:name="fig68"/>
      <w:r>
        <w:t xml:space="preserve">Figure </w:t>
      </w:r>
      <w:fldSimple w:instr="SEQ Figure \* ARABIC ">
        <w:r>
          <w:t>68</w:t>
        </w:r>
      </w:fldSimple>
      <w:r>
        <w:t xml:space="preserve">:</w:t>
      </w:r>
      <w:r>
        <w:t xml:space="preserve"> </w:t>
      </w:r>
      <w:bookmarkEnd w:id="227"/>
      <w:r>
        <w:t xml:space="preserve">Figura 9.9: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9.10</w:t>
      </w:r>
      <w:r>
        <w:t xml:space="preserve">, en relación a este margen de ganancias en cada FRE.</w:t>
      </w:r>
    </w:p>
    <w:p>
      <w:pPr>
        <w:pStyle w:val="CaptionedFigure"/>
      </w:pPr>
      <w:r>
        <w:drawing>
          <wp:inline>
            <wp:extent cx="4803006" cy="3311090"/>
            <wp:effectExtent b="0" l="0" r="0" t="0"/>
            <wp:docPr descr="Figura 9.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28"/>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29" w:name="fig69"/>
      <w:r>
        <w:t xml:space="preserve">Figure </w:t>
      </w:r>
      <w:fldSimple w:instr="SEQ Figure \* ARABIC ">
        <w:r>
          <w:t>69</w:t>
        </w:r>
      </w:fldSimple>
      <w:r>
        <w:t xml:space="preserve">:</w:t>
      </w:r>
      <w:r>
        <w:t xml:space="preserve"> </w:t>
      </w:r>
      <w:bookmarkEnd w:id="229"/>
      <w:r>
        <w:t xml:space="preserve">Figura 9.10: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9.11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9.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30"/>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31" w:name="fig70"/>
      <w:r>
        <w:t xml:space="preserve">Figure </w:t>
      </w:r>
      <w:fldSimple w:instr="SEQ Figure \* ARABIC ">
        <w:r>
          <w:t>70</w:t>
        </w:r>
      </w:fldSimple>
      <w:r>
        <w:t xml:space="preserve">:</w:t>
      </w:r>
      <w:r>
        <w:t xml:space="preserve"> </w:t>
      </w:r>
      <w:bookmarkEnd w:id="231"/>
      <w:r>
        <w:t xml:space="preserve">Figura 9.11: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9.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32"/>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33" w:name="fig71"/>
      <w:r>
        <w:t xml:space="preserve">Figure </w:t>
      </w:r>
      <w:fldSimple w:instr="SEQ Figure \* ARABIC ">
        <w:r>
          <w:t>71</w:t>
        </w:r>
      </w:fldSimple>
      <w:r>
        <w:t xml:space="preserve">:</w:t>
      </w:r>
      <w:r>
        <w:t xml:space="preserve"> </w:t>
      </w:r>
      <w:bookmarkEnd w:id="233"/>
      <w:r>
        <w:t xml:space="preserve">Figura 9.12: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9.12</w:t>
      </w:r>
      <w:r>
        <w:t xml:space="preserve"> </w:t>
      </w:r>
      <w:r>
        <w:t xml:space="preserve">exhibe el porcentaje de los territorios que cuentan con ordenanza para definir el costo de los recetarios oficiales.</w:t>
      </w:r>
    </w:p>
    <w:bookmarkEnd w:id="234"/>
    <w:bookmarkStart w:id="235" w:name="seguimiento-y-control-de-ro-1"/>
    <w:p>
      <w:pPr>
        <w:pStyle w:val="Heading3"/>
      </w:pPr>
      <w:r>
        <w:rPr>
          <w:rStyle w:val="SectionNumber"/>
        </w:rPr>
        <w:t xml:space="preserve">9.2.2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35"/>
    <w:bookmarkStart w:id="236" w:name="X161bf645a8ddbfd62e6c3b5999281b4edb216af"/>
    <w:p>
      <w:pPr>
        <w:pStyle w:val="Heading3"/>
      </w:pPr>
      <w:r>
        <w:rPr>
          <w:rStyle w:val="SectionNumber"/>
        </w:rPr>
        <w:t xml:space="preserve">9.2.3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36"/>
    <w:bookmarkStart w:id="239" w:name="ruta-tecnológica.-1"/>
    <w:p>
      <w:pPr>
        <w:pStyle w:val="Heading3"/>
      </w:pPr>
      <w:r>
        <w:rPr>
          <w:rStyle w:val="SectionNumber"/>
        </w:rPr>
        <w:t xml:space="preserve">9.2.4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9.3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9.3: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9.13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9.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37"/>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38" w:name="fig72"/>
      <w:r>
        <w:t xml:space="preserve">Figure </w:t>
      </w:r>
      <w:fldSimple w:instr="SEQ Figure \* ARABIC ">
        <w:r>
          <w:t>72</w:t>
        </w:r>
      </w:fldSimple>
      <w:r>
        <w:t xml:space="preserve">:</w:t>
      </w:r>
      <w:r>
        <w:t xml:space="preserve"> </w:t>
      </w:r>
      <w:bookmarkEnd w:id="238"/>
      <w:r>
        <w:t xml:space="preserve">Figura 9.13: Estado actual de la conexión a internet de los FRE de la región Andina Sur.</w:t>
      </w:r>
    </w:p>
    <w:bookmarkEnd w:id="239"/>
    <w:bookmarkStart w:id="242" w:name="proyección-de-compra-mme-1"/>
    <w:p>
      <w:pPr>
        <w:pStyle w:val="Heading3"/>
      </w:pPr>
      <w:r>
        <w:rPr>
          <w:rStyle w:val="SectionNumber"/>
        </w:rPr>
        <w:t xml:space="preserve">9.2.5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9.14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9.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40"/>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41" w:name="fig73"/>
      <w:r>
        <w:t xml:space="preserve">Figure </w:t>
      </w:r>
      <w:fldSimple w:instr="SEQ Figure \* ARABIC ">
        <w:r>
          <w:t>73</w:t>
        </w:r>
      </w:fldSimple>
      <w:r>
        <w:t xml:space="preserve">:</w:t>
      </w:r>
      <w:r>
        <w:t xml:space="preserve"> </w:t>
      </w:r>
      <w:bookmarkEnd w:id="241"/>
      <w:r>
        <w:t xml:space="preserve">Figura 9.14: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42"/>
    <w:bookmarkStart w:id="245" w:name="recepción-técnica.-1"/>
    <w:p>
      <w:pPr>
        <w:pStyle w:val="Heading3"/>
      </w:pPr>
      <w:r>
        <w:rPr>
          <w:rStyle w:val="SectionNumber"/>
        </w:rPr>
        <w:t xml:space="preserve">9.2.6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9.15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9.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43"/>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44" w:name="fig74"/>
      <w:r>
        <w:t xml:space="preserve">Figure </w:t>
      </w:r>
      <w:fldSimple w:instr="SEQ Figure \* ARABIC ">
        <w:r>
          <w:t>74</w:t>
        </w:r>
      </w:fldSimple>
      <w:r>
        <w:t xml:space="preserve">:</w:t>
      </w:r>
      <w:r>
        <w:t xml:space="preserve"> </w:t>
      </w:r>
      <w:bookmarkEnd w:id="244"/>
      <w:r>
        <w:t xml:space="preserve">Figura 9.15: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45"/>
    <w:bookmarkStart w:id="248" w:name="almacenamiento-e-inventario-de-mme-1"/>
    <w:p>
      <w:pPr>
        <w:pStyle w:val="Heading3"/>
      </w:pPr>
      <w:r>
        <w:rPr>
          <w:rStyle w:val="SectionNumber"/>
        </w:rPr>
        <w:t xml:space="preserve">9.2.7</w:t>
      </w:r>
      <w:r>
        <w:tab/>
      </w:r>
      <w:r>
        <w:t xml:space="preserve">Almacenamiento e inventario de MME</w:t>
      </w:r>
    </w:p>
    <w:p>
      <w:pPr>
        <w:pStyle w:val="CaptionedFigure"/>
      </w:pPr>
      <w:r>
        <w:drawing>
          <wp:inline>
            <wp:extent cx="5334000" cy="1093304"/>
            <wp:effectExtent b="0" l="0" r="0" t="0"/>
            <wp:docPr descr="Figura 9.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46"/>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47" w:name="fig75"/>
      <w:r>
        <w:t xml:space="preserve">Figure </w:t>
      </w:r>
      <w:fldSimple w:instr="SEQ Figure \* ARABIC ">
        <w:r>
          <w:t>75</w:t>
        </w:r>
      </w:fldSimple>
      <w:r>
        <w:t xml:space="preserve">:</w:t>
      </w:r>
      <w:r>
        <w:t xml:space="preserve"> </w:t>
      </w:r>
      <w:bookmarkEnd w:id="247"/>
      <w:r>
        <w:t xml:space="preserve">Figura 9.16: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48"/>
    <w:bookmarkStart w:id="249" w:name="X6b0d3cbe59f2e4485d35bea6be212c33d36f100"/>
    <w:p>
      <w:pPr>
        <w:pStyle w:val="Heading3"/>
      </w:pPr>
      <w:r>
        <w:rPr>
          <w:rStyle w:val="SectionNumber"/>
        </w:rPr>
        <w:t xml:space="preserve">9.2.8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49"/>
    <w:bookmarkEnd w:id="250"/>
    <w:bookmarkStart w:id="255" w:name="región-caribe"/>
    <w:p>
      <w:pPr>
        <w:pStyle w:val="Heading2"/>
      </w:pPr>
      <w:r>
        <w:rPr>
          <w:rStyle w:val="SectionNumber"/>
        </w:rPr>
        <w:t xml:space="preserve">9.3</w:t>
      </w:r>
      <w:r>
        <w:tab/>
      </w:r>
      <w:r>
        <w:t xml:space="preserve">Región Caribe</w:t>
      </w:r>
    </w:p>
    <w:p>
      <w:pPr>
        <w:pStyle w:val="CaptionedFigure"/>
      </w:pPr>
      <w:r>
        <w:drawing>
          <wp:inline>
            <wp:extent cx="4764505" cy="3311090"/>
            <wp:effectExtent b="0" l="0" r="0" t="0"/>
            <wp:docPr descr="Figura 9.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51"/>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52" w:name="fig76"/>
      <w:r>
        <w:t xml:space="preserve">Figure </w:t>
      </w:r>
      <w:fldSimple w:instr="SEQ Figure \* ARABIC ">
        <w:r>
          <w:t>76</w:t>
        </w:r>
      </w:fldSimple>
      <w:r>
        <w:t xml:space="preserve">:</w:t>
      </w:r>
      <w:r>
        <w:t xml:space="preserve"> </w:t>
      </w:r>
      <w:bookmarkEnd w:id="252"/>
      <w:r>
        <w:t xml:space="preserve">Figura 9.17: Porcentaje de ganancias en el departamento para la region Caribe</w:t>
      </w:r>
    </w:p>
    <w:p>
      <w:pPr>
        <w:pStyle w:val="CaptionedFigure"/>
      </w:pPr>
      <w:r>
        <w:drawing>
          <wp:inline>
            <wp:extent cx="4899258" cy="3532471"/>
            <wp:effectExtent b="0" l="0" r="0" t="0"/>
            <wp:docPr descr="Figura 9.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53"/>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54" w:name="fig77"/>
      <w:r>
        <w:t xml:space="preserve">Figure </w:t>
      </w:r>
      <w:fldSimple w:instr="SEQ Figure \* ARABIC ">
        <w:r>
          <w:t>77</w:t>
        </w:r>
      </w:fldSimple>
      <w:r>
        <w:t xml:space="preserve">:</w:t>
      </w:r>
      <w:r>
        <w:t xml:space="preserve"> </w:t>
      </w:r>
      <w:bookmarkEnd w:id="254"/>
      <w:r>
        <w:t xml:space="preserve">Figura 9.18: Tiempos de adquisición de recetarios en el departamento para la region Caribe</w:t>
      </w:r>
    </w:p>
    <w:p>
      <w:pPr>
        <w:numPr>
          <w:ilvl w:val="0"/>
          <w:numId w:val="1023"/>
        </w:numPr>
        <w:pStyle w:val="Compact"/>
      </w:pPr>
      <w:r>
        <w:t xml:space="preserve">ATLÁNTICO</w:t>
      </w:r>
    </w:p>
    <w:p>
      <w:pPr>
        <w:numPr>
          <w:ilvl w:val="0"/>
          <w:numId w:val="1023"/>
        </w:numPr>
        <w:pStyle w:val="Compact"/>
      </w:pPr>
      <w:r>
        <w:t xml:space="preserve">BOLÍVAR</w:t>
      </w:r>
    </w:p>
    <w:p>
      <w:pPr>
        <w:numPr>
          <w:ilvl w:val="0"/>
          <w:numId w:val="1023"/>
        </w:numPr>
        <w:pStyle w:val="Compact"/>
      </w:pPr>
      <w:r>
        <w:t xml:space="preserve">CESAR</w:t>
      </w:r>
    </w:p>
    <w:p>
      <w:pPr>
        <w:numPr>
          <w:ilvl w:val="0"/>
          <w:numId w:val="1023"/>
        </w:numPr>
        <w:pStyle w:val="Compact"/>
      </w:pPr>
      <w:r>
        <w:t xml:space="preserve">CÓRDOBA</w:t>
      </w:r>
    </w:p>
    <w:p>
      <w:pPr>
        <w:numPr>
          <w:ilvl w:val="0"/>
          <w:numId w:val="1023"/>
        </w:numPr>
        <w:pStyle w:val="Compact"/>
      </w:pPr>
      <w:r>
        <w:t xml:space="preserve">GUAJIRA</w:t>
      </w:r>
    </w:p>
    <w:p>
      <w:pPr>
        <w:numPr>
          <w:ilvl w:val="0"/>
          <w:numId w:val="1023"/>
        </w:numPr>
        <w:pStyle w:val="Compact"/>
      </w:pPr>
      <w:r>
        <w:t xml:space="preserve">MAGDALENA</w:t>
      </w:r>
    </w:p>
    <w:p>
      <w:pPr>
        <w:numPr>
          <w:ilvl w:val="0"/>
          <w:numId w:val="1023"/>
        </w:numPr>
        <w:pStyle w:val="Compact"/>
      </w:pPr>
      <w:r>
        <w:t xml:space="preserve">SAN ANDRÉS Y PROVIDENCIA</w:t>
      </w:r>
    </w:p>
    <w:p>
      <w:pPr>
        <w:numPr>
          <w:ilvl w:val="0"/>
          <w:numId w:val="1023"/>
        </w:numPr>
        <w:pStyle w:val="Compact"/>
      </w:pPr>
      <w:r>
        <w:t xml:space="preserve">SUCRE</w:t>
      </w:r>
    </w:p>
    <w:bookmarkEnd w:id="255"/>
    <w:bookmarkStart w:id="260" w:name="región-orinoquía"/>
    <w:p>
      <w:pPr>
        <w:pStyle w:val="Heading2"/>
      </w:pPr>
      <w:r>
        <w:rPr>
          <w:rStyle w:val="SectionNumber"/>
        </w:rPr>
        <w:t xml:space="preserve">9.4</w:t>
      </w:r>
      <w:r>
        <w:tab/>
      </w:r>
      <w:r>
        <w:t xml:space="preserve">Región Orinoquía</w:t>
      </w:r>
    </w:p>
    <w:p>
      <w:pPr>
        <w:pStyle w:val="CaptionedFigure"/>
      </w:pPr>
      <w:r>
        <w:drawing>
          <wp:inline>
            <wp:extent cx="4764505" cy="3311090"/>
            <wp:effectExtent b="0" l="0" r="0" t="0"/>
            <wp:docPr descr="Figura 9.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56"/>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57" w:name="fig78"/>
      <w:r>
        <w:t xml:space="preserve">Figure </w:t>
      </w:r>
      <w:fldSimple w:instr="SEQ Figure \* ARABIC ">
        <w:r>
          <w:t>78</w:t>
        </w:r>
      </w:fldSimple>
      <w:r>
        <w:t xml:space="preserve">:</w:t>
      </w:r>
      <w:r>
        <w:t xml:space="preserve"> </w:t>
      </w:r>
      <w:bookmarkEnd w:id="257"/>
      <w:r>
        <w:t xml:space="preserve">Figura 9.19: Porcentaje de ganancias en el departamento para la region Orinoquía</w:t>
      </w:r>
    </w:p>
    <w:p>
      <w:pPr>
        <w:pStyle w:val="CaptionedFigure"/>
      </w:pPr>
      <w:r>
        <w:drawing>
          <wp:inline>
            <wp:extent cx="4899258" cy="3532471"/>
            <wp:effectExtent b="0" l="0" r="0" t="0"/>
            <wp:docPr descr="Figura 9.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58"/>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59" w:name="fig79"/>
      <w:r>
        <w:t xml:space="preserve">Figure </w:t>
      </w:r>
      <w:fldSimple w:instr="SEQ Figure \* ARABIC ">
        <w:r>
          <w:t>79</w:t>
        </w:r>
      </w:fldSimple>
      <w:r>
        <w:t xml:space="preserve">:</w:t>
      </w:r>
      <w:r>
        <w:t xml:space="preserve"> </w:t>
      </w:r>
      <w:bookmarkEnd w:id="259"/>
      <w:r>
        <w:t xml:space="preserve">Figura 9.20: Tiempos de adquisición de recetarios en el departamento para la region Orinoquía</w:t>
      </w:r>
    </w:p>
    <w:p>
      <w:pPr>
        <w:numPr>
          <w:ilvl w:val="0"/>
          <w:numId w:val="1024"/>
        </w:numPr>
        <w:pStyle w:val="Compact"/>
      </w:pPr>
      <w:r>
        <w:t xml:space="preserve">CASANARE</w:t>
      </w:r>
    </w:p>
    <w:p>
      <w:pPr>
        <w:numPr>
          <w:ilvl w:val="0"/>
          <w:numId w:val="1024"/>
        </w:numPr>
        <w:pStyle w:val="Compact"/>
      </w:pPr>
      <w:r>
        <w:t xml:space="preserve">META</w:t>
      </w:r>
    </w:p>
    <w:p>
      <w:pPr>
        <w:numPr>
          <w:ilvl w:val="0"/>
          <w:numId w:val="1024"/>
        </w:numPr>
        <w:pStyle w:val="Compact"/>
      </w:pPr>
      <w:r>
        <w:t xml:space="preserve">ARAUCA</w:t>
      </w:r>
    </w:p>
    <w:p>
      <w:pPr>
        <w:numPr>
          <w:ilvl w:val="0"/>
          <w:numId w:val="1024"/>
        </w:numPr>
        <w:pStyle w:val="Compact"/>
      </w:pPr>
      <w:r>
        <w:t xml:space="preserve">VICHADA</w:t>
      </w:r>
    </w:p>
    <w:bookmarkEnd w:id="260"/>
    <w:bookmarkStart w:id="265" w:name="región-pacífica"/>
    <w:p>
      <w:pPr>
        <w:pStyle w:val="Heading2"/>
      </w:pPr>
      <w:r>
        <w:rPr>
          <w:rStyle w:val="SectionNumber"/>
        </w:rPr>
        <w:t xml:space="preserve">9.5</w:t>
      </w:r>
      <w:r>
        <w:tab/>
      </w:r>
      <w:r>
        <w:t xml:space="preserve">Región Pacífica</w:t>
      </w:r>
    </w:p>
    <w:p>
      <w:pPr>
        <w:pStyle w:val="CaptionedFigure"/>
      </w:pPr>
      <w:r>
        <w:drawing>
          <wp:inline>
            <wp:extent cx="4793381" cy="3311090"/>
            <wp:effectExtent b="0" l="0" r="0" t="0"/>
            <wp:docPr descr="Figura 9.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61"/>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62" w:name="fig80"/>
      <w:r>
        <w:t xml:space="preserve">Figure </w:t>
      </w:r>
      <w:fldSimple w:instr="SEQ Figure \* ARABIC ">
        <w:r>
          <w:t>80</w:t>
        </w:r>
      </w:fldSimple>
      <w:r>
        <w:t xml:space="preserve">:</w:t>
      </w:r>
      <w:r>
        <w:t xml:space="preserve"> </w:t>
      </w:r>
      <w:bookmarkEnd w:id="262"/>
      <w:r>
        <w:t xml:space="preserve">Figura 9.21: Porcentaje de ganancias en el departamento para la region Pacífica</w:t>
      </w:r>
    </w:p>
    <w:p>
      <w:pPr>
        <w:pStyle w:val="CaptionedFigure"/>
      </w:pPr>
      <w:r>
        <w:drawing>
          <wp:inline>
            <wp:extent cx="4937760" cy="3532471"/>
            <wp:effectExtent b="0" l="0" r="0" t="0"/>
            <wp:docPr descr="Figura 9.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63"/>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64" w:name="fig81"/>
      <w:r>
        <w:t xml:space="preserve">Figure </w:t>
      </w:r>
      <w:fldSimple w:instr="SEQ Figure \* ARABIC ">
        <w:r>
          <w:t>81</w:t>
        </w:r>
      </w:fldSimple>
      <w:r>
        <w:t xml:space="preserve">:</w:t>
      </w:r>
      <w:r>
        <w:t xml:space="preserve"> </w:t>
      </w:r>
      <w:bookmarkEnd w:id="264"/>
      <w:r>
        <w:t xml:space="preserve">Figura 9.22: Tiempos de adquisición de recetarios en el departamento para la region Pacífica</w:t>
      </w:r>
    </w:p>
    <w:p>
      <w:pPr>
        <w:numPr>
          <w:ilvl w:val="0"/>
          <w:numId w:val="1025"/>
        </w:numPr>
        <w:pStyle w:val="Compact"/>
      </w:pPr>
      <w:r>
        <w:t xml:space="preserve">CAUCA</w:t>
      </w:r>
    </w:p>
    <w:p>
      <w:pPr>
        <w:numPr>
          <w:ilvl w:val="0"/>
          <w:numId w:val="1025"/>
        </w:numPr>
        <w:pStyle w:val="Compact"/>
      </w:pPr>
      <w:r>
        <w:t xml:space="preserve">CHOCÓ</w:t>
      </w:r>
    </w:p>
    <w:p>
      <w:pPr>
        <w:numPr>
          <w:ilvl w:val="0"/>
          <w:numId w:val="1025"/>
        </w:numPr>
        <w:pStyle w:val="Compact"/>
      </w:pPr>
      <w:r>
        <w:t xml:space="preserve">NARIÑO</w:t>
      </w:r>
    </w:p>
    <w:p>
      <w:pPr>
        <w:numPr>
          <w:ilvl w:val="0"/>
          <w:numId w:val="1025"/>
        </w:numPr>
        <w:pStyle w:val="Compact"/>
      </w:pPr>
      <w:r>
        <w:t xml:space="preserve">VALLE DEL CAUCA</w:t>
      </w:r>
    </w:p>
    <w:bookmarkEnd w:id="265"/>
    <w:bookmarkEnd w:id="266"/>
    <w:bookmarkStart w:id="267" w:name="lineamientos-y-recomendaciones-generales"/>
    <w:p>
      <w:pPr>
        <w:pStyle w:val="Heading1"/>
      </w:pPr>
      <w:r>
        <w:rPr>
          <w:rStyle w:val="SectionNumber"/>
        </w:rPr>
        <w:t xml:space="preserve">10</w:t>
      </w:r>
      <w:r>
        <w:tab/>
      </w:r>
      <w:r>
        <w:t xml:space="preserve">Lineamientos y Recomendaciones Generales</w:t>
      </w:r>
    </w:p>
    <w:bookmarkEnd w:id="267"/>
    <w:bookmarkStart w:id="268" w:name="glosario"/>
    <w:p>
      <w:pPr>
        <w:pStyle w:val="Heading1"/>
      </w:pPr>
      <w:r>
        <w:t xml:space="preserve">Glosario</w:t>
      </w:r>
    </w:p>
    <w:p>
      <w:pPr>
        <w:numPr>
          <w:ilvl w:val="0"/>
          <w:numId w:val="1026"/>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26"/>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26"/>
        </w:numPr>
      </w:pPr>
      <w:r>
        <w:rPr>
          <w:bCs/>
          <w:b/>
        </w:rPr>
        <w:t xml:space="preserve">Desabastecimiento</w:t>
      </w:r>
      <w:r>
        <w:t xml:space="preserve">: Se entiende como la nula disponibilidad de un medicamento en todo el territorio nacional.</w:t>
      </w:r>
    </w:p>
    <w:p>
      <w:pPr>
        <w:numPr>
          <w:ilvl w:val="0"/>
          <w:numId w:val="1026"/>
        </w:numPr>
      </w:pPr>
      <w:r>
        <w:rPr>
          <w:bCs/>
          <w:b/>
        </w:rPr>
        <w:t xml:space="preserve">Disponibilidad</w:t>
      </w:r>
      <w:r>
        <w:t xml:space="preserve">: Condición en la cual se cuentan con existencias del medicamento en el territorio nacional.</w:t>
      </w:r>
    </w:p>
    <w:p>
      <w:pPr>
        <w:numPr>
          <w:ilvl w:val="0"/>
          <w:numId w:val="1026"/>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26"/>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26"/>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26"/>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26"/>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26"/>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26"/>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26"/>
        </w:numPr>
      </w:pPr>
      <w:r>
        <w:rPr>
          <w:bCs/>
          <w:b/>
        </w:rPr>
        <w:t xml:space="preserve">Monopolio del Estado</w:t>
      </w:r>
      <w:r>
        <w:t xml:space="preserve">: Derecho poseído de exclusividad por el Estado.</w:t>
      </w:r>
    </w:p>
    <w:p>
      <w:pPr>
        <w:numPr>
          <w:ilvl w:val="0"/>
          <w:numId w:val="1026"/>
        </w:numPr>
      </w:pPr>
      <w:r>
        <w:rPr>
          <w:bCs/>
          <w:b/>
        </w:rPr>
        <w:t xml:space="preserve">Principio Activo</w:t>
      </w:r>
      <w:r>
        <w:t xml:space="preserve">: Compuesto o mezcla de compuestos que tienen acción farmacológica.</w:t>
      </w:r>
    </w:p>
    <w:p>
      <w:pPr>
        <w:numPr>
          <w:ilvl w:val="0"/>
          <w:numId w:val="1026"/>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26"/>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26"/>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26"/>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26"/>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26"/>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68"/>
    <w:bookmarkStart w:id="270" w:name="créditos"/>
    <w:p>
      <w:pPr>
        <w:pStyle w:val="Heading1"/>
      </w:pPr>
      <w:r>
        <w:t xml:space="preserve">Créditos</w:t>
      </w:r>
    </w:p>
    <w:bookmarkStart w:id="269"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69"/>
    <w:bookmarkEnd w:id="270"/>
    <w:bookmarkStart w:id="287" w:name="referencias"/>
    <w:p>
      <w:pPr>
        <w:pStyle w:val="Heading1"/>
      </w:pPr>
      <w:r>
        <w:t xml:space="preserve">Referencias</w:t>
      </w:r>
    </w:p>
    <w:bookmarkStart w:id="286" w:name="refs"/>
    <w:bookmarkStart w:id="271" w:name="ref-MSPS1479-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71"/>
    <w:bookmarkStart w:id="272" w:name="ref-CongresodelaRepublica1974"/>
    <w:p>
      <w:pPr>
        <w:pStyle w:val="Bibliography"/>
      </w:pPr>
      <w:r>
        <w:t xml:space="preserve">2.</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72"/>
    <w:bookmarkStart w:id="273" w:name="X9486f9f085ab4ce8af67cf8503137529dfa00a3"/>
    <w:p>
      <w:pPr>
        <w:pStyle w:val="Bibliography"/>
      </w:pPr>
      <w:r>
        <w:t xml:space="preserve">3.</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73"/>
    <w:bookmarkStart w:id="274" w:name="ref-MSPS1478-2006"/>
    <w:p>
      <w:pPr>
        <w:pStyle w:val="Bibliography"/>
      </w:pPr>
      <w:r>
        <w:t xml:space="preserve">4.</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74"/>
    <w:bookmarkStart w:id="275" w:name="ref-DANE2021"/>
    <w:p>
      <w:pPr>
        <w:pStyle w:val="Bibliography"/>
      </w:pPr>
      <w:r>
        <w:t xml:space="preserve">5.</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75"/>
    <w:bookmarkStart w:id="276" w:name="ref-MinisteriodeRelacionesExteriores2014"/>
    <w:p>
      <w:pPr>
        <w:pStyle w:val="Bibliography"/>
      </w:pPr>
      <w:r>
        <w:t xml:space="preserve">6.</w:t>
      </w:r>
      <w:r>
        <w:t xml:space="preserve"> </w:t>
      </w:r>
      <w:r>
        <w:t xml:space="preserve">	</w:t>
      </w:r>
      <w:r>
        <w:t xml:space="preserve">Ministerio de Relaciones Exteriores., Ministerio de Transporte.</w:t>
      </w:r>
      <w:r>
        <w:t xml:space="preserve"> </w:t>
      </w:r>
      <w:r>
        <w:t xml:space="preserve">R</w:t>
      </w:r>
      <w:r>
        <w:t xml:space="preserve">é</w:t>
      </w:r>
      <w:r>
        <w:t xml:space="preserve">gimen Contractual en Colombia</w:t>
      </w:r>
      <w:r>
        <w:t xml:space="preserve">. 1.ª edición. Colombia; 2014.</w:t>
      </w:r>
    </w:p>
    <w:bookmarkEnd w:id="276"/>
    <w:bookmarkStart w:id="277" w:name="ref-ColombiaCompraEficiente2019"/>
    <w:p>
      <w:pPr>
        <w:pStyle w:val="Bibliography"/>
      </w:pPr>
      <w:r>
        <w:t xml:space="preserve">7.</w:t>
      </w:r>
      <w:r>
        <w:t xml:space="preserve"> </w:t>
      </w:r>
      <w:r>
        <w:t xml:space="preserve">	</w:t>
      </w:r>
      <w:r>
        <w:t xml:space="preserve">Colombia Compra Eficiente.</w:t>
      </w:r>
      <w:r>
        <w:t xml:space="preserve"> </w:t>
      </w:r>
      <w:r>
        <w:t xml:space="preserve">Manual de la Modalidad de Selecci</w:t>
      </w:r>
      <w:r>
        <w:t xml:space="preserve">ó</w:t>
      </w:r>
      <w:r>
        <w:t xml:space="preserve">n de M</w:t>
      </w:r>
      <w:r>
        <w:t xml:space="preserve">í</w:t>
      </w:r>
      <w:r>
        <w:t xml:space="preserve">nima Cuant</w:t>
      </w:r>
      <w:r>
        <w:t xml:space="preserve">í</w:t>
      </w:r>
      <w:r>
        <w:t xml:space="preserve">a</w:t>
      </w:r>
      <w:r>
        <w:t xml:space="preserve">. 1.ª edición. Bogot</w:t>
      </w:r>
      <w:r>
        <w:t xml:space="preserve">á</w:t>
      </w:r>
      <w:r>
        <w:t xml:space="preserve">, Colombia; 2019.</w:t>
      </w:r>
    </w:p>
    <w:bookmarkEnd w:id="277"/>
    <w:bookmarkStart w:id="278" w:name="ref-FNE2015-9"/>
    <w:p>
      <w:pPr>
        <w:pStyle w:val="Bibliography"/>
      </w:pPr>
      <w:r>
        <w:t xml:space="preserve">8.</w:t>
      </w:r>
      <w:r>
        <w:t xml:space="preserve"> </w:t>
      </w:r>
      <w:r>
        <w:t xml:space="preserve">	</w:t>
      </w:r>
      <w:r>
        <w:t xml:space="preserve">Fondo Nacional de Estupefacientes.</w:t>
      </w:r>
      <w:r>
        <w:t xml:space="preserve"> </w:t>
      </w:r>
      <w:r>
        <w:t xml:space="preserve">Circular Externa 009 de 2015. Conservaci</w:t>
      </w:r>
      <w:r>
        <w:t xml:space="preserve">ó</w:t>
      </w:r>
      <w:r>
        <w:t xml:space="preserve">n de copias del recetario oficial.</w:t>
      </w:r>
      <w:r>
        <w:t xml:space="preserve"> 2015.</w:t>
      </w:r>
    </w:p>
    <w:bookmarkEnd w:id="278"/>
    <w:bookmarkStart w:id="279" w:name="X4242f5a7e44b24d61e2675796eed085a7e5e2cf"/>
    <w:p>
      <w:pPr>
        <w:pStyle w:val="Bibliography"/>
      </w:pPr>
      <w:r>
        <w:t xml:space="preserve">9.</w:t>
      </w:r>
      <w:r>
        <w:t xml:space="preserve"> </w:t>
      </w:r>
      <w:r>
        <w:t xml:space="preserve">	</w:t>
      </w:r>
      <w:r>
        <w:t xml:space="preserve">Presidencia de la República de Colombia.</w:t>
      </w:r>
      <w:r>
        <w:t xml:space="preserve"> </w:t>
      </w:r>
      <w:r>
        <w:t xml:space="preserve">Decreto 2578 de 2012. Por el cual se reglamenta el Sistema Nacional de Archivos, se establece la Red Nacional de Archivos, se deroga el Decreto n</w:t>
      </w:r>
      <w:r>
        <w:t xml:space="preserve">ú</w:t>
      </w:r>
      <w:r>
        <w:t xml:space="preserve">mero 4124 de 2004 y se dictan otras disposiciones relativas a la administraci</w:t>
      </w:r>
      <w:r>
        <w:t xml:space="preserve">ó</w:t>
      </w:r>
      <w:r>
        <w:t xml:space="preserve">n de los archivos del Estado.</w:t>
      </w:r>
      <w:r>
        <w:t xml:space="preserve"> 2012.</w:t>
      </w:r>
    </w:p>
    <w:bookmarkEnd w:id="279"/>
    <w:bookmarkStart w:id="280" w:name="ref-CongresodelaRepublicadeColombia1993"/>
    <w:p>
      <w:pPr>
        <w:pStyle w:val="Bibliography"/>
      </w:pPr>
      <w:r>
        <w:t xml:space="preserve">10.</w:t>
      </w:r>
      <w:r>
        <w:t xml:space="preserve"> </w:t>
      </w:r>
      <w:r>
        <w:t xml:space="preserve">	</w:t>
      </w:r>
      <w:r>
        <w:t xml:space="preserve">Congreso de la República de Colombia.</w:t>
      </w:r>
      <w:r>
        <w:t xml:space="preserve"> </w:t>
      </w:r>
      <w:r>
        <w:t xml:space="preserve">Ley 80 de 1993: Por la cual se expide el Estatuto General de Contrataci</w:t>
      </w:r>
      <w:r>
        <w:t xml:space="preserve">ó</w:t>
      </w:r>
      <w:r>
        <w:t xml:space="preserve">n de la Administraci</w:t>
      </w:r>
      <w:r>
        <w:t xml:space="preserve">ó</w:t>
      </w:r>
      <w:r>
        <w:t xml:space="preserve">n P</w:t>
      </w:r>
      <w:r>
        <w:t xml:space="preserve">ú</w:t>
      </w:r>
      <w:r>
        <w:t xml:space="preserve">blica</w:t>
      </w:r>
      <w:r>
        <w:t xml:space="preserve">. 1993.</w:t>
      </w:r>
    </w:p>
    <w:bookmarkEnd w:id="280"/>
    <w:bookmarkStart w:id="281" w:name="ref-CongresodelaRepublicadeColombia2007"/>
    <w:p>
      <w:pPr>
        <w:pStyle w:val="Bibliography"/>
      </w:pPr>
      <w:r>
        <w:t xml:space="preserve">11.</w:t>
      </w:r>
      <w:r>
        <w:t xml:space="preserve"> </w:t>
      </w:r>
      <w:r>
        <w:t xml:space="preserve">	</w:t>
      </w:r>
      <w:r>
        <w:t xml:space="preserve">Congreso de la República de Colombia.</w:t>
      </w:r>
      <w:r>
        <w:t xml:space="preserve"> </w:t>
      </w:r>
      <w:r>
        <w:t xml:space="preserve">Ley 1150 de 2007: Por medio de la cual se introducen medidas para la eficiencia y la transparencia en la Ley 80 de 1993 y se dictan otras disposiciones generales sobre la contrataci</w:t>
      </w:r>
      <w:r>
        <w:t xml:space="preserve">ó</w:t>
      </w:r>
      <w:r>
        <w:t xml:space="preserve">n con Recursos P</w:t>
      </w:r>
      <w:r>
        <w:t xml:space="preserve">ú</w:t>
      </w:r>
      <w:r>
        <w:t xml:space="preserve">blicos.</w:t>
      </w:r>
      <w:r>
        <w:t xml:space="preserve"> 2007.</w:t>
      </w:r>
    </w:p>
    <w:bookmarkEnd w:id="281"/>
    <w:bookmarkStart w:id="282" w:name="ref-FNE005-2019"/>
    <w:p>
      <w:pPr>
        <w:pStyle w:val="Bibliography"/>
      </w:pPr>
      <w:r>
        <w:t xml:space="preserve">12.</w:t>
      </w:r>
      <w:r>
        <w:t xml:space="preserve"> </w:t>
      </w:r>
      <w:r>
        <w:t xml:space="preserve">	</w:t>
      </w:r>
      <w:r>
        <w:t xml:space="preserve">Fondo Nacional de Estupefacientes.</w:t>
      </w:r>
      <w:r>
        <w:t xml:space="preserve"> </w:t>
      </w:r>
      <w:r>
        <w:t xml:space="preserve">Circular Externa 009 del 2019. Compra de Medicamentos Monopolio del Estado a trav</w:t>
      </w:r>
      <w:r>
        <w:t xml:space="preserve">é</w:t>
      </w:r>
      <w:r>
        <w:t xml:space="preserve">s de la Tienda Virtual del Estado Colombiano con el Instrumento de Agregaci</w:t>
      </w:r>
      <w:r>
        <w:t xml:space="preserve">ó</w:t>
      </w:r>
      <w:r>
        <w:t xml:space="preserve">n de Demanda</w:t>
      </w:r>
      <w:r>
        <w:t xml:space="preserve">. 2019.</w:t>
      </w:r>
    </w:p>
    <w:bookmarkEnd w:id="282"/>
    <w:bookmarkStart w:id="283" w:name="ref-Silver2017"/>
    <w:p>
      <w:pPr>
        <w:pStyle w:val="Bibliography"/>
      </w:pPr>
      <w:r>
        <w:t xml:space="preserve">13.</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83"/>
    <w:bookmarkStart w:id="284" w:name="X4e956815ca1199d73a39485c932e7d8485463a0"/>
    <w:p>
      <w:pPr>
        <w:pStyle w:val="Bibliography"/>
      </w:pPr>
      <w:r>
        <w:t xml:space="preserve">14.</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84"/>
    <w:bookmarkStart w:id="285" w:name="ref-HernandezVera2017"/>
    <w:p>
      <w:pPr>
        <w:pStyle w:val="Bibliography"/>
      </w:pPr>
      <w:r>
        <w:t xml:space="preserve">15.</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85"/>
    <w:bookmarkEnd w:id="286"/>
    <w:bookmarkEnd w:id="2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0" Target="media/rId190.png" /><Relationship Type="http://schemas.openxmlformats.org/officeDocument/2006/relationships/image" Id="rId85" Target="media/rId85.png" /><Relationship Type="http://schemas.openxmlformats.org/officeDocument/2006/relationships/image" Id="rId150" Target="media/rId150.png" /><Relationship Type="http://schemas.openxmlformats.org/officeDocument/2006/relationships/image" Id="rId152" Target="media/rId152.png" /><Relationship Type="http://schemas.openxmlformats.org/officeDocument/2006/relationships/image" Id="rId119" Target="media/rId119.png" /><Relationship Type="http://schemas.openxmlformats.org/officeDocument/2006/relationships/image" Id="rId100" Target="media/rId100.png" /><Relationship Type="http://schemas.openxmlformats.org/officeDocument/2006/relationships/image" Id="rId170" Target="media/rId170.png" /><Relationship Type="http://schemas.openxmlformats.org/officeDocument/2006/relationships/image" Id="rId181" Target="media/rId181.png" /><Relationship Type="http://schemas.openxmlformats.org/officeDocument/2006/relationships/image" Id="rId61" Target="media/rId61.png" /><Relationship Type="http://schemas.openxmlformats.org/officeDocument/2006/relationships/image" Id="rId172" Target="media/rId172.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04" Target="media/rId104.png" /><Relationship Type="http://schemas.openxmlformats.org/officeDocument/2006/relationships/image" Id="rId122" Target="media/rId122.png" /><Relationship Type="http://schemas.openxmlformats.org/officeDocument/2006/relationships/image" Id="rId147" Target="media/rId14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93" Target="media/rId193.png" /><Relationship Type="http://schemas.openxmlformats.org/officeDocument/2006/relationships/image" Id="rId179" Target="media/rId179.png" /><Relationship Type="http://schemas.openxmlformats.org/officeDocument/2006/relationships/image" Id="rId110" Target="media/rId110.png" /><Relationship Type="http://schemas.openxmlformats.org/officeDocument/2006/relationships/image" Id="rId192" Target="media/rId192.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196" Target="media/rId196.png" /><Relationship Type="http://schemas.openxmlformats.org/officeDocument/2006/relationships/image" Id="rId92" Target="media/rId92.png" /><Relationship Type="http://schemas.openxmlformats.org/officeDocument/2006/relationships/image" Id="rId137" Target="media/rId137.png" /><Relationship Type="http://schemas.openxmlformats.org/officeDocument/2006/relationships/image" Id="rId98" Target="media/rId98.png" /><Relationship Type="http://schemas.openxmlformats.org/officeDocument/2006/relationships/image" Id="rId168" Target="media/rId168.png" /><Relationship Type="http://schemas.openxmlformats.org/officeDocument/2006/relationships/image" Id="rId142" Target="media/rId142.png" /><Relationship Type="http://schemas.openxmlformats.org/officeDocument/2006/relationships/image" Id="rId176" Target="media/rId176.png" /><Relationship Type="http://schemas.openxmlformats.org/officeDocument/2006/relationships/image" Id="rId64" Target="media/rId64.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89" Target="media/rId189.png" /><Relationship Type="http://schemas.openxmlformats.org/officeDocument/2006/relationships/image" Id="rId77" Target="media/rId77.png" /><Relationship Type="http://schemas.openxmlformats.org/officeDocument/2006/relationships/image" Id="rId174" Target="media/rId174.png" /><Relationship Type="http://schemas.openxmlformats.org/officeDocument/2006/relationships/image" Id="rId191" Target="media/rId191.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185" Target="media/rId185.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0" Target="media/rId130.png" /><Relationship Type="http://schemas.openxmlformats.org/officeDocument/2006/relationships/image" Id="rId116" Target="media/rId116.png" /><Relationship Type="http://schemas.openxmlformats.org/officeDocument/2006/relationships/image" Id="rId155" Target="media/rId155.png" /><Relationship Type="http://schemas.openxmlformats.org/officeDocument/2006/relationships/image" Id="rId134" Target="media/rId134.png" /><Relationship Type="http://schemas.openxmlformats.org/officeDocument/2006/relationships/image" Id="rId161" Target="media/rId161.png" /><Relationship Type="http://schemas.openxmlformats.org/officeDocument/2006/relationships/image" Id="rId58" Target="media/rId58.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95" Target="media/rId95.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68" Target="media/rId6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200" Target="media/rId200.jpg" /><Relationship Type="http://schemas.openxmlformats.org/officeDocument/2006/relationships/image" Id="rId224" Target="media/rId224.jpg" /><Relationship Type="http://schemas.openxmlformats.org/officeDocument/2006/relationships/image" Id="rId226" Target="media/rId226.png" /><Relationship Type="http://schemas.openxmlformats.org/officeDocument/2006/relationships/image" Id="rId228" Target="media/rId228.png" /><Relationship Type="http://schemas.openxmlformats.org/officeDocument/2006/relationships/image" Id="rId230" Target="media/rId230.png" /><Relationship Type="http://schemas.openxmlformats.org/officeDocument/2006/relationships/image" Id="rId232" Target="media/rId232.png" /><Relationship Type="http://schemas.openxmlformats.org/officeDocument/2006/relationships/image" Id="rId202" Target="media/rId202.png" /><Relationship Type="http://schemas.openxmlformats.org/officeDocument/2006/relationships/image" Id="rId237" Target="media/rId237.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51" Target="media/rId251.png" /><Relationship Type="http://schemas.openxmlformats.org/officeDocument/2006/relationships/image" Id="rId253" Target="media/rId253.png" /><Relationship Type="http://schemas.openxmlformats.org/officeDocument/2006/relationships/image" Id="rId204" Target="media/rId204.png" /><Relationship Type="http://schemas.openxmlformats.org/officeDocument/2006/relationships/image" Id="rId256" Target="media/rId256.png" /><Relationship Type="http://schemas.openxmlformats.org/officeDocument/2006/relationships/image" Id="rId258" Target="media/rId258.png" /><Relationship Type="http://schemas.openxmlformats.org/officeDocument/2006/relationships/image" Id="rId206" Target="media/rId206.png" /><Relationship Type="http://schemas.openxmlformats.org/officeDocument/2006/relationships/image" Id="rId261" Target="media/rId261.png" /><Relationship Type="http://schemas.openxmlformats.org/officeDocument/2006/relationships/image" Id="rId263" Target="media/rId263.png" /><Relationship Type="http://schemas.openxmlformats.org/officeDocument/2006/relationships/image" Id="rId211" Target="media/rId211.png" /><Relationship Type="http://schemas.openxmlformats.org/officeDocument/2006/relationships/image" Id="rId213" Target="media/rId213.png" /><Relationship Type="http://schemas.openxmlformats.org/officeDocument/2006/relationships/image" Id="rId220" Target="media/rId220.png" /><Relationship Type="http://schemas.openxmlformats.org/officeDocument/2006/relationships/image" Id="rId70" Target="media/rId70.jp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2021-10-07T03:52:45Z</dcterms:created>
  <dcterms:modified xsi:type="dcterms:W3CDTF">2021-10-07T03:52:45Z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