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7.png" ContentType="image/png"/>
  <Override PartName="/word/media/rId71.png" ContentType="image/png"/>
  <Override PartName="/word/media/rId135.png" ContentType="image/png"/>
  <Override PartName="/word/media/rId137.png" ContentType="image/png"/>
  <Override PartName="/word/media/rId121.png" ContentType="image/png"/>
  <Override PartName="/word/media/rId78.png" ContentType="image/png"/>
  <Override PartName="/word/media/rId99.png" ContentType="image/png"/>
  <Override PartName="/word/media/rId164.png" ContentType="image/png"/>
  <Override PartName="/word/media/rId101.png" ContentType="image/png"/>
  <Override PartName="/word/media/rId113.png" ContentType="image/png"/>
  <Override PartName="/word/media/rId115.png" ContentType="image/png"/>
  <Override PartName="/word/media/rId91.png" ContentType="image/png"/>
  <Override PartName="/word/media/rId123.png" ContentType="image/png"/>
  <Override PartName="/word/media/rId152.png" ContentType="image/png"/>
  <Override PartName="/word/media/rId154.png" ContentType="image/png"/>
  <Override PartName="/word/media/rId142.png" ContentType="image/png"/>
  <Override PartName="/word/media/rId146.png" ContentType="image/png"/>
  <Override PartName="/word/media/rId125.png" ContentType="image/png"/>
  <Override PartName="/word/media/rId170.png" ContentType="image/png"/>
  <Override PartName="/word/media/rId162.png" ContentType="image/png"/>
  <Override PartName="/word/media/rId107.png" ContentType="image/png"/>
  <Override PartName="/word/media/rId109.png" ContentType="image/png"/>
  <Override PartName="/word/media/rId169.png" ContentType="image/png"/>
  <Override PartName="/word/media/rId171.png" ContentType="image/png"/>
  <Override PartName="/word/media/rId172.png" ContentType="image/png"/>
  <Override PartName="/word/media/rId88.png" ContentType="image/png"/>
  <Override PartName="/word/media/rId45.png" ContentType="image/png"/>
  <Override PartName="/word/media/rId46.png" ContentType="image/png"/>
  <Override PartName="/word/media/rId173.png" ContentType="image/png"/>
  <Override PartName="/word/media/rId86.png" ContentType="image/png"/>
  <Override PartName="/word/media/rId140.png" ContentType="image/png"/>
  <Override PartName="/word/media/rId76.png" ContentType="image/png"/>
  <Override PartName="/word/media/rId97.png" ContentType="image/png"/>
  <Override PartName="/word/media/rId144.png" ContentType="image/png"/>
  <Override PartName="/word/media/rId105.png" ContentType="image/png"/>
  <Override PartName="/word/media/rId64.png" ContentType="image/png"/>
  <Override PartName="/word/media/rId148.png" ContentType="image/png"/>
  <Override PartName="/word/media/rId111.png" ContentType="image/png"/>
  <Override PartName="/word/media/rId158.png" ContentType="image/png"/>
  <Override PartName="/word/media/rId166.png" ContentType="image/png"/>
  <Override PartName="/word/media/rId80.png" ContentType="image/png"/>
  <Override PartName="/word/media/rId103.png" ContentType="image/png"/>
  <Override PartName="/word/media/rId168.png" ContentType="image/png"/>
  <Override PartName="/word/media/rId73.png" ContentType="image/png"/>
  <Override PartName="/word/media/rId156.png" ContentType="image/png"/>
  <Override PartName="/word/media/rId84.png" ContentType="image/png"/>
  <Override PartName="/word/media/rId82.png" ContentType="image/png"/>
  <Override PartName="/word/media/rId93.png" ContentType="image/png"/>
  <Override PartName="/word/media/rId165.png" ContentType="image/png"/>
  <Override PartName="/word/media/rId128.png" ContentType="image/png"/>
  <Override PartName="/word/media/rId130.png" ContentType="image/png"/>
  <Override PartName="/word/media/rId117.png" ContentType="image/png"/>
  <Override PartName="/word/media/rId119.png" ContentType="image/png"/>
  <Override PartName="/word/media/rId150.png" ContentType="image/png"/>
  <Override PartName="/word/media/rId132.png" ContentType="image/png"/>
  <Override PartName="/word/media/rId60.png" ContentType="image/png"/>
  <Override PartName="/word/media/rId62.png" ContentType="image/png"/>
  <Override PartName="/word/media/rId58.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7.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24.png" ContentType="image/png"/>
  <Override PartName="/word/media/rId69.png" ContentType="image/png"/>
  <Override PartName="/word/media/rId177.jpg" ContentType="image/jpeg"/>
  <Override PartName="/word/media/rId201.jpg" ContentType="image/jpeg"/>
  <Override PartName="/word/media/rId203.png" ContentType="image/png"/>
  <Override PartName="/word/media/rId205.png" ContentType="image/png"/>
  <Override PartName="/word/media/rId207.png" ContentType="image/png"/>
  <Override PartName="/word/media/rId209.png" ContentType="image/png"/>
  <Override PartName="/word/media/rId179.png" ContentType="image/png"/>
  <Override PartName="/word/media/rId214.png" ContentType="image/png"/>
  <Override PartName="/word/media/rId217.png" ContentType="image/png"/>
  <Override PartName="/word/media/rId220.png" ContentType="image/png"/>
  <Override PartName="/word/media/rId223.png" ContentType="image/png"/>
  <Override PartName="/word/media/rId228.png" ContentType="image/png"/>
  <Override PartName="/word/media/rId230.png" ContentType="image/png"/>
  <Override PartName="/word/media/rId181.png" ContentType="image/png"/>
  <Override PartName="/word/media/rId233.png" ContentType="image/png"/>
  <Override PartName="/word/media/rId235.png" ContentType="image/png"/>
  <Override PartName="/word/media/rId183.png" ContentType="image/png"/>
  <Override PartName="/word/media/rId238.png" ContentType="image/png"/>
  <Override PartName="/word/media/rId240.png" ContentType="image/png"/>
  <Override PartName="/word/media/rId188.png" ContentType="image/png"/>
  <Override PartName="/word/media/rId190.png" ContentType="image/png"/>
  <Override PartName="/word/media/rId1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4620126" cy="3696101"/>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los FRE (encargado y apoyos)"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los FRE (encargado y apoyos)</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6" w:name="recetarios-oficiales"/>
    <w:p>
      <w:pPr>
        <w:pStyle w:val="Heading1"/>
      </w:pPr>
      <w:r>
        <w:rPr>
          <w:rStyle w:val="SectionNumber"/>
        </w:rPr>
        <w:t xml:space="preserve">5</w:t>
      </w:r>
      <w:r>
        <w:tab/>
      </w:r>
      <w:r>
        <w:t xml:space="preserve">Recetarios oficiales</w:t>
      </w:r>
    </w:p>
    <w:bookmarkStart w:id="57"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bookmarkEnd w:id="57"/>
    <w:bookmarkStart w:id="66"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Comparativo de costo vs precio de recetarios por departamento</w:t>
      </w:r>
    </w:p>
    <w:p>
      <w:pPr>
        <w:pStyle w:val="CaptionedFigure"/>
      </w:pPr>
      <w:r>
        <w:drawing>
          <wp:inline>
            <wp:extent cx="5334000" cy="4000500"/>
            <wp:effectExtent b="0" l="0" r="0" t="0"/>
            <wp:docPr descr="Figura 5.6: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1" w:name="fig15"/>
      <w:r>
        <w:t xml:space="preserve">Figure </w:t>
      </w:r>
      <w:fldSimple w:instr="SEQ Figure \* ARABIC ">
        <w:r>
          <w:t>15</w:t>
        </w:r>
      </w:fldSimple>
      <w:r>
        <w:t xml:space="preserve">:</w:t>
      </w:r>
      <w:r>
        <w:t xml:space="preserve"> </w:t>
      </w:r>
      <w:bookmarkEnd w:id="61"/>
      <w:r>
        <w:t xml:space="preserve">Figura 5.6: Comparativo de costo vs precio y márgen de beneficio</w:t>
      </w:r>
    </w:p>
    <w:p>
      <w:pPr>
        <w:pStyle w:val="CaptionedFigure"/>
      </w:pPr>
      <w:r>
        <w:drawing>
          <wp:inline>
            <wp:extent cx="5334000" cy="2667000"/>
            <wp:effectExtent b="0" l="0" r="0" t="0"/>
            <wp:docPr descr="Figura 5.7: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6"/>
      <w:r>
        <w:t xml:space="preserve">Figure </w:t>
      </w:r>
      <w:fldSimple w:instr="SEQ Figure \* ARABIC ">
        <w:r>
          <w:t>16</w:t>
        </w:r>
      </w:fldSimple>
      <w:r>
        <w:t xml:space="preserve">:</w:t>
      </w:r>
      <w:r>
        <w:t xml:space="preserve"> </w:t>
      </w:r>
      <w:bookmarkEnd w:id="63"/>
      <w:r>
        <w:t xml:space="preserve">Figura 5.7: Comparativo de costo vs precio y márgen de beneficio (2)</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7"/>
      <w:r>
        <w:t xml:space="preserve">Figure </w:t>
      </w:r>
      <w:fldSimple w:instr="SEQ Figure \* ARABIC ">
        <w:r>
          <w:t>17</w:t>
        </w:r>
      </w:fldSimple>
      <w:r>
        <w:t xml:space="preserve">:</w:t>
      </w:r>
      <w:r>
        <w:t xml:space="preserve"> </w:t>
      </w:r>
      <w:bookmarkEnd w:id="65"/>
      <w:r>
        <w:t xml:space="preserve">Figura 5.8: Precio de venta de recetario por prescripción</w:t>
      </w:r>
    </w:p>
    <w:bookmarkEnd w:id="66"/>
    <w:bookmarkStart w:id="75"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8" w:name="fig18"/>
      <w:r>
        <w:t xml:space="preserve">Figure </w:t>
      </w:r>
      <w:fldSimple w:instr="SEQ Figure \* ARABIC ">
        <w:r>
          <w:t>18</w:t>
        </w:r>
      </w:fldSimple>
      <w:r>
        <w:t xml:space="preserve">:</w:t>
      </w:r>
      <w:r>
        <w:t xml:space="preserve"> </w:t>
      </w:r>
      <w:bookmarkEnd w:id="68"/>
      <w:r>
        <w:t xml:space="preserve">Figura 5.9: Modalidad de selección para contratos de adquisición de recetarios</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9"/>
      <w:r>
        <w:t xml:space="preserve">Figure </w:t>
      </w:r>
      <w:fldSimple w:instr="SEQ Figure \* ARABIC ">
        <w:r>
          <w:t>19</w:t>
        </w:r>
      </w:fldSimple>
      <w:r>
        <w:t xml:space="preserve">:</w:t>
      </w:r>
      <w:r>
        <w:t xml:space="preserve"> </w:t>
      </w:r>
      <w:bookmarkEnd w:id="70"/>
      <w:r>
        <w:t xml:space="preserve">Figura 5.10: Tiempo de demora para adquisición de recetarios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2" w:name="fig20"/>
      <w:r>
        <w:t xml:space="preserve">Figure </w:t>
      </w:r>
      <w:fldSimple w:instr="SEQ Figure \* ARABIC ">
        <w:r>
          <w:t>20</w:t>
        </w:r>
      </w:fldSimple>
      <w:r>
        <w:t xml:space="preserve">:</w:t>
      </w:r>
      <w:r>
        <w:t xml:space="preserve"> </w:t>
      </w:r>
      <w:bookmarkEnd w:id="72"/>
      <w:r>
        <w:t xml:space="preserve">Figura 5.11: Proporción de FRE que diligencian campos en BD de venta de recetarios</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21"/>
      <w:r>
        <w:t xml:space="preserve">Figure </w:t>
      </w:r>
      <w:fldSimple w:instr="SEQ Figure \* ARABIC ">
        <w:r>
          <w:t>21</w:t>
        </w:r>
      </w:fldSimple>
      <w:r>
        <w:t xml:space="preserve">:</w:t>
      </w:r>
      <w:r>
        <w:t xml:space="preserve"> </w:t>
      </w:r>
      <w:bookmarkEnd w:id="74"/>
      <w:r>
        <w:t xml:space="preserve">Figura 5.12: Actividades realizadas por el FRE para el seguimiento del uso de recetarios</w:t>
      </w:r>
    </w:p>
    <w:bookmarkEnd w:id="75"/>
    <w:bookmarkStart w:id="90"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7" w:name="fig22"/>
      <w:r>
        <w:t xml:space="preserve">Figure </w:t>
      </w:r>
      <w:fldSimple w:instr="SEQ Figure \* ARABIC ">
        <w:r>
          <w:t>22</w:t>
        </w:r>
      </w:fldSimple>
      <w:r>
        <w:t xml:space="preserve">:</w:t>
      </w:r>
      <w:r>
        <w:t xml:space="preserve"> </w:t>
      </w:r>
      <w:bookmarkEnd w:id="77"/>
      <w:r>
        <w:t xml:space="preserve">Figura 5.13: Medidas de seguridad en los recetarios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9" w:name="fig23"/>
      <w:r>
        <w:t xml:space="preserve">Figure </w:t>
      </w:r>
      <w:fldSimple w:instr="SEQ Figure \* ARABIC ">
        <w:r>
          <w:t>23</w:t>
        </w:r>
      </w:fldSimple>
      <w:r>
        <w:t xml:space="preserve">:</w:t>
      </w:r>
      <w:r>
        <w:t xml:space="preserve"> </w:t>
      </w:r>
      <w:bookmarkEnd w:id="79"/>
      <w:r>
        <w:t xml:space="preserve">Figura 5.14: Comparativo de márgen de ganancia de recetarios</w:t>
      </w:r>
    </w:p>
    <w:p>
      <w:pPr>
        <w:pStyle w:val="CaptionedFigure"/>
      </w:pPr>
      <w:r>
        <w:drawing>
          <wp:inline>
            <wp:extent cx="5334000" cy="4445000"/>
            <wp:effectExtent b="0" l="0" r="0" t="0"/>
            <wp:docPr descr="Figura 5.15: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1" w:name="fig24"/>
      <w:r>
        <w:t xml:space="preserve">Figure </w:t>
      </w:r>
      <w:fldSimple w:instr="SEQ Figure \* ARABIC ">
        <w:r>
          <w:t>24</w:t>
        </w:r>
      </w:fldSimple>
      <w:r>
        <w:t xml:space="preserve">:</w:t>
      </w:r>
      <w:r>
        <w:t xml:space="preserve"> </w:t>
      </w:r>
      <w:bookmarkEnd w:id="81"/>
      <w:r>
        <w:t xml:space="preserve">Figura 5.15: Recibo de recetarios de instituciones inscritas</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3" w:name="fig25"/>
      <w:r>
        <w:t xml:space="preserve">Figure </w:t>
      </w:r>
      <w:fldSimple w:instr="SEQ Figure \* ARABIC ">
        <w:r>
          <w:t>25</w:t>
        </w:r>
      </w:fldSimple>
      <w:r>
        <w:t xml:space="preserve">:</w:t>
      </w:r>
      <w:r>
        <w:t xml:space="preserve"> </w:t>
      </w:r>
      <w:bookmarkEnd w:id="83"/>
      <w:r>
        <w:t xml:space="preserve">Figura 5.16: Tiempo de recepción de recetarios oficiales desde IPS</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5" w:name="fig26"/>
      <w:r>
        <w:t xml:space="preserve">Figure </w:t>
      </w:r>
      <w:fldSimple w:instr="SEQ Figure \* ARABIC ">
        <w:r>
          <w:t>26</w:t>
        </w:r>
      </w:fldSimple>
      <w:r>
        <w:t xml:space="preserve">:</w:t>
      </w:r>
      <w:r>
        <w:t xml:space="preserve"> </w:t>
      </w:r>
      <w:bookmarkEnd w:id="85"/>
      <w:r>
        <w:t xml:space="preserve">Figura 5.17: Tiempo de archivo de los recetarios oficiales en los FRE</w:t>
      </w:r>
    </w:p>
    <w:p>
      <w:pPr>
        <w:pStyle w:val="CaptionedFigure"/>
      </w:pPr>
      <w:r>
        <w:drawing>
          <wp:inline>
            <wp:extent cx="5334000" cy="3809999"/>
            <wp:effectExtent b="0" l="0" r="0" t="0"/>
            <wp:docPr descr="Figura 5.18: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7"/>
      <w:r>
        <w:t xml:space="preserve">Figure </w:t>
      </w:r>
      <w:fldSimple w:instr="SEQ Figure \* ARABIC ">
        <w:r>
          <w:t>27</w:t>
        </w:r>
      </w:fldSimple>
      <w:r>
        <w:t xml:space="preserve">:</w:t>
      </w:r>
      <w:r>
        <w:t xml:space="preserve"> </w:t>
      </w:r>
      <w:bookmarkEnd w:id="87"/>
      <w:r>
        <w:t xml:space="preserve">Figura 5.18: Medidas de seguridad en almacenamiento de recetarios</w:t>
      </w:r>
    </w:p>
    <w:p>
      <w:pPr>
        <w:pStyle w:val="CaptionedFigure"/>
      </w:pPr>
      <w:r>
        <w:drawing>
          <wp:inline>
            <wp:extent cx="5334000" cy="3809999"/>
            <wp:effectExtent b="0" l="0" r="0" t="0"/>
            <wp:docPr descr="Figura 5.19: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9" w:name="fig28"/>
      <w:r>
        <w:t xml:space="preserve">Figure </w:t>
      </w:r>
      <w:fldSimple w:instr="SEQ Figure \* ARABIC ">
        <w:r>
          <w:t>28</w:t>
        </w:r>
      </w:fldSimple>
      <w:r>
        <w:t xml:space="preserve">:</w:t>
      </w:r>
      <w:r>
        <w:t xml:space="preserve"> </w:t>
      </w:r>
      <w:bookmarkEnd w:id="89"/>
      <w:r>
        <w:t xml:space="preserve">Figura 5.19: Proporción de FRE que diligencian en campo de ventas de recetarios</w:t>
      </w:r>
    </w:p>
    <w:bookmarkEnd w:id="90"/>
    <w:bookmarkStart w:id="95"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2" w:name="fig29"/>
      <w:r>
        <w:t xml:space="preserve">Figure </w:t>
      </w:r>
      <w:fldSimple w:instr="SEQ Figure \* ARABIC ">
        <w:r>
          <w:t>29</w:t>
        </w:r>
      </w:fldSimple>
      <w:r>
        <w:t xml:space="preserve">:</w:t>
      </w:r>
      <w:r>
        <w:t xml:space="preserve"> </w:t>
      </w:r>
      <w:bookmarkEnd w:id="92"/>
      <w:r>
        <w:t xml:space="preserve">Figura 5.20: Opinión sobre la implementación del Recetario Oficial Electrónico (ROE)</w:t>
      </w:r>
    </w:p>
    <w:p>
      <w:pPr>
        <w:pStyle w:val="CaptionedFigure"/>
      </w:pPr>
      <w:r>
        <w:drawing>
          <wp:inline>
            <wp:extent cx="5334000" cy="4000500"/>
            <wp:effectExtent b="0" l="0" r="0" t="0"/>
            <wp:docPr descr="Figura 5.21: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4" w:name="fig30"/>
      <w:r>
        <w:t xml:space="preserve">Figure </w:t>
      </w:r>
      <w:fldSimple w:instr="SEQ Figure \* ARABIC ">
        <w:r>
          <w:t>30</w:t>
        </w:r>
      </w:fldSimple>
      <w:r>
        <w:t xml:space="preserve">:</w:t>
      </w:r>
      <w:r>
        <w:t xml:space="preserve"> </w:t>
      </w:r>
      <w:bookmarkEnd w:id="94"/>
      <w:r>
        <w:t xml:space="preserve">Figura 5.21: Tiempo de demora en la venta de recetarios oficiales a clientes</w:t>
      </w:r>
    </w:p>
    <w:bookmarkEnd w:id="95"/>
    <w:bookmarkEnd w:id="96"/>
    <w:bookmarkStart w:id="161"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8" w:name="fig31"/>
      <w:r>
        <w:t xml:space="preserve">Figure </w:t>
      </w:r>
      <w:fldSimple w:instr="SEQ Figure \* ARABIC ">
        <w:r>
          <w:t>31</w:t>
        </w:r>
      </w:fldSimple>
      <w:r>
        <w:t xml:space="preserve">:</w:t>
      </w:r>
      <w:r>
        <w:t xml:space="preserve"> </w:t>
      </w:r>
      <w:bookmarkEnd w:id="98"/>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32"/>
      <w:r>
        <w:t xml:space="preserve">Figure </w:t>
      </w:r>
      <w:fldSimple w:instr="SEQ Figure \* ARABIC ">
        <w:r>
          <w:t>32</w:t>
        </w:r>
      </w:fldSimple>
      <w:r>
        <w:t xml:space="preserve">:</w:t>
      </w:r>
      <w:r>
        <w:t xml:space="preserve"> </w:t>
      </w:r>
      <w:bookmarkEnd w:id="100"/>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2" w:name="fig33"/>
      <w:r>
        <w:t xml:space="preserve">Figure </w:t>
      </w:r>
      <w:fldSimple w:instr="SEQ Figure \* ARABIC ">
        <w:r>
          <w:t>33</w:t>
        </w:r>
      </w:fldSimple>
      <w:r>
        <w:t xml:space="preserve">:</w:t>
      </w:r>
      <w:r>
        <w:t xml:space="preserve"> </w:t>
      </w:r>
      <w:bookmarkEnd w:id="102"/>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4" w:name="fig34"/>
      <w:r>
        <w:t xml:space="preserve">Figure </w:t>
      </w:r>
      <w:fldSimple w:instr="SEQ Figure \* ARABIC ">
        <w:r>
          <w:t>34</w:t>
        </w:r>
      </w:fldSimple>
      <w:r>
        <w:t xml:space="preserve">:</w:t>
      </w:r>
      <w:r>
        <w:t xml:space="preserve"> </w:t>
      </w:r>
      <w:bookmarkEnd w:id="104"/>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35"/>
      <w:r>
        <w:t xml:space="preserve">Figure </w:t>
      </w:r>
      <w:fldSimple w:instr="SEQ Figure \* ARABIC ">
        <w:r>
          <w:t>35</w:t>
        </w:r>
      </w:fldSimple>
      <w:r>
        <w:t xml:space="preserve">:</w:t>
      </w:r>
      <w:r>
        <w:t xml:space="preserve"> </w:t>
      </w:r>
      <w:bookmarkEnd w:id="106"/>
      <w:r>
        <w:t xml:space="preserve">Figura 6.5: Opinión sobre los equipos de cómputo del FRE</w:t>
      </w:r>
    </w:p>
    <w:bookmarkStart w:id="127"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8" w:name="fig36"/>
      <w:r>
        <w:t xml:space="preserve">Figure </w:t>
      </w:r>
      <w:fldSimple w:instr="SEQ Figure \* ARABIC ">
        <w:r>
          <w:t>36</w:t>
        </w:r>
      </w:fldSimple>
      <w:r>
        <w:t xml:space="preserve">:</w:t>
      </w:r>
      <w:r>
        <w:t xml:space="preserve"> </w:t>
      </w:r>
      <w:bookmarkEnd w:id="108"/>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0" w:name="fig37"/>
      <w:r>
        <w:t xml:space="preserve">Figure </w:t>
      </w:r>
      <w:fldSimple w:instr="SEQ Figure \* ARABIC ">
        <w:r>
          <w:t>37</w:t>
        </w:r>
      </w:fldSimple>
      <w:r>
        <w:t xml:space="preserve">:</w:t>
      </w:r>
      <w:r>
        <w:t xml:space="preserve"> </w:t>
      </w:r>
      <w:bookmarkEnd w:id="110"/>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2" w:name="fig38"/>
      <w:r>
        <w:t xml:space="preserve">Figure </w:t>
      </w:r>
      <w:fldSimple w:instr="SEQ Figure \* ARABIC ">
        <w:r>
          <w:t>38</w:t>
        </w:r>
      </w:fldSimple>
      <w:r>
        <w:t xml:space="preserve">:</w:t>
      </w:r>
      <w:r>
        <w:t xml:space="preserve"> </w:t>
      </w:r>
      <w:bookmarkEnd w:id="112"/>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4" w:name="fig39"/>
      <w:r>
        <w:t xml:space="preserve">Figure </w:t>
      </w:r>
      <w:fldSimple w:instr="SEQ Figure \* ARABIC ">
        <w:r>
          <w:t>39</w:t>
        </w:r>
      </w:fldSimple>
      <w:r>
        <w:t xml:space="preserve">:</w:t>
      </w:r>
      <w:r>
        <w:t xml:space="preserve"> </w:t>
      </w:r>
      <w:bookmarkEnd w:id="114"/>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6" w:name="fig40"/>
      <w:r>
        <w:t xml:space="preserve">Figure </w:t>
      </w:r>
      <w:fldSimple w:instr="SEQ Figure \* ARABIC ">
        <w:r>
          <w:t>40</w:t>
        </w:r>
      </w:fldSimple>
      <w:r>
        <w:t xml:space="preserve">:</w:t>
      </w:r>
      <w:r>
        <w:t xml:space="preserve"> </w:t>
      </w:r>
      <w:bookmarkEnd w:id="116"/>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41"/>
      <w:r>
        <w:t xml:space="preserve">Figure </w:t>
      </w:r>
      <w:fldSimple w:instr="SEQ Figure \* ARABIC ">
        <w:r>
          <w:t>41</w:t>
        </w:r>
      </w:fldSimple>
      <w:r>
        <w:t xml:space="preserve">:</w:t>
      </w:r>
      <w:r>
        <w:t xml:space="preserve"> </w:t>
      </w:r>
      <w:bookmarkEnd w:id="118"/>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42"/>
      <w:r>
        <w:t xml:space="preserve">Figure </w:t>
      </w:r>
      <w:fldSimple w:instr="SEQ Figure \* ARABIC ">
        <w:r>
          <w:t>42</w:t>
        </w:r>
      </w:fldSimple>
      <w:r>
        <w:t xml:space="preserve">:</w:t>
      </w:r>
      <w:r>
        <w:t xml:space="preserve"> </w:t>
      </w:r>
      <w:bookmarkEnd w:id="120"/>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2" w:name="fig43"/>
      <w:r>
        <w:t xml:space="preserve">Figure </w:t>
      </w:r>
      <w:fldSimple w:instr="SEQ Figure \* ARABIC ">
        <w:r>
          <w:t>43</w:t>
        </w:r>
      </w:fldSimple>
      <w:r>
        <w:t xml:space="preserve">:</w:t>
      </w:r>
      <w:r>
        <w:t xml:space="preserve"> </w:t>
      </w:r>
      <w:bookmarkEnd w:id="122"/>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44"/>
      <w:r>
        <w:t xml:space="preserve">Figure </w:t>
      </w:r>
      <w:fldSimple w:instr="SEQ Figure \* ARABIC ">
        <w:r>
          <w:t>44</w:t>
        </w:r>
      </w:fldSimple>
      <w:r>
        <w:t xml:space="preserve">:</w:t>
      </w:r>
      <w:r>
        <w:t xml:space="preserve"> </w:t>
      </w:r>
      <w:bookmarkEnd w:id="124"/>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45"/>
      <w:r>
        <w:t xml:space="preserve">Figure </w:t>
      </w:r>
      <w:fldSimple w:instr="SEQ Figure \* ARABIC ">
        <w:r>
          <w:t>45</w:t>
        </w:r>
      </w:fldSimple>
      <w:r>
        <w:t xml:space="preserve">:</w:t>
      </w:r>
      <w:r>
        <w:t xml:space="preserve"> </w:t>
      </w:r>
      <w:bookmarkEnd w:id="126"/>
      <w:r>
        <w:t xml:space="preserve">Figura 6.15: Frecuencia de venta de MME a instituciones en el departamento</w:t>
      </w:r>
    </w:p>
    <w:bookmarkEnd w:id="127"/>
    <w:bookmarkStart w:id="134"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46"/>
      <w:r>
        <w:t xml:space="preserve">Figure </w:t>
      </w:r>
      <w:fldSimple w:instr="SEQ Figure \* ARABIC ">
        <w:r>
          <w:t>46</w:t>
        </w:r>
      </w:fldSimple>
      <w:r>
        <w:t xml:space="preserve">:</w:t>
      </w:r>
      <w:r>
        <w:t xml:space="preserve"> </w:t>
      </w:r>
      <w:bookmarkEnd w:id="129"/>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1" w:name="fig47"/>
      <w:r>
        <w:t xml:space="preserve">Figure </w:t>
      </w:r>
      <w:fldSimple w:instr="SEQ Figure \* ARABIC ">
        <w:r>
          <w:t>47</w:t>
        </w:r>
      </w:fldSimple>
      <w:r>
        <w:t xml:space="preserve">:</w:t>
      </w:r>
      <w:r>
        <w:t xml:space="preserve"> </w:t>
      </w:r>
      <w:bookmarkEnd w:id="131"/>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48"/>
      <w:r>
        <w:t xml:space="preserve">Figure </w:t>
      </w:r>
      <w:fldSimple w:instr="SEQ Figure \* ARABIC ">
        <w:r>
          <w:t>48</w:t>
        </w:r>
      </w:fldSimple>
      <w:r>
        <w:t xml:space="preserve">:</w:t>
      </w:r>
      <w:r>
        <w:t xml:space="preserve"> </w:t>
      </w:r>
      <w:bookmarkEnd w:id="133"/>
      <w:r>
        <w:t xml:space="preserve">Figura 6.18: Uso de niveles de seguridad del inventarios</w:t>
      </w:r>
    </w:p>
    <w:bookmarkEnd w:id="134"/>
    <w:bookmarkStart w:id="139" w:name="vencimiento-de-medicamentos"/>
    <w:p>
      <w:pPr>
        <w:pStyle w:val="Heading2"/>
      </w:pPr>
      <w:r>
        <w:rPr>
          <w:rStyle w:val="SectionNumber"/>
        </w:rPr>
        <w:t xml:space="preserve">6.3</w:t>
      </w:r>
      <w:r>
        <w:tab/>
      </w:r>
      <w:r>
        <w:t xml:space="preserve">Vencimiento de medicamentos</w:t>
      </w:r>
    </w:p>
    <w:p>
      <w:pPr>
        <w:pStyle w:val="CaptionedFigure"/>
      </w:pPr>
      <w:r>
        <w:drawing>
          <wp:inline>
            <wp:extent cx="5334000" cy="3556000"/>
            <wp:effectExtent b="0" l="0" r="0" t="0"/>
            <wp:docPr descr="Figura 6.19: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49"/>
      <w:r>
        <w:t xml:space="preserve">Figure </w:t>
      </w:r>
      <w:fldSimple w:instr="SEQ Figure \* ARABIC ">
        <w:r>
          <w:t>49</w:t>
        </w:r>
      </w:fldSimple>
      <w:r>
        <w:t xml:space="preserve">:</w:t>
      </w:r>
      <w:r>
        <w:t xml:space="preserve"> </w:t>
      </w:r>
      <w:bookmarkEnd w:id="136"/>
      <w:r>
        <w:t xml:space="preserve">Figura 6.19: Presentación de casos de vencimiento de MME</w:t>
      </w:r>
    </w:p>
    <w:p>
      <w:pPr>
        <w:pStyle w:val="CaptionedFigure"/>
      </w:pPr>
      <w:r>
        <w:drawing>
          <wp:inline>
            <wp:extent cx="5334000" cy="3556000"/>
            <wp:effectExtent b="0" l="0" r="0" t="0"/>
            <wp:docPr descr="Figura 6.20: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8" w:name="fig50"/>
      <w:r>
        <w:t xml:space="preserve">Figure </w:t>
      </w:r>
      <w:fldSimple w:instr="SEQ Figure \* ARABIC ">
        <w:r>
          <w:t>50</w:t>
        </w:r>
      </w:fldSimple>
      <w:r>
        <w:t xml:space="preserve">:</w:t>
      </w:r>
      <w:r>
        <w:t xml:space="preserve"> </w:t>
      </w:r>
      <w:bookmarkEnd w:id="138"/>
      <w:r>
        <w:t xml:space="preserve">Figura 6.20: Medicamentos implicados en casos de vencimiento de MME</w:t>
      </w:r>
    </w:p>
    <w:bookmarkEnd w:id="139"/>
    <w:bookmarkStart w:id="160" w:name="almacenamiento"/>
    <w:p>
      <w:pPr>
        <w:pStyle w:val="Heading2"/>
      </w:pPr>
      <w:r>
        <w:rPr>
          <w:rStyle w:val="SectionNumber"/>
        </w:rPr>
        <w:t xml:space="preserve">6.4</w:t>
      </w:r>
      <w:r>
        <w:tab/>
      </w:r>
      <w:r>
        <w:t xml:space="preserve">Almacenamiento</w:t>
      </w:r>
    </w:p>
    <w:p>
      <w:pPr>
        <w:pStyle w:val="FirstParagraph"/>
      </w:pPr>
      <w:r>
        <w:t xml:space="preserve">En la Figura</w:t>
      </w:r>
      <w:r>
        <w:t xml:space="preserve"> </w:t>
      </w:r>
      <w:r>
        <w:t xml:space="preserve">6.21</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21: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1" w:name="fig51"/>
      <w:r>
        <w:t xml:space="preserve">Figure </w:t>
      </w:r>
      <w:fldSimple w:instr="SEQ Figure \* ARABIC ">
        <w:r>
          <w:t>51</w:t>
        </w:r>
      </w:fldSimple>
      <w:r>
        <w:t xml:space="preserve">:</w:t>
      </w:r>
      <w:r>
        <w:t xml:space="preserve"> </w:t>
      </w:r>
      <w:bookmarkEnd w:id="141"/>
      <w:r>
        <w:t xml:space="preserve">Figura 6.21: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p>
      <w:pPr>
        <w:pStyle w:val="CaptionedFigure"/>
      </w:pPr>
      <w:r>
        <w:drawing>
          <wp:inline>
            <wp:extent cx="5334000" cy="3556000"/>
            <wp:effectExtent b="0" l="0" r="0" t="0"/>
            <wp:docPr descr="Figura 6.22: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52"/>
      <w:r>
        <w:t xml:space="preserve">Figure </w:t>
      </w:r>
      <w:fldSimple w:instr="SEQ Figure \* ARABIC ">
        <w:r>
          <w:t>52</w:t>
        </w:r>
      </w:fldSimple>
      <w:r>
        <w:t xml:space="preserve">:</w:t>
      </w:r>
      <w:r>
        <w:t xml:space="preserve"> </w:t>
      </w:r>
      <w:bookmarkEnd w:id="143"/>
      <w:r>
        <w:t xml:space="preserve">Figura 6.22: Frecuencia de revisión de condiciones ambientales</w:t>
      </w:r>
    </w:p>
    <w:p>
      <w:pPr>
        <w:pStyle w:val="CaptionedFigure"/>
      </w:pPr>
      <w:r>
        <w:drawing>
          <wp:inline>
            <wp:extent cx="5334000" cy="3556000"/>
            <wp:effectExtent b="0" l="0" r="0" t="0"/>
            <wp:docPr descr="Figura 6.23: Tecnologías de control y seguimiento de condiciones ambientales"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5" w:name="fig53"/>
      <w:r>
        <w:t xml:space="preserve">Figure </w:t>
      </w:r>
      <w:fldSimple w:instr="SEQ Figure \* ARABIC ">
        <w:r>
          <w:t>53</w:t>
        </w:r>
      </w:fldSimple>
      <w:r>
        <w:t xml:space="preserve">:</w:t>
      </w:r>
      <w:r>
        <w:t xml:space="preserve"> </w:t>
      </w:r>
      <w:bookmarkEnd w:id="145"/>
      <w:r>
        <w:t xml:space="preserve">Figura 6.23: Tecnologías de control y seguimiento de condiciones ambientales</w:t>
      </w:r>
    </w:p>
    <w:p>
      <w:pPr>
        <w:pStyle w:val="CaptionedFigure"/>
      </w:pPr>
      <w:r>
        <w:drawing>
          <wp:inline>
            <wp:extent cx="5334000" cy="3556000"/>
            <wp:effectExtent b="0" l="0" r="0" t="0"/>
            <wp:docPr descr="Figura 6.24: Frecuencia de calibración y mantenimiento de equipos de seguimiento ambiental" title="" id="1" name="Picture"/>
            <a:graphic>
              <a:graphicData uri="http://schemas.openxmlformats.org/drawingml/2006/picture">
                <pic:pic>
                  <pic:nvPicPr>
                    <pic:cNvPr descr="InformeFinal_files/figure-docx/FrecSeguimientoCalibracion-1.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54"/>
      <w:r>
        <w:t xml:space="preserve">Figure </w:t>
      </w:r>
      <w:fldSimple w:instr="SEQ Figure \* ARABIC ">
        <w:r>
          <w:t>54</w:t>
        </w:r>
      </w:fldSimple>
      <w:r>
        <w:t xml:space="preserve">:</w:t>
      </w:r>
      <w:r>
        <w:t xml:space="preserve"> </w:t>
      </w:r>
      <w:bookmarkEnd w:id="147"/>
      <w:r>
        <w:t xml:space="preserve">Figura 6.24: Frecuencia de calibración y mantenimiento de equipos de seguimiento ambiental</w:t>
      </w:r>
    </w:p>
    <w:p>
      <w:pPr>
        <w:pStyle w:val="CaptionedFigure"/>
      </w:pPr>
      <w:r>
        <w:drawing>
          <wp:inline>
            <wp:extent cx="5334000" cy="4000500"/>
            <wp:effectExtent b="0" l="0" r="0" t="0"/>
            <wp:docPr descr="Figura 6.2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9" w:name="fig55"/>
      <w:r>
        <w:t xml:space="preserve">Figure </w:t>
      </w:r>
      <w:fldSimple w:instr="SEQ Figure \* ARABIC ">
        <w:r>
          <w:t>55</w:t>
        </w:r>
      </w:fldSimple>
      <w:r>
        <w:t xml:space="preserve">:</w:t>
      </w:r>
      <w:r>
        <w:t xml:space="preserve"> </w:t>
      </w:r>
      <w:bookmarkEnd w:id="149"/>
      <w:r>
        <w:t xml:space="preserve">Figura 6.25: Productos compartidos en el almacén de MME</w:t>
      </w:r>
    </w:p>
    <w:p>
      <w:pPr>
        <w:pStyle w:val="CaptionedFigure"/>
      </w:pPr>
      <w:r>
        <w:drawing>
          <wp:inline>
            <wp:extent cx="5334000" cy="3556000"/>
            <wp:effectExtent b="0" l="0" r="0" t="0"/>
            <wp:docPr descr="Figura 6.26: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56"/>
      <w:r>
        <w:t xml:space="preserve">Figure </w:t>
      </w:r>
      <w:fldSimple w:instr="SEQ Figure \* ARABIC ">
        <w:r>
          <w:t>56</w:t>
        </w:r>
      </w:fldSimple>
      <w:r>
        <w:t xml:space="preserve">:</w:t>
      </w:r>
      <w:r>
        <w:t xml:space="preserve"> </w:t>
      </w:r>
      <w:bookmarkEnd w:id="151"/>
      <w:r>
        <w:t xml:space="preserve">Figura 6.26: Opinión del servicio de la distribución de los medicamentos MME</w:t>
      </w:r>
    </w:p>
    <w:p>
      <w:pPr>
        <w:pStyle w:val="CaptionedFigure"/>
      </w:pPr>
      <w:r>
        <w:drawing>
          <wp:inline>
            <wp:extent cx="5334000" cy="3556000"/>
            <wp:effectExtent b="0" l="0" r="0" t="0"/>
            <wp:docPr descr="Figura 6.2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3" w:name="fig57"/>
      <w:r>
        <w:t xml:space="preserve">Figure </w:t>
      </w:r>
      <w:fldSimple w:instr="SEQ Figure \* ARABIC ">
        <w:r>
          <w:t>57</w:t>
        </w:r>
      </w:fldSimple>
      <w:r>
        <w:t xml:space="preserve">:</w:t>
      </w:r>
      <w:r>
        <w:t xml:space="preserve"> </w:t>
      </w:r>
      <w:bookmarkEnd w:id="153"/>
      <w:r>
        <w:t xml:space="preserve">Figura 6.27: Frecuencia del control de existencias de medicamentos MME</w:t>
      </w:r>
    </w:p>
    <w:p>
      <w:pPr>
        <w:pStyle w:val="CaptionedFigure"/>
      </w:pPr>
      <w:r>
        <w:drawing>
          <wp:inline>
            <wp:extent cx="5334000" cy="3556000"/>
            <wp:effectExtent b="0" l="0" r="0" t="0"/>
            <wp:docPr descr="Figura 6.28: Frecuencia del control de existencias de medicamentos MME (mapa)" title="" id="1" name="Picture"/>
            <a:graphic>
              <a:graphicData uri="http://schemas.openxmlformats.org/drawingml/2006/picture">
                <pic:pic>
                  <pic:nvPicPr>
                    <pic:cNvPr descr="InformeFinal_files/figure-docx/FrecControlExistenciasMapa-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58"/>
      <w:r>
        <w:t xml:space="preserve">Figure </w:t>
      </w:r>
      <w:fldSimple w:instr="SEQ Figure \* ARABIC ">
        <w:r>
          <w:t>58</w:t>
        </w:r>
      </w:fldSimple>
      <w:r>
        <w:t xml:space="preserve">:</w:t>
      </w:r>
      <w:r>
        <w:t xml:space="preserve"> </w:t>
      </w:r>
      <w:bookmarkEnd w:id="155"/>
      <w:r>
        <w:t xml:space="preserve">Figura 6.28: Frecuencia del control de existencias de medicamentos MME (mapa)</w:t>
      </w:r>
    </w:p>
    <w:p>
      <w:pPr>
        <w:pStyle w:val="CaptionedFigure"/>
      </w:pPr>
      <w:r>
        <w:drawing>
          <wp:inline>
            <wp:extent cx="5334000" cy="3556000"/>
            <wp:effectExtent b="0" l="0" r="0" t="0"/>
            <wp:docPr descr="Figura 6.29: Utilización de técnicas de semaforización en el manejo del inventario" title="" id="1" name="Picture"/>
            <a:graphic>
              <a:graphicData uri="http://schemas.openxmlformats.org/drawingml/2006/picture">
                <pic:pic>
                  <pic:nvPicPr>
                    <pic:cNvPr descr="InformeFinal_files/figure-docx/Semaforizacion-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59"/>
      <w:r>
        <w:t xml:space="preserve">Figure </w:t>
      </w:r>
      <w:fldSimple w:instr="SEQ Figure \* ARABIC ">
        <w:r>
          <w:t>59</w:t>
        </w:r>
      </w:fldSimple>
      <w:r>
        <w:t xml:space="preserve">:</w:t>
      </w:r>
      <w:r>
        <w:t xml:space="preserve"> </w:t>
      </w:r>
      <w:bookmarkEnd w:id="157"/>
      <w:r>
        <w:t xml:space="preserve">Figura 6.29: Utilización de técnicas de semaforización en el manejo del inventario</w:t>
      </w:r>
    </w:p>
    <w:p>
      <w:pPr>
        <w:pStyle w:val="CaptionedFigure"/>
      </w:pPr>
      <w:r>
        <w:drawing>
          <wp:inline>
            <wp:extent cx="5334000" cy="3556000"/>
            <wp:effectExtent b="0" l="0" r="0" t="0"/>
            <wp:docPr descr="Figura 6.30: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9" w:name="fig60"/>
      <w:r>
        <w:t xml:space="preserve">Figure </w:t>
      </w:r>
      <w:fldSimple w:instr="SEQ Figure \* ARABIC ">
        <w:r>
          <w:t>60</w:t>
        </w:r>
      </w:fldSimple>
      <w:r>
        <w:t xml:space="preserve">:</w:t>
      </w:r>
      <w:r>
        <w:t xml:space="preserve"> </w:t>
      </w:r>
      <w:bookmarkEnd w:id="159"/>
      <w:r>
        <w:t xml:space="preserve">Figura 6.30: Ocupación promedio del MME frente a otros medicamentos o ítems almacenados en el FRE</w:t>
      </w:r>
    </w:p>
    <w:bookmarkEnd w:id="160"/>
    <w:bookmarkEnd w:id="161"/>
    <w:bookmarkStart w:id="176" w:name="reporte-de-informes"/>
    <w:p>
      <w:pPr>
        <w:pStyle w:val="Heading1"/>
      </w:pPr>
      <w:r>
        <w:rPr>
          <w:rStyle w:val="SectionNumber"/>
        </w:rPr>
        <w:t xml:space="preserve">7</w:t>
      </w:r>
      <w:r>
        <w:tab/>
      </w:r>
      <w:r>
        <w:t xml:space="preserve">Reporte de informes</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3" w:name="fig61"/>
      <w:r>
        <w:t xml:space="preserve">Figure </w:t>
      </w:r>
      <w:fldSimple w:instr="SEQ Figure \* ARABIC ">
        <w:r>
          <w:t>61</w:t>
        </w:r>
      </w:fldSimple>
      <w:r>
        <w:t xml:space="preserve">:</w:t>
      </w:r>
      <w:r>
        <w:t xml:space="preserve"> </w:t>
      </w:r>
      <w:bookmarkEnd w:id="163"/>
      <w:r>
        <w:t xml:space="preserve">Figura 7.1: Herramientas en el diligenciamiento del Anexo 1 de la Resolución 1479 de 2006</w:t>
      </w:r>
    </w:p>
    <w:p>
      <w:pPr>
        <w:pStyle w:val="BodyText"/>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4: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6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5: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6: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bookmarkStart w:id="175"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8: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0: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7.11</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4" w:name="fig62"/>
      <w:r>
        <w:t xml:space="preserve">Figure </w:t>
      </w:r>
      <w:fldSimple w:instr="SEQ Figure \* ARABIC ">
        <w:r>
          <w:t>62</w:t>
        </w:r>
      </w:fldSimple>
      <w:r>
        <w:t xml:space="preserve">:</w:t>
      </w:r>
      <w:r>
        <w:t xml:space="preserve"> </w:t>
      </w:r>
      <w:bookmarkEnd w:id="174"/>
      <w:r>
        <w:t xml:space="preserve">Figura 7.11: Existencia de otras instituciones que realizan ventas a instituciones a MME</w:t>
      </w:r>
    </w:p>
    <w:bookmarkEnd w:id="175"/>
    <w:bookmarkEnd w:id="176"/>
    <w:bookmarkStart w:id="243" w:name="análisis-a-nivel-regional"/>
    <w:p>
      <w:pPr>
        <w:pStyle w:val="Heading1"/>
      </w:pPr>
      <w:r>
        <w:rPr>
          <w:rStyle w:val="SectionNumber"/>
        </w:rPr>
        <w:t xml:space="preserve">8</w:t>
      </w:r>
      <w:r>
        <w:tab/>
      </w:r>
      <w:r>
        <w:t xml:space="preserve">Análisis a Nivel Regional</w:t>
      </w:r>
    </w:p>
    <w:bookmarkStart w:id="200"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08"/>
        </w:numPr>
        <w:pStyle w:val="Compact"/>
      </w:pPr>
      <w:r>
        <w:t xml:space="preserve">Boyacá</w:t>
      </w:r>
    </w:p>
    <w:p>
      <w:pPr>
        <w:numPr>
          <w:ilvl w:val="0"/>
          <w:numId w:val="1008"/>
        </w:numPr>
        <w:pStyle w:val="Compact"/>
      </w:pPr>
      <w:r>
        <w:t xml:space="preserve">Norte de Santander</w:t>
      </w:r>
    </w:p>
    <w:p>
      <w:pPr>
        <w:numPr>
          <w:ilvl w:val="0"/>
          <w:numId w:val="1008"/>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5"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77"/>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78" w:name="fig63"/>
      <w:r>
        <w:t xml:space="preserve">Figure </w:t>
      </w:r>
      <w:fldSimple w:instr="SEQ Figure \* ARABIC ">
        <w:r>
          <w:t>63</w:t>
        </w:r>
      </w:fldSimple>
      <w:r>
        <w:t xml:space="preserve">:</w:t>
      </w:r>
      <w:r>
        <w:t xml:space="preserve"> </w:t>
      </w:r>
      <w:bookmarkEnd w:id="178"/>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79"/>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80" w:name="fig64"/>
      <w:r>
        <w:t xml:space="preserve">Figure </w:t>
      </w:r>
      <w:fldSimple w:instr="SEQ Figure \* ARABIC ">
        <w:r>
          <w:t>64</w:t>
        </w:r>
      </w:fldSimple>
      <w:r>
        <w:t xml:space="preserve">:</w:t>
      </w:r>
      <w:r>
        <w:t xml:space="preserve"> </w:t>
      </w:r>
      <w:bookmarkEnd w:id="180"/>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1"/>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2" w:name="fig65"/>
      <w:r>
        <w:t xml:space="preserve">Figure </w:t>
      </w:r>
      <w:fldSimple w:instr="SEQ Figure \* ARABIC ">
        <w:r>
          <w:t>65</w:t>
        </w:r>
      </w:fldSimple>
      <w:r>
        <w:t xml:space="preserve">:</w:t>
      </w:r>
      <w:r>
        <w:t xml:space="preserve"> </w:t>
      </w:r>
      <w:bookmarkEnd w:id="182"/>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3"/>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4" w:name="fig66"/>
      <w:r>
        <w:t xml:space="preserve">Figure </w:t>
      </w:r>
      <w:fldSimple w:instr="SEQ Figure \* ARABIC ">
        <w:r>
          <w:t>66</w:t>
        </w:r>
      </w:fldSimple>
      <w:r>
        <w:t xml:space="preserve">:</w:t>
      </w:r>
      <w:r>
        <w:t xml:space="preserve"> </w:t>
      </w:r>
      <w:bookmarkEnd w:id="184"/>
      <w:r>
        <w:t xml:space="preserve">Figura 8.4: Porcentaje de ganancias en los departamentos</w:t>
      </w:r>
    </w:p>
    <w:bookmarkEnd w:id="185"/>
    <w:bookmarkStart w:id="186"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86"/>
    <w:bookmarkStart w:id="187"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87"/>
    <w:bookmarkStart w:id="193"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88"/>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89" w:name="fig67"/>
      <w:r>
        <w:t xml:space="preserve">Figure </w:t>
      </w:r>
      <w:fldSimple w:instr="SEQ Figure \* ARABIC ">
        <w:r>
          <w:t>67</w:t>
        </w:r>
      </w:fldSimple>
      <w:r>
        <w:t xml:space="preserve">:</w:t>
      </w:r>
      <w:r>
        <w:t xml:space="preserve"> </w:t>
      </w:r>
      <w:bookmarkEnd w:id="189"/>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9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1" w:name="fig68"/>
      <w:r>
        <w:t xml:space="preserve">Figure </w:t>
      </w:r>
      <w:fldSimple w:instr="SEQ Figure \* ARABIC ">
        <w:r>
          <w:t>68</w:t>
        </w:r>
      </w:fldSimple>
      <w:r>
        <w:t xml:space="preserve">:</w:t>
      </w:r>
      <w:r>
        <w:t xml:space="preserve"> </w:t>
      </w:r>
      <w:bookmarkEnd w:id="191"/>
      <w:r>
        <w:t xml:space="preserve">Figura 8.6: Evaluación de la conexión de internet</w:t>
      </w:r>
    </w:p>
    <w:p>
      <w:pPr>
        <w:pStyle w:val="TableCaption"/>
      </w:pPr>
      <w:bookmarkStart w:id="192" w:name="table1"/>
      <w:r>
        <w:t xml:space="preserve">Table </w:t>
      </w:r>
      <w:fldSimple w:instr="SEQ Table \* ARABIC ">
        <w:r>
          <w:t>1</w:t>
        </w:r>
      </w:fldSimple>
      <w:r>
        <w:t xml:space="preserve">:</w:t>
      </w:r>
      <w:bookmarkEnd w:id="192"/>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3"/>
    <w:bookmarkStart w:id="194"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4"/>
    <w:bookmarkStart w:id="195"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5"/>
    <w:bookmarkStart w:id="196" w:name="almacenamiento-e-inventario-de-mme"/>
    <w:p>
      <w:pPr>
        <w:pStyle w:val="Heading3"/>
      </w:pPr>
      <w:r>
        <w:rPr>
          <w:rStyle w:val="SectionNumber"/>
        </w:rPr>
        <w:t xml:space="preserve">8.1.7</w:t>
      </w:r>
      <w:r>
        <w:tab/>
      </w:r>
      <w:r>
        <w:t xml:space="preserve">Almacenamiento e inventario de MME</w:t>
      </w:r>
    </w:p>
    <w:bookmarkEnd w:id="196"/>
    <w:bookmarkStart w:id="199"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19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8" w:name="fig69"/>
      <w:r>
        <w:t xml:space="preserve">Figure </w:t>
      </w:r>
      <w:fldSimple w:instr="SEQ Figure \* ARABIC ">
        <w:r>
          <w:t>69</w:t>
        </w:r>
      </w:fldSimple>
      <w:r>
        <w:t xml:space="preserve">:</w:t>
      </w:r>
      <w:r>
        <w:t xml:space="preserve"> </w:t>
      </w:r>
      <w:bookmarkEnd w:id="198"/>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199"/>
    <w:bookmarkEnd w:id="200"/>
    <w:bookmarkStart w:id="227" w:name="región-andina-sur"/>
    <w:p>
      <w:pPr>
        <w:pStyle w:val="Heading2"/>
      </w:pPr>
      <w:r>
        <w:rPr>
          <w:rStyle w:val="SectionNumber"/>
        </w:rPr>
        <w:t xml:space="preserve">8.2</w:t>
      </w:r>
      <w:r>
        <w:tab/>
      </w:r>
      <w:r>
        <w:t xml:space="preserve">Región Andina Sur</w:t>
      </w:r>
    </w:p>
    <w:bookmarkStart w:id="211"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1"/>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2" w:name="fig70"/>
      <w:r>
        <w:t xml:space="preserve">Figure </w:t>
      </w:r>
      <w:fldSimple w:instr="SEQ Figure \* ARABIC ">
        <w:r>
          <w:t>70</w:t>
        </w:r>
      </w:fldSimple>
      <w:r>
        <w:t xml:space="preserve">:</w:t>
      </w:r>
      <w:r>
        <w:t xml:space="preserve"> </w:t>
      </w:r>
      <w:bookmarkEnd w:id="202"/>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3"/>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4" w:name="fig71"/>
      <w:r>
        <w:t xml:space="preserve">Figure </w:t>
      </w:r>
      <w:fldSimple w:instr="SEQ Figure \* ARABIC ">
        <w:r>
          <w:t>71</w:t>
        </w:r>
      </w:fldSimple>
      <w:r>
        <w:t xml:space="preserve">:</w:t>
      </w:r>
      <w:r>
        <w:t xml:space="preserve"> </w:t>
      </w:r>
      <w:bookmarkEnd w:id="204"/>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5"/>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06" w:name="fig72"/>
      <w:r>
        <w:t xml:space="preserve">Figure </w:t>
      </w:r>
      <w:fldSimple w:instr="SEQ Figure \* ARABIC ">
        <w:r>
          <w:t>72</w:t>
        </w:r>
      </w:fldSimple>
      <w:r>
        <w:t xml:space="preserve">:</w:t>
      </w:r>
      <w:r>
        <w:t xml:space="preserve"> </w:t>
      </w:r>
      <w:bookmarkEnd w:id="206"/>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07"/>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08" w:name="fig73"/>
      <w:r>
        <w:t xml:space="preserve">Figure </w:t>
      </w:r>
      <w:fldSimple w:instr="SEQ Figure \* ARABIC ">
        <w:r>
          <w:t>73</w:t>
        </w:r>
      </w:fldSimple>
      <w:r>
        <w:t xml:space="preserve">:</w:t>
      </w:r>
      <w:r>
        <w:t xml:space="preserve"> </w:t>
      </w:r>
      <w:bookmarkEnd w:id="208"/>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09"/>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0" w:name="fig74"/>
      <w:r>
        <w:t xml:space="preserve">Figure </w:t>
      </w:r>
      <w:fldSimple w:instr="SEQ Figure \* ARABIC ">
        <w:r>
          <w:t>74</w:t>
        </w:r>
      </w:fldSimple>
      <w:r>
        <w:t xml:space="preserve">:</w:t>
      </w:r>
      <w:r>
        <w:t xml:space="preserve"> </w:t>
      </w:r>
      <w:bookmarkEnd w:id="210"/>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11"/>
    <w:bookmarkStart w:id="212"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2"/>
    <w:bookmarkStart w:id="213"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3"/>
    <w:bookmarkStart w:id="216"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5" w:name="fig75"/>
      <w:r>
        <w:t xml:space="preserve">Figure </w:t>
      </w:r>
      <w:fldSimple w:instr="SEQ Figure \* ARABIC ">
        <w:r>
          <w:t>75</w:t>
        </w:r>
      </w:fldSimple>
      <w:r>
        <w:t xml:space="preserve">:</w:t>
      </w:r>
      <w:r>
        <w:t xml:space="preserve"> </w:t>
      </w:r>
      <w:bookmarkEnd w:id="215"/>
      <w:r>
        <w:t xml:space="preserve">Figura 8.13: Estado actual de la conexión a internet de los FRE de la región Andina Sur.</w:t>
      </w:r>
    </w:p>
    <w:bookmarkEnd w:id="216"/>
    <w:bookmarkStart w:id="219"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1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8" w:name="fig76"/>
      <w:r>
        <w:t xml:space="preserve">Figure </w:t>
      </w:r>
      <w:fldSimple w:instr="SEQ Figure \* ARABIC ">
        <w:r>
          <w:t>76</w:t>
        </w:r>
      </w:fldSimple>
      <w:r>
        <w:t xml:space="preserve">:</w:t>
      </w:r>
      <w:r>
        <w:t xml:space="preserve"> </w:t>
      </w:r>
      <w:bookmarkEnd w:id="218"/>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19"/>
    <w:bookmarkStart w:id="222"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20"/>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1" w:name="fig77"/>
      <w:r>
        <w:t xml:space="preserve">Figure </w:t>
      </w:r>
      <w:fldSimple w:instr="SEQ Figure \* ARABIC ">
        <w:r>
          <w:t>77</w:t>
        </w:r>
      </w:fldSimple>
      <w:r>
        <w:t xml:space="preserve">:</w:t>
      </w:r>
      <w:r>
        <w:t xml:space="preserve"> </w:t>
      </w:r>
      <w:bookmarkEnd w:id="221"/>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2"/>
    <w:bookmarkStart w:id="225"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3"/>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4" w:name="fig78"/>
      <w:r>
        <w:t xml:space="preserve">Figure </w:t>
      </w:r>
      <w:fldSimple w:instr="SEQ Figure \* ARABIC ">
        <w:r>
          <w:t>78</w:t>
        </w:r>
      </w:fldSimple>
      <w:r>
        <w:t xml:space="preserve">:</w:t>
      </w:r>
      <w:r>
        <w:t xml:space="preserve"> </w:t>
      </w:r>
      <w:bookmarkEnd w:id="224"/>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5"/>
    <w:bookmarkStart w:id="226"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26"/>
    <w:bookmarkEnd w:id="227"/>
    <w:bookmarkStart w:id="232"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28"/>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29" w:name="fig79"/>
      <w:r>
        <w:t xml:space="preserve">Figure </w:t>
      </w:r>
      <w:fldSimple w:instr="SEQ Figure \* ARABIC ">
        <w:r>
          <w:t>79</w:t>
        </w:r>
      </w:fldSimple>
      <w:r>
        <w:t xml:space="preserve">:</w:t>
      </w:r>
      <w:r>
        <w:t xml:space="preserve"> </w:t>
      </w:r>
      <w:bookmarkEnd w:id="229"/>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30"/>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1" w:name="fig80"/>
      <w:r>
        <w:t xml:space="preserve">Figure </w:t>
      </w:r>
      <w:fldSimple w:instr="SEQ Figure \* ARABIC ">
        <w:r>
          <w:t>80</w:t>
        </w:r>
      </w:fldSimple>
      <w:r>
        <w:t xml:space="preserve">:</w:t>
      </w:r>
      <w:r>
        <w:t xml:space="preserve"> </w:t>
      </w:r>
      <w:bookmarkEnd w:id="231"/>
      <w:r>
        <w:t xml:space="preserve">Figura 8.18: Tiempos de adquisición de recetarios en el departamento para la region Caribe</w:t>
      </w:r>
    </w:p>
    <w:p>
      <w:pPr>
        <w:numPr>
          <w:ilvl w:val="0"/>
          <w:numId w:val="1009"/>
        </w:numPr>
        <w:pStyle w:val="Compact"/>
      </w:pPr>
      <w:r>
        <w:t xml:space="preserve">ATLÁNTICO</w:t>
      </w:r>
    </w:p>
    <w:p>
      <w:pPr>
        <w:numPr>
          <w:ilvl w:val="0"/>
          <w:numId w:val="1009"/>
        </w:numPr>
        <w:pStyle w:val="Compact"/>
      </w:pPr>
      <w:r>
        <w:t xml:space="preserve">BOLÍVAR</w:t>
      </w:r>
    </w:p>
    <w:p>
      <w:pPr>
        <w:numPr>
          <w:ilvl w:val="0"/>
          <w:numId w:val="1009"/>
        </w:numPr>
        <w:pStyle w:val="Compact"/>
      </w:pPr>
      <w:r>
        <w:t xml:space="preserve">CESAR</w:t>
      </w:r>
    </w:p>
    <w:p>
      <w:pPr>
        <w:numPr>
          <w:ilvl w:val="0"/>
          <w:numId w:val="1009"/>
        </w:numPr>
        <w:pStyle w:val="Compact"/>
      </w:pPr>
      <w:r>
        <w:t xml:space="preserve">CÓRDOBA</w:t>
      </w:r>
    </w:p>
    <w:p>
      <w:pPr>
        <w:numPr>
          <w:ilvl w:val="0"/>
          <w:numId w:val="1009"/>
        </w:numPr>
        <w:pStyle w:val="Compact"/>
      </w:pPr>
      <w:r>
        <w:t xml:space="preserve">GUAJIRA</w:t>
      </w:r>
    </w:p>
    <w:p>
      <w:pPr>
        <w:numPr>
          <w:ilvl w:val="0"/>
          <w:numId w:val="1009"/>
        </w:numPr>
        <w:pStyle w:val="Compact"/>
      </w:pPr>
      <w:r>
        <w:t xml:space="preserve">MAGDALENA</w:t>
      </w:r>
    </w:p>
    <w:p>
      <w:pPr>
        <w:numPr>
          <w:ilvl w:val="0"/>
          <w:numId w:val="1009"/>
        </w:numPr>
        <w:pStyle w:val="Compact"/>
      </w:pPr>
      <w:r>
        <w:t xml:space="preserve">SAN ANDRÉS Y PROVIDENCIA</w:t>
      </w:r>
    </w:p>
    <w:p>
      <w:pPr>
        <w:numPr>
          <w:ilvl w:val="0"/>
          <w:numId w:val="1009"/>
        </w:numPr>
        <w:pStyle w:val="Compact"/>
      </w:pPr>
      <w:r>
        <w:t xml:space="preserve">SUCRE</w:t>
      </w:r>
    </w:p>
    <w:bookmarkEnd w:id="232"/>
    <w:bookmarkStart w:id="237"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3"/>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4" w:name="fig81"/>
      <w:r>
        <w:t xml:space="preserve">Figure </w:t>
      </w:r>
      <w:fldSimple w:instr="SEQ Figure \* ARABIC ">
        <w:r>
          <w:t>81</w:t>
        </w:r>
      </w:fldSimple>
      <w:r>
        <w:t xml:space="preserve">:</w:t>
      </w:r>
      <w:r>
        <w:t xml:space="preserve"> </w:t>
      </w:r>
      <w:bookmarkEnd w:id="234"/>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5"/>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6" w:name="fig82"/>
      <w:r>
        <w:t xml:space="preserve">Figure </w:t>
      </w:r>
      <w:fldSimple w:instr="SEQ Figure \* ARABIC ">
        <w:r>
          <w:t>82</w:t>
        </w:r>
      </w:fldSimple>
      <w:r>
        <w:t xml:space="preserve">:</w:t>
      </w:r>
      <w:r>
        <w:t xml:space="preserve"> </w:t>
      </w:r>
      <w:bookmarkEnd w:id="236"/>
      <w:r>
        <w:t xml:space="preserve">Figura 8.20: Tiempos de adquisición de recetarios en el departamento para la region Orinoquía</w:t>
      </w:r>
    </w:p>
    <w:p>
      <w:pPr>
        <w:numPr>
          <w:ilvl w:val="0"/>
          <w:numId w:val="1010"/>
        </w:numPr>
        <w:pStyle w:val="Compact"/>
      </w:pPr>
      <w:r>
        <w:t xml:space="preserve">CASANARE</w:t>
      </w:r>
    </w:p>
    <w:p>
      <w:pPr>
        <w:numPr>
          <w:ilvl w:val="0"/>
          <w:numId w:val="1010"/>
        </w:numPr>
        <w:pStyle w:val="Compact"/>
      </w:pPr>
      <w:r>
        <w:t xml:space="preserve">META</w:t>
      </w:r>
    </w:p>
    <w:p>
      <w:pPr>
        <w:numPr>
          <w:ilvl w:val="0"/>
          <w:numId w:val="1010"/>
        </w:numPr>
        <w:pStyle w:val="Compact"/>
      </w:pPr>
      <w:r>
        <w:t xml:space="preserve">ARAUCA</w:t>
      </w:r>
    </w:p>
    <w:p>
      <w:pPr>
        <w:numPr>
          <w:ilvl w:val="0"/>
          <w:numId w:val="1010"/>
        </w:numPr>
        <w:pStyle w:val="Compact"/>
      </w:pPr>
      <w:r>
        <w:t xml:space="preserve">VICHADA</w:t>
      </w:r>
    </w:p>
    <w:bookmarkEnd w:id="237"/>
    <w:bookmarkStart w:id="242"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38"/>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39" w:name="fig83"/>
      <w:r>
        <w:t xml:space="preserve">Figure </w:t>
      </w:r>
      <w:fldSimple w:instr="SEQ Figure \* ARABIC ">
        <w:r>
          <w:t>83</w:t>
        </w:r>
      </w:fldSimple>
      <w:r>
        <w:t xml:space="preserve">:</w:t>
      </w:r>
      <w:r>
        <w:t xml:space="preserve"> </w:t>
      </w:r>
      <w:bookmarkEnd w:id="239"/>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40"/>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1" w:name="fig84"/>
      <w:r>
        <w:t xml:space="preserve">Figure </w:t>
      </w:r>
      <w:fldSimple w:instr="SEQ Figure \* ARABIC ">
        <w:r>
          <w:t>84</w:t>
        </w:r>
      </w:fldSimple>
      <w:r>
        <w:t xml:space="preserve">:</w:t>
      </w:r>
      <w:r>
        <w:t xml:space="preserve"> </w:t>
      </w:r>
      <w:bookmarkEnd w:id="241"/>
      <w:r>
        <w:t xml:space="preserve">Figura 8.22: Tiempos de adquisición de recetarios en el departamento para la region Pacífica</w:t>
      </w:r>
    </w:p>
    <w:p>
      <w:pPr>
        <w:numPr>
          <w:ilvl w:val="0"/>
          <w:numId w:val="1011"/>
        </w:numPr>
        <w:pStyle w:val="Compact"/>
      </w:pPr>
      <w:r>
        <w:t xml:space="preserve">CAUCA</w:t>
      </w:r>
    </w:p>
    <w:p>
      <w:pPr>
        <w:numPr>
          <w:ilvl w:val="0"/>
          <w:numId w:val="1011"/>
        </w:numPr>
        <w:pStyle w:val="Compact"/>
      </w:pPr>
      <w:r>
        <w:t xml:space="preserve">CHOCÓ</w:t>
      </w:r>
    </w:p>
    <w:p>
      <w:pPr>
        <w:numPr>
          <w:ilvl w:val="0"/>
          <w:numId w:val="1011"/>
        </w:numPr>
        <w:pStyle w:val="Compact"/>
      </w:pPr>
      <w:r>
        <w:t xml:space="preserve">NARIÑO</w:t>
      </w:r>
    </w:p>
    <w:p>
      <w:pPr>
        <w:numPr>
          <w:ilvl w:val="0"/>
          <w:numId w:val="1011"/>
        </w:numPr>
        <w:pStyle w:val="Compact"/>
      </w:pPr>
      <w:r>
        <w:t xml:space="preserve">VALLE DEL CAUCA</w:t>
      </w:r>
    </w:p>
    <w:bookmarkEnd w:id="242"/>
    <w:bookmarkEnd w:id="243"/>
    <w:bookmarkStart w:id="244" w:name="lineamientos-y-recomendaciones-generales"/>
    <w:p>
      <w:pPr>
        <w:pStyle w:val="Heading1"/>
      </w:pPr>
      <w:r>
        <w:rPr>
          <w:rStyle w:val="SectionNumber"/>
        </w:rPr>
        <w:t xml:space="preserve">9</w:t>
      </w:r>
      <w:r>
        <w:tab/>
      </w:r>
      <w:r>
        <w:t xml:space="preserve">Lineamientos y Recomendaciones Generales</w:t>
      </w:r>
    </w:p>
    <w:bookmarkEnd w:id="244"/>
    <w:bookmarkStart w:id="245" w:name="glosario"/>
    <w:p>
      <w:pPr>
        <w:pStyle w:val="Heading1"/>
      </w:pPr>
      <w:r>
        <w:t xml:space="preserve">Glosario</w:t>
      </w:r>
    </w:p>
    <w:p>
      <w:pPr>
        <w:numPr>
          <w:ilvl w:val="0"/>
          <w:numId w:val="1012"/>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2"/>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2"/>
        </w:numPr>
      </w:pPr>
      <w:r>
        <w:rPr>
          <w:bCs/>
          <w:b/>
        </w:rPr>
        <w:t xml:space="preserve">Desabastecimiento</w:t>
      </w:r>
      <w:r>
        <w:t xml:space="preserve">: Se entiende como la nula disponibilidad de un medicamento en todo el territorio nacional.</w:t>
      </w:r>
    </w:p>
    <w:p>
      <w:pPr>
        <w:numPr>
          <w:ilvl w:val="0"/>
          <w:numId w:val="1012"/>
        </w:numPr>
      </w:pPr>
      <w:r>
        <w:rPr>
          <w:bCs/>
          <w:b/>
        </w:rPr>
        <w:t xml:space="preserve">Disponibilidad</w:t>
      </w:r>
      <w:r>
        <w:t xml:space="preserve">: Condición en la cual se cuentan con existencias del medicamento en el territorio nacional.</w:t>
      </w:r>
    </w:p>
    <w:p>
      <w:pPr>
        <w:numPr>
          <w:ilvl w:val="0"/>
          <w:numId w:val="1012"/>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2"/>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2"/>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2"/>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2"/>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2"/>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2"/>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2"/>
        </w:numPr>
      </w:pPr>
      <w:r>
        <w:rPr>
          <w:bCs/>
          <w:b/>
        </w:rPr>
        <w:t xml:space="preserve">Monopolio del Estado</w:t>
      </w:r>
      <w:r>
        <w:t xml:space="preserve">: Derecho poseído de exclusividad por el Estado.</w:t>
      </w:r>
    </w:p>
    <w:p>
      <w:pPr>
        <w:numPr>
          <w:ilvl w:val="0"/>
          <w:numId w:val="1012"/>
        </w:numPr>
      </w:pPr>
      <w:r>
        <w:rPr>
          <w:bCs/>
          <w:b/>
        </w:rPr>
        <w:t xml:space="preserve">Principio Activo</w:t>
      </w:r>
      <w:r>
        <w:t xml:space="preserve">: Compuesto o mezcla de compuestos que tienen acción farmacológica.</w:t>
      </w:r>
    </w:p>
    <w:p>
      <w:pPr>
        <w:numPr>
          <w:ilvl w:val="0"/>
          <w:numId w:val="1012"/>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2"/>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2"/>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2"/>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2"/>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2"/>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5"/>
    <w:bookmarkStart w:id="247" w:name="créditos"/>
    <w:p>
      <w:pPr>
        <w:pStyle w:val="Heading1"/>
      </w:pPr>
      <w:r>
        <w:t xml:space="preserve">Créditos</w:t>
      </w:r>
    </w:p>
    <w:bookmarkStart w:id="246" w:name="grupo-desarrollador"/>
    <w:p>
      <w:pPr>
        <w:pStyle w:val="Heading3"/>
      </w:pPr>
      <w:r>
        <w:t xml:space="preserve">Grupo Desarrollador</w:t>
      </w:r>
    </w:p>
    <w:p>
      <w:pPr>
        <w:pStyle w:val="FirstParagraph"/>
      </w:pPr>
      <w:r>
        <w:rPr>
          <w:bCs/>
          <w:b/>
        </w:rPr>
        <w:t xml:space="preserve">Coordinación</w:t>
      </w:r>
    </w:p>
    <w:p>
      <w:pPr>
        <w:numPr>
          <w:ilvl w:val="0"/>
          <w:numId w:val="1013"/>
        </w:numPr>
        <w:pStyle w:val="Compact"/>
      </w:pPr>
      <w:r>
        <w:t xml:space="preserve">Hillary Andrea Gómez</w:t>
      </w:r>
    </w:p>
    <w:p>
      <w:pPr>
        <w:pStyle w:val="FirstParagraph"/>
      </w:pPr>
      <w:r>
        <w:rPr>
          <w:bCs/>
          <w:b/>
        </w:rPr>
        <w:t xml:space="preserve">Apoyo</w:t>
      </w:r>
    </w:p>
    <w:p>
      <w:pPr>
        <w:numPr>
          <w:ilvl w:val="0"/>
          <w:numId w:val="1014"/>
        </w:numPr>
      </w:pPr>
      <w:r>
        <w:t xml:space="preserve">Carlos Andres Acosta Pinto</w:t>
      </w:r>
    </w:p>
    <w:p>
      <w:pPr>
        <w:numPr>
          <w:ilvl w:val="0"/>
          <w:numId w:val="1014"/>
        </w:numPr>
      </w:pPr>
      <w:r>
        <w:t xml:space="preserve">Daniela del Pilar Carvajal Latorre</w:t>
      </w:r>
    </w:p>
    <w:p>
      <w:pPr>
        <w:pStyle w:val="FirstParagraph"/>
      </w:pPr>
      <w:r>
        <w:rPr>
          <w:bCs/>
          <w:b/>
        </w:rPr>
        <w:t xml:space="preserve">Realización de encuestas</w:t>
      </w:r>
    </w:p>
    <w:p>
      <w:pPr>
        <w:numPr>
          <w:ilvl w:val="0"/>
          <w:numId w:val="1015"/>
        </w:numPr>
      </w:pPr>
      <w:r>
        <w:t xml:space="preserve">Jhonathan Felipe Venegas Parra</w:t>
      </w:r>
    </w:p>
    <w:p>
      <w:pPr>
        <w:numPr>
          <w:ilvl w:val="0"/>
          <w:numId w:val="1015"/>
        </w:numPr>
      </w:pPr>
      <w:r>
        <w:t xml:space="preserve">Nicolas Alexander Cadena Ayala</w:t>
      </w:r>
    </w:p>
    <w:p>
      <w:pPr>
        <w:numPr>
          <w:ilvl w:val="0"/>
          <w:numId w:val="1015"/>
        </w:numPr>
      </w:pPr>
      <w:r>
        <w:t xml:space="preserve">Carlos Guillermo Leal Jimenez</w:t>
      </w:r>
    </w:p>
    <w:p>
      <w:pPr>
        <w:numPr>
          <w:ilvl w:val="0"/>
          <w:numId w:val="1015"/>
        </w:numPr>
      </w:pPr>
      <w:r>
        <w:t xml:space="preserve">Wilder Estiben Meneses Garavito</w:t>
      </w:r>
    </w:p>
    <w:p>
      <w:pPr>
        <w:pStyle w:val="FirstParagraph"/>
      </w:pPr>
      <w:r>
        <w:rPr>
          <w:bCs/>
          <w:b/>
        </w:rPr>
        <w:t xml:space="preserve">Estadística</w:t>
      </w:r>
    </w:p>
    <w:p>
      <w:pPr>
        <w:numPr>
          <w:ilvl w:val="0"/>
          <w:numId w:val="1016"/>
        </w:numPr>
        <w:pStyle w:val="Compact"/>
      </w:pPr>
      <w:r>
        <w:t xml:space="preserve">Daniel Sebastián Parra González</w:t>
      </w:r>
    </w:p>
    <w:bookmarkEnd w:id="246"/>
    <w:bookmarkEnd w:id="247"/>
    <w:bookmarkStart w:id="249" w:name="créditos-1"/>
    <w:p>
      <w:pPr>
        <w:pStyle w:val="Heading1"/>
      </w:pPr>
      <w:r>
        <w:t xml:space="preserve">Créditos</w:t>
      </w:r>
    </w:p>
    <w:bookmarkStart w:id="248" w:name="grupo-desarrollador-1"/>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48"/>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7" Target="media/rId167.png" /><Relationship Type="http://schemas.openxmlformats.org/officeDocument/2006/relationships/image" Id="rId71" Target="media/rId71.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21" Target="media/rId121.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64" Target="media/rId164.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91" Target="media/rId91.png" /><Relationship Type="http://schemas.openxmlformats.org/officeDocument/2006/relationships/image" Id="rId123" Target="media/rId123.pn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25" Target="media/rId125.png" /><Relationship Type="http://schemas.openxmlformats.org/officeDocument/2006/relationships/image" Id="rId170" Target="media/rId170.png" /><Relationship Type="http://schemas.openxmlformats.org/officeDocument/2006/relationships/image" Id="rId162" Target="media/rId162.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69" Target="media/rId169.png" /><Relationship Type="http://schemas.openxmlformats.org/officeDocument/2006/relationships/image" Id="rId171" Target="media/rId171.png" /><Relationship Type="http://schemas.openxmlformats.org/officeDocument/2006/relationships/image" Id="rId172" Target="media/rId172.png" /><Relationship Type="http://schemas.openxmlformats.org/officeDocument/2006/relationships/image" Id="rId88" Target="media/rId8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73" Target="media/rId173.png" /><Relationship Type="http://schemas.openxmlformats.org/officeDocument/2006/relationships/image" Id="rId86" Target="media/rId86.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97" Target="media/rId9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64" Target="media/rId64.png" /><Relationship Type="http://schemas.openxmlformats.org/officeDocument/2006/relationships/image" Id="rId148" Target="media/rId148.png" /><Relationship Type="http://schemas.openxmlformats.org/officeDocument/2006/relationships/image" Id="rId111" Target="media/rId111.png" /><Relationship Type="http://schemas.openxmlformats.org/officeDocument/2006/relationships/image" Id="rId158" Target="media/rId158.png" /><Relationship Type="http://schemas.openxmlformats.org/officeDocument/2006/relationships/image" Id="rId166" Target="media/rId166.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168" Target="media/rId168.png" /><Relationship Type="http://schemas.openxmlformats.org/officeDocument/2006/relationships/image" Id="rId73" Target="media/rId73.png" /><Relationship Type="http://schemas.openxmlformats.org/officeDocument/2006/relationships/image" Id="rId156" Target="media/rId156.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65" Target="media/rId165.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177" Target="media/rId177.jpg" /><Relationship Type="http://schemas.openxmlformats.org/officeDocument/2006/relationships/image" Id="rId201" Target="media/rId201.jp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image" Id="rId179" Target="media/rId179.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0" Target="media/rId230.png" /><Relationship Type="http://schemas.openxmlformats.org/officeDocument/2006/relationships/image" Id="rId181" Target="media/rId181.png" /><Relationship Type="http://schemas.openxmlformats.org/officeDocument/2006/relationships/image" Id="rId233" Target="media/rId233.png" /><Relationship Type="http://schemas.openxmlformats.org/officeDocument/2006/relationships/image" Id="rId235" Target="media/rId235.png" /><Relationship Type="http://schemas.openxmlformats.org/officeDocument/2006/relationships/image" Id="rId183" Target="media/rId183.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188" Target="media/rId188.png" /><Relationship Type="http://schemas.openxmlformats.org/officeDocument/2006/relationships/image" Id="rId190" Target="media/rId190.png" /><Relationship Type="http://schemas.openxmlformats.org/officeDocument/2006/relationships/image" Id="rId197" Target="media/rId19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2021-09-20T18:22:40Z</dcterms:created>
  <dcterms:modified xsi:type="dcterms:W3CDTF">2021-09-20T18:22:40Z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csl">
    <vt:lpwstr>infectio.csl</vt:lpwstr>
  </property>
  <property fmtid="{D5CDD505-2E9C-101B-9397-08002B2CF9AE}" pid="5" name="css">
    <vt:lpwstr>./www/style.css</vt:lpwstr>
  </property>
  <property fmtid="{D5CDD505-2E9C-101B-9397-08002B2CF9AE}" pid="6" name="date">
    <vt:lpwstr>24 de septiembre de 2021</vt:lpwstr>
  </property>
  <property fmtid="{D5CDD505-2E9C-101B-9397-08002B2CF9AE}" pid="7" name="documentclass">
    <vt:lpwstr>book</vt:lpwstr>
  </property>
  <property fmtid="{D5CDD505-2E9C-101B-9397-08002B2CF9AE}" pid="8" name="encoding">
    <vt:lpwstr>UTF-8</vt:lpwstr>
  </property>
  <property fmtid="{D5CDD505-2E9C-101B-9397-08002B2CF9AE}" pid="9" name="institution">
    <vt:lpwstr>Fondo Nacional de Estupefacientes</vt:lpwstr>
  </property>
  <property fmtid="{D5CDD505-2E9C-101B-9397-08002B2CF9AE}" pid="10" name="link-citations">
    <vt:lpwstr>yes</vt:lpwstr>
  </property>
  <property fmtid="{D5CDD505-2E9C-101B-9397-08002B2CF9AE}" pid="11" name="output">
    <vt:lpwstr/>
  </property>
  <property fmtid="{D5CDD505-2E9C-101B-9397-08002B2CF9AE}" pid="12" name="site">
    <vt:lpwstr>bookdown::bookdown_site</vt:lpwstr>
  </property>
  <property fmtid="{D5CDD505-2E9C-101B-9397-08002B2CF9AE}" pid="13" name="toc-title">
    <vt:lpwstr>Tabla de Contenidos</vt:lpwstr>
  </property>
</Properties>
</file>