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7.png" ContentType="image/png"/>
  <Override PartName="/word/media/rId85.png" ContentType="image/png"/>
  <Override PartName="/word/media/rId152.png" ContentType="image/png"/>
  <Override PartName="/word/media/rId154.png" ContentType="image/png"/>
  <Override PartName="/word/media/rId119.png" ContentType="image/png"/>
  <Override PartName="/word/media/rId101.png" ContentType="image/png"/>
  <Override PartName="/word/media/rId173.png" ContentType="image/png"/>
  <Override PartName="/word/media/rId133.png" ContentType="image/png"/>
  <Override PartName="/word/media/rId61.png" ContentType="image/png"/>
  <Override PartName="/word/media/rId176.png" ContentType="image/png"/>
  <Override PartName="/word/media/rId112.png" ContentType="image/png"/>
  <Override PartName="/word/media/rId113.png" ContentType="image/png"/>
  <Override PartName="/word/media/rId105.png" ContentType="image/png"/>
  <Override PartName="/word/media/rId122.png" ContentType="image/png"/>
  <Override PartName="/word/media/rId149.png" ContentType="image/png"/>
  <Override PartName="/word/media/rId142.png" ContentType="image/png"/>
  <Override PartName="/word/media/rId124.png" ContentType="image/png"/>
  <Override PartName="/word/media/rId183.png" ContentType="image/png"/>
  <Override PartName="/word/media/rId191.png" ContentType="image/png"/>
  <Override PartName="/word/media/rId110.png" ContentType="image/png"/>
  <Override PartName="/word/media/rId214.png" ContentType="image/png"/>
  <Override PartName="/word/media/rId186.png" ContentType="image/png"/>
  <Override PartName="/word/media/rId43.png" ContentType="image/png"/>
  <Override PartName="/word/media/rId45.png" ContentType="image/png"/>
  <Override PartName="/word/media/rId135.png" ContentType="image/png"/>
  <Override PartName="/word/media/rId92.png" ContentType="image/png"/>
  <Override PartName="/word/media/rId139.png" ContentType="image/png"/>
  <Override PartName="/word/media/rId99.png" ContentType="image/png"/>
  <Override PartName="/word/media/rId171.png" ContentType="image/png"/>
  <Override PartName="/word/media/rId144.png" ContentType="image/png"/>
  <Override PartName="/word/media/rId180.png" ContentType="image/png"/>
  <Override PartName="/word/media/rId64.png" ContentType="image/png"/>
  <Override PartName="/word/media/rId146.png" ContentType="image/png"/>
  <Override PartName="/word/media/rId169.png" ContentType="image/png"/>
  <Override PartName="/word/media/rId147.png" ContentType="image/png"/>
  <Override PartName="/word/media/rId202.png" ContentType="image/png"/>
  <Override PartName="/word/media/rId77.png" ContentType="image/png"/>
  <Override PartName="/word/media/rId178.png" ContentType="image/png"/>
  <Override PartName="/word/media/rId211.png" ContentType="image/png"/>
  <Override PartName="/word/media/rId87.png" ContentType="image/png"/>
  <Override PartName="/word/media/rId90.png" ContentType="image/png"/>
  <Override PartName="/word/media/rId82.png" ContentType="image/png"/>
  <Override PartName="/word/media/rId197.png" ContentType="image/png"/>
  <Override PartName="/word/media/rId195.png" ContentType="image/png"/>
  <Override PartName="/word/media/rId204.png" ContentType="image/png"/>
  <Override PartName="/word/media/rId128.png" ContentType="image/png"/>
  <Override PartName="/word/media/rId116.png" ContentType="image/png"/>
  <Override PartName="/word/media/rId157.png" ContentType="image/png"/>
  <Override PartName="/word/media/rId130.png" ContentType="image/png"/>
  <Override PartName="/word/media/rId163.png" ContentType="image/png"/>
  <Override PartName="/word/media/rId58.png" ContentType="image/png"/>
  <Override PartName="/word/media/rId56.png" ContentType="image/png"/>
  <Override PartName="/word/media/rId96.png" ContentType="image/png"/>
  <Override PartName="/word/media/rId49.png" ContentType="image/png"/>
  <Override PartName="/word/media/rId52.png" ContentType="image/png"/>
  <Override PartName="/word/media/rId36.png" ContentType="image/png"/>
  <Override PartName="/word/media/rId38.png" ContentType="image/png"/>
  <Override PartName="/word/media/rId40.png" ContentType="image/png"/>
  <Override PartName="/word/media/rId68.png" ContentType="image/png"/>
  <Override PartName="/word/media/rId29.png" ContentType="image/png"/>
  <Override PartName="/word/media/rId30.png" ContentType="image/png"/>
  <Override PartName="/word/media/rId27.png" ContentType="image/png"/>
  <Override PartName="/word/media/rId32.png" ContentType="image/png"/>
  <Override PartName="/word/media/rId161.png" ContentType="image/png"/>
  <Override PartName="/word/media/rId165.png" ContentType="image/png"/>
  <Override PartName="/word/media/rId24.png" ContentType="image/png"/>
  <Override PartName="/word/media/rId73.png" ContentType="image/png"/>
  <Override PartName="/word/media/rId193.png" ContentType="image/png"/>
  <Override PartName="/word/media/rId200.png" ContentType="image/png"/>
  <Override PartName="/word/media/rId70.jpg" ContentType="image/jpe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8"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1</w:t>
        </w:r>
      </w:hyperlink>
      <w:r>
        <w:t xml:space="preserve">.</w:t>
      </w:r>
    </w:p>
    <w:bookmarkStart w:id="26"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1</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8"/>
        </w:numPr>
        <w:pStyle w:val="Compact"/>
      </w:pPr>
      <w:r>
        <w:t xml:space="preserve">Ordenanzas</w:t>
      </w:r>
    </w:p>
    <w:p>
      <w:pPr>
        <w:numPr>
          <w:ilvl w:val="0"/>
          <w:numId w:val="1008"/>
        </w:numPr>
        <w:pStyle w:val="Compact"/>
      </w:pPr>
      <w:r>
        <w:t xml:space="preserve">Resoluciones</w:t>
      </w:r>
    </w:p>
    <w:p>
      <w:pPr>
        <w:numPr>
          <w:ilvl w:val="0"/>
          <w:numId w:val="1008"/>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2</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 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3</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4</w:t>
        </w:r>
      </w:hyperlink>
      <w:r>
        <w:t xml:space="preserve"> </w:t>
      </w:r>
      <w:r>
        <w:t xml:space="preserve">y Resolución 1479 del 2006</w:t>
      </w:r>
      <w:hyperlink w:anchor="ref-MSPS1479-2006">
        <w:r>
          <w:rPr>
            <w:rStyle w:val="Hyperlink"/>
            <w:vertAlign w:val="superscript"/>
          </w:rPr>
          <w:t xml:space="preserve">1</w:t>
        </w:r>
      </w:hyperlink>
      <w:r>
        <w:t xml:space="preserve">. Durante las asistencias técnicas desarrolladas, se presentaron algunos casos como Córdoba y Vaupés en los cuales no fue posibles verificar el acto administrativo de creación.</w:t>
      </w:r>
    </w:p>
    <w:bookmarkEnd w:id="26"/>
    <w:bookmarkStart w:id="35"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09"/>
        </w:numPr>
      </w:pPr>
      <w:r>
        <w:t xml:space="preserve">De acuerdo con sí la persona era la encargada del FRE o un apoyo del(a) encargado(a).</w:t>
      </w:r>
    </w:p>
    <w:p>
      <w:pPr>
        <w:numPr>
          <w:ilvl w:val="0"/>
          <w:numId w:val="1009"/>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1</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40005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1</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1</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0"/>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1" w:name="fig3"/>
      <w:r>
        <w:t xml:space="preserve">Figure </w:t>
      </w:r>
      <w:fldSimple w:instr="SEQ Figure \* ARABIC ">
        <w:r>
          <w:t>3</w:t>
        </w:r>
      </w:fldSimple>
      <w:r>
        <w:t xml:space="preserve">:</w:t>
      </w:r>
      <w:r>
        <w:t xml:space="preserve"> </w:t>
      </w:r>
      <w:bookmarkEnd w:id="31"/>
      <w:r>
        <w:t xml:space="preserve">Figura 4.4: N.° de personas que trabajan en el FRE</w:t>
      </w:r>
    </w:p>
    <w:p>
      <w:pPr>
        <w:pStyle w:val="BodyText"/>
      </w:pPr>
      <w:r>
        <w:t xml:space="preserve">Según lo anterior, podemos evidenciar que no son muchas personas vinculadas a los FRE para conformar su equipo de trabajo. En su gran mayoría tienen únicamente hasta tres personas para el desempeño del FRE, contemplando que nueve FRE tienen solo 2 personas vinculadas. Son muy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gran tendencia que tienen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3" w:name="fig4"/>
      <w:r>
        <w:t xml:space="preserve">Figure </w:t>
      </w:r>
      <w:fldSimple w:instr="SEQ Figure \* ARABIC ">
        <w:r>
          <w:t>4</w:t>
        </w:r>
      </w:fldSimple>
      <w:r>
        <w:t xml:space="preserve">:</w:t>
      </w:r>
      <w:r>
        <w:t xml:space="preserve"> </w:t>
      </w:r>
      <w:bookmarkEnd w:id="33"/>
      <w:r>
        <w:t xml:space="preserve">Figura 4.5: Tipo de vinculación al FRE</w:t>
      </w:r>
    </w:p>
    <w:p>
      <w:pPr>
        <w:pStyle w:val="BodyText"/>
      </w:pPr>
      <w:r>
        <w:t xml:space="preserve">La anterior tendencia puede interferir y generar inconvenientes en la continuidad del desarrollo adecuado del FRE, afectando la funcionalidad y abandonando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4" w:name="table1"/>
      <w:r>
        <w:t xml:space="preserve">Table </w:t>
      </w:r>
      <w:fldSimple w:instr="SEQ Table \* ARABIC ">
        <w:r>
          <w:t>1</w:t>
        </w:r>
      </w:fldSimple>
      <w:r>
        <w:t xml:space="preserve">:</w:t>
      </w:r>
      <w:bookmarkEnd w:id="34"/>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5"/>
    <w:bookmarkStart w:id="42"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exceptuando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5</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7" w:name="fig5"/>
      <w:r>
        <w:t xml:space="preserve">Figure </w:t>
      </w:r>
      <w:fldSimple w:instr="SEQ Figure \* ARABIC ">
        <w:r>
          <w:t>5</w:t>
        </w:r>
      </w:fldSimple>
      <w:r>
        <w:t xml:space="preserve">:</w:t>
      </w:r>
      <w:r>
        <w:t xml:space="preserve"> </w:t>
      </w:r>
      <w:bookmarkEnd w:id="37"/>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5</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6"/>
      <w:r>
        <w:t xml:space="preserve">Figure </w:t>
      </w:r>
      <w:fldSimple w:instr="SEQ Figure \* ARABIC ">
        <w:r>
          <w:t>6</w:t>
        </w:r>
      </w:fldSimple>
      <w:r>
        <w:t xml:space="preserve">:</w:t>
      </w:r>
      <w:r>
        <w:t xml:space="preserve"> </w:t>
      </w:r>
      <w:bookmarkEnd w:id="39"/>
      <w:r>
        <w:t xml:space="preserve">Figura 4.7: Relación entre N° de instituciones inscritas y personal del FRE</w:t>
      </w:r>
    </w:p>
    <w:p>
      <w:pPr>
        <w:pStyle w:val="CaptionedFigure"/>
      </w:pPr>
      <w:r>
        <w:drawing>
          <wp:inline>
            <wp:extent cx="5334000" cy="2133600"/>
            <wp:effectExtent b="0" l="0" r="0" t="0"/>
            <wp:docPr descr="Figura 4.8: Relación entre N° de instituciones inscritas y tamaño poblacional del departamento y número de camas de acuerdo a REP"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1" w:name="fig7"/>
      <w:r>
        <w:t xml:space="preserve">Figure </w:t>
      </w:r>
      <w:fldSimple w:instr="SEQ Figure \* ARABIC ">
        <w:r>
          <w:t>7</w:t>
        </w:r>
      </w:fldSimple>
      <w:r>
        <w:t xml:space="preserve">:</w:t>
      </w:r>
      <w:r>
        <w:t xml:space="preserve"> </w:t>
      </w:r>
      <w:bookmarkEnd w:id="41"/>
      <w:r>
        <w:t xml:space="preserve">Figura 4.8: Relación entre N° de instituciones inscritas y tamaño poblacional del departamento y número de camas de acuerdo a REP</w:t>
      </w:r>
    </w:p>
    <w:bookmarkEnd w:id="42"/>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punto, se hará exclusivamente con la información recolectada a partir del instrumento de encuesta que se usó para la recolección de información pertinente en este informe.</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4</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1</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4" w:name="fig8"/>
      <w:r>
        <w:t xml:space="preserve">Figure </w:t>
      </w:r>
      <w:fldSimple w:instr="SEQ Figure \* ARABIC ">
        <w:r>
          <w:t>8</w:t>
        </w:r>
      </w:fldSimple>
      <w:r>
        <w:t xml:space="preserve">:</w:t>
      </w:r>
      <w:r>
        <w:t xml:space="preserve"> </w:t>
      </w:r>
      <w:bookmarkEnd w:id="44"/>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0"/>
        </w:numPr>
      </w:pPr>
      <w:r>
        <w:t xml:space="preserve">Venta de Medicamentos Monopolio del Estado</w:t>
      </w:r>
    </w:p>
    <w:p>
      <w:pPr>
        <w:numPr>
          <w:ilvl w:val="0"/>
          <w:numId w:val="1010"/>
        </w:numPr>
      </w:pPr>
      <w:r>
        <w:t xml:space="preserve">Venta de Recetarios Oficiales</w:t>
      </w:r>
    </w:p>
    <w:p>
      <w:pPr>
        <w:numPr>
          <w:ilvl w:val="0"/>
          <w:numId w:val="1010"/>
        </w:numPr>
      </w:pPr>
      <w:r>
        <w:t xml:space="preserve">Producción y emisión de actos administrativos pertinentes al manejo de MME</w:t>
      </w:r>
    </w:p>
    <w:p>
      <w:pPr>
        <w:numPr>
          <w:ilvl w:val="0"/>
          <w:numId w:val="1010"/>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A partir de la Figura</w:t>
      </w:r>
      <w:r>
        <w:t xml:space="preserve"> </w:t>
      </w:r>
      <w:r>
        <w:t xml:space="preserve">4.9</w:t>
      </w:r>
      <w:r>
        <w:t xml:space="preserve">, se observa que la venta de MME tiene una tendencia a ser la proporción más grande sobre los ingresos que reciben los FRE departamentales. Esto se puede deber a que cada departamento maneja independencia en los precios de venta de estos medicamentos y desde ahí se podría obtener una rentabilidad mayor. En el desarrollo del apartado 6.4 Precio de medicamentos del presente informe, se desglosará un análisis más profundo sobre los precios de venta de los MME por departamento, pero grosso modo se puede notar que el margen es lo suficientemente alto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9"/>
      <w:r>
        <w:t xml:space="preserve">Figure </w:t>
      </w:r>
      <w:fldSimple w:instr="SEQ Figure \* ARABIC ">
        <w:r>
          <w:t>9</w:t>
        </w:r>
      </w:fldSimple>
      <w:r>
        <w:t xml:space="preserve">:</w:t>
      </w:r>
      <w:r>
        <w:t xml:space="preserve"> </w:t>
      </w:r>
      <w:bookmarkEnd w:id="46"/>
      <w:r>
        <w:t xml:space="preserve">Figura 4.10: Mapa con fuentes de ingresos de los FRE</w:t>
      </w:r>
    </w:p>
    <w:p>
      <w:pPr>
        <w:pStyle w:val="BodyText"/>
      </w:pPr>
      <w:r>
        <w:rPr>
          <w:bCs/>
          <w:b/>
        </w:rPr>
        <w:t xml:space="preserve">En algunos casos no se logró obtener información de las fuentes de información…</w:t>
      </w:r>
    </w:p>
    <w:bookmarkEnd w:id="47"/>
    <w:bookmarkEnd w:id="48"/>
    <w:bookmarkStart w:id="109"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6</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4</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4</w:t>
        </w:r>
      </w:hyperlink>
      <w:r>
        <w:t xml:space="preserve">.</w:t>
      </w:r>
    </w:p>
    <w:bookmarkStart w:id="55" w:name="existencia-de-recetarios"/>
    <w:p>
      <w:pPr>
        <w:pStyle w:val="Heading2"/>
      </w:pPr>
      <w:r>
        <w:rPr>
          <w:rStyle w:val="SectionNumber"/>
        </w:rPr>
        <w:t xml:space="preserve">5.1</w:t>
      </w:r>
      <w:r>
        <w:tab/>
      </w:r>
      <w:r>
        <w:t xml:space="preserve">Existencia de recetarios</w:t>
      </w:r>
    </w:p>
    <w:bookmarkStart w:id="51"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territoriales con los FRE del país se pudo determinar la cantidad de recetarios oficiales con los que cuentan entre los meses de junio a septiembre. Así pues, como se observa en la Figura</w:t>
      </w:r>
      <w:r>
        <w:t xml:space="preserve"> </w:t>
      </w:r>
      <w:r>
        <w:t xml:space="preserve">5.1</w:t>
      </w:r>
      <w:r>
        <w:t xml:space="preserve">A, se observa la tendencia de los departamentos más distantes de la capital de la nación, a presentar una menor cantidad de recetarios en existencia.</w:t>
      </w:r>
    </w:p>
    <w:p>
      <w:pPr>
        <w:pStyle w:val="CaptionedFigure"/>
      </w:pPr>
      <w:r>
        <w:drawing>
          <wp:inline>
            <wp:extent cx="5334000" cy="2222500"/>
            <wp:effectExtent b="0" l="0" r="0" t="0"/>
            <wp:docPr descr="Figura 5.1: Existencias en el FRE. (A) N.° de existencias de recetarios en el FRE y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5.1: Existencias en el FRE. (A) N.° de existencias de recetarios en el FRE y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51"/>
    <w:bookmarkStart w:id="54"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5</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3" w:name="fig11"/>
      <w:r>
        <w:t xml:space="preserve">Figure </w:t>
      </w:r>
      <w:fldSimple w:instr="SEQ Figure \* ARABIC ">
        <w:r>
          <w:t>11</w:t>
        </w:r>
      </w:fldSimple>
      <w:r>
        <w:t xml:space="preserve">:</w:t>
      </w:r>
      <w:r>
        <w:t xml:space="preserve"> </w:t>
      </w:r>
      <w:bookmarkEnd w:id="53"/>
      <w:r>
        <w:t xml:space="preserve">Figura 5.2: N.° de recetarios circulantes en el departamento</w:t>
      </w:r>
    </w:p>
    <w:bookmarkEnd w:id="54"/>
    <w:bookmarkEnd w:id="55"/>
    <w:bookmarkStart w:id="67" w:name="costos-de-recetarios"/>
    <w:p>
      <w:pPr>
        <w:pStyle w:val="Heading2"/>
      </w:pPr>
      <w:r>
        <w:rPr>
          <w:rStyle w:val="SectionNumber"/>
        </w:rPr>
        <w:t xml:space="preserve">5.2</w:t>
      </w:r>
      <w:r>
        <w:tab/>
      </w:r>
      <w:r>
        <w:t xml:space="preserve">Costos de recetarios</w:t>
      </w:r>
    </w:p>
    <w:bookmarkStart w:id="60"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A) Costos de adquisición de recetarios por departamento.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7" w:name="fig12"/>
      <w:r>
        <w:t xml:space="preserve">Figure </w:t>
      </w:r>
      <w:fldSimple w:instr="SEQ Figure \* ARABIC ">
        <w:r>
          <w:t>12</w:t>
        </w:r>
      </w:fldSimple>
      <w:r>
        <w:t xml:space="preserve">:</w:t>
      </w:r>
      <w:r>
        <w:t xml:space="preserve"> </w:t>
      </w:r>
      <w:bookmarkEnd w:id="57"/>
      <w:r>
        <w:t xml:space="preserve">Figura 5.3: Comparativo de costo vs precio de recetarios por departamento. (A) Costos de adquisición de recetarios por departamento.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A) Frecuencia de departamentos por márgen de ganancia.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9" w:name="fig13"/>
      <w:r>
        <w:t xml:space="preserve">Figure </w:t>
      </w:r>
      <w:fldSimple w:instr="SEQ Figure \* ARABIC ">
        <w:r>
          <w:t>13</w:t>
        </w:r>
      </w:fldSimple>
      <w:r>
        <w:t xml:space="preserve">:</w:t>
      </w:r>
      <w:r>
        <w:t xml:space="preserve"> </w:t>
      </w:r>
      <w:bookmarkEnd w:id="59"/>
      <w:r>
        <w:t xml:space="preserve">Figura 5.4: Márgen de ganancia por recetario. (A) Frecuencia de departamentos por márgen de ganancia.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60"/>
    <w:bookmarkStart w:id="63"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11"/>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7</w:t>
        </w:r>
      </w:hyperlink>
      <w:r>
        <w:t xml:space="preserve">.</w:t>
      </w:r>
    </w:p>
    <w:p>
      <w:pPr>
        <w:numPr>
          <w:ilvl w:val="0"/>
          <w:numId w:val="1011"/>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7</w:t>
        </w:r>
      </w:hyperlink>
      <w:r>
        <w:t xml:space="preserve">.</w:t>
      </w:r>
    </w:p>
    <w:p>
      <w:pPr>
        <w:numPr>
          <w:ilvl w:val="0"/>
          <w:numId w:val="1011"/>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7</w:t>
        </w:r>
      </w:hyperlink>
      <w:r>
        <w:t xml:space="preserve">.</w:t>
      </w:r>
    </w:p>
    <w:p>
      <w:pPr>
        <w:numPr>
          <w:ilvl w:val="0"/>
          <w:numId w:val="1011"/>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8</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y se tuvieron en cuenta regresores como:</w:t>
      </w:r>
    </w:p>
    <w:p>
      <w:pPr>
        <w:numPr>
          <w:ilvl w:val="0"/>
          <w:numId w:val="1012"/>
        </w:numPr>
      </w:pPr>
      <w:r>
        <w:t xml:space="preserve">número de prescripciones en el recetario (variable continua).</w:t>
      </w:r>
    </w:p>
    <w:p>
      <w:pPr>
        <w:numPr>
          <w:ilvl w:val="0"/>
          <w:numId w:val="1012"/>
        </w:numPr>
      </w:pPr>
      <w:r>
        <w:t xml:space="preserve">número de medidas de seguridad implementadas en el recetario (variable continua).</w:t>
      </w:r>
    </w:p>
    <w:p>
      <w:pPr>
        <w:numPr>
          <w:ilvl w:val="0"/>
          <w:numId w:val="1012"/>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El modelo generado (ver Tabla</w:t>
      </w:r>
      <w:r>
        <w:t xml:space="preserve"> </w:t>
      </w:r>
      <w:r>
        <w:t xml:space="preserve">5.1</w:t>
      </w:r>
      <w:r>
        <w:t xml:space="preserve">) presenta una bondad de ajuste muy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1"/>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2" w:name="fig14"/>
      <w:r>
        <w:t xml:space="preserve">Figure </w:t>
      </w:r>
      <w:fldSimple w:instr="SEQ Figure \* ARABIC ">
        <w:r>
          <w:t>14</w:t>
        </w:r>
      </w:fldSimple>
      <w:r>
        <w:t xml:space="preserve">:</w:t>
      </w:r>
      <w:r>
        <w:t xml:space="preserve"> </w:t>
      </w:r>
      <w:bookmarkEnd w:id="62"/>
      <w:r>
        <w:t xml:space="preserve">Figura 5.5: Gráficos de dependencia parcial - Modelo de Costos.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63"/>
    <w:bookmarkStart w:id="66"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5" w:name="fig15"/>
      <w:r>
        <w:t xml:space="preserve">Figure </w:t>
      </w:r>
      <w:fldSimple w:instr="SEQ Figure \* ARABIC ">
        <w:r>
          <w:t>15</w:t>
        </w:r>
      </w:fldSimple>
      <w:r>
        <w:t xml:space="preserve">:</w:t>
      </w:r>
      <w:r>
        <w:t xml:space="preserve"> </w:t>
      </w:r>
      <w:bookmarkEnd w:id="65"/>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66"/>
    <w:bookmarkEnd w:id="67"/>
    <w:bookmarkStart w:id="76" w:name="adquisición-de-recetarios"/>
    <w:p>
      <w:pPr>
        <w:pStyle w:val="Heading2"/>
      </w:pPr>
      <w:r>
        <w:rPr>
          <w:rStyle w:val="SectionNumber"/>
        </w:rPr>
        <w:t xml:space="preserve">5.3</w:t>
      </w:r>
      <w:r>
        <w:tab/>
      </w:r>
      <w:r>
        <w:t xml:space="preserve">Adquisición de recetarios</w:t>
      </w:r>
    </w:p>
    <w:bookmarkStart w:id="72"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9" w:name="fig16"/>
      <w:r>
        <w:t xml:space="preserve">Figure </w:t>
      </w:r>
      <w:fldSimple w:instr="SEQ Figure \* ARABIC ">
        <w:r>
          <w:t>16</w:t>
        </w:r>
      </w:fldSimple>
      <w:r>
        <w:t xml:space="preserve">:</w:t>
      </w:r>
      <w:r>
        <w:t xml:space="preserve"> </w:t>
      </w:r>
      <w:bookmarkEnd w:id="69"/>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70"/>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71" w:name="fig17"/>
      <w:r>
        <w:t xml:space="preserve">Figure </w:t>
      </w:r>
      <w:fldSimple w:instr="SEQ Figure \* ARABIC ">
        <w:r>
          <w:t>17</w:t>
        </w:r>
      </w:fldSimple>
      <w:r>
        <w:t xml:space="preserve">:</w:t>
      </w:r>
      <w:r>
        <w:t xml:space="preserve"> </w:t>
      </w:r>
      <w:bookmarkEnd w:id="71"/>
      <w:r>
        <w:t xml:space="preserve">Figura 5.8: Proceso de contratación/licitación de los recetarios oficiales.</w:t>
      </w:r>
    </w:p>
    <w:bookmarkEnd w:id="72"/>
    <w:bookmarkStart w:id="75"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4" w:name="fig18"/>
      <w:r>
        <w:t xml:space="preserve">Figure </w:t>
      </w:r>
      <w:fldSimple w:instr="SEQ Figure \* ARABIC ">
        <w:r>
          <w:t>18</w:t>
        </w:r>
      </w:fldSimple>
      <w:r>
        <w:t xml:space="preserve">:</w:t>
      </w:r>
      <w:r>
        <w:t xml:space="preserve"> </w:t>
      </w:r>
      <w:bookmarkEnd w:id="74"/>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75"/>
    <w:bookmarkEnd w:id="76"/>
    <w:bookmarkStart w:id="95" w:name="procesos-relacionados-a-los-recetarios"/>
    <w:p>
      <w:pPr>
        <w:pStyle w:val="Heading2"/>
      </w:pPr>
      <w:r>
        <w:rPr>
          <w:rStyle w:val="SectionNumber"/>
        </w:rPr>
        <w:t xml:space="preserve">5.4</w:t>
      </w:r>
      <w:r>
        <w:tab/>
      </w:r>
      <w:r>
        <w:t xml:space="preserve">Procesos relacionados a los recetarios</w:t>
      </w:r>
    </w:p>
    <w:bookmarkStart w:id="79"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A) Porcentaje de entes territoriales que reciben recetarios oficiales recibidos prescritos/diligenciados.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8" w:name="fig19"/>
      <w:r>
        <w:t xml:space="preserve">Figure </w:t>
      </w:r>
      <w:fldSimple w:instr="SEQ Figure \* ARABIC ">
        <w:r>
          <w:t>19</w:t>
        </w:r>
      </w:fldSimple>
      <w:r>
        <w:t xml:space="preserve">:</w:t>
      </w:r>
      <w:r>
        <w:t xml:space="preserve"> </w:t>
      </w:r>
      <w:bookmarkEnd w:id="78"/>
      <w:r>
        <w:t xml:space="preserve">Figura 5.10: Recepción de recetarios. (A) Porcentaje de entes territoriales que reciben recetarios oficiales recibidos prescritos/diligenciados.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79"/>
    <w:bookmarkStart w:id="84"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80"/>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81" w:name="fig20"/>
      <w:r>
        <w:t xml:space="preserve">Figure </w:t>
      </w:r>
      <w:fldSimple w:instr="SEQ Figure \* ARABIC ">
        <w:r>
          <w:t>20</w:t>
        </w:r>
      </w:fldSimple>
      <w:r>
        <w:t xml:space="preserve">:</w:t>
      </w:r>
      <w:r>
        <w:t xml:space="preserve"> </w:t>
      </w:r>
      <w:bookmarkEnd w:id="81"/>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1</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83" w:name="fig21"/>
      <w:r>
        <w:t xml:space="preserve">Figure </w:t>
      </w:r>
      <w:fldSimple w:instr="SEQ Figure \* ARABIC ">
        <w:r>
          <w:t>21</w:t>
        </w:r>
      </w:fldSimple>
      <w:r>
        <w:t xml:space="preserve">:</w:t>
      </w:r>
      <w:r>
        <w:t xml:space="preserve"> </w:t>
      </w:r>
      <w:bookmarkEnd w:id="83"/>
      <w:r>
        <w:t xml:space="preserve">Figura 5.12: Tiempo de demora en la venta de recetarios oficiales a clientes</w:t>
      </w:r>
    </w:p>
    <w:bookmarkEnd w:id="84"/>
    <w:bookmarkStart w:id="89"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13"/>
        </w:numPr>
      </w:pPr>
      <w:r>
        <w:t xml:space="preserve">Datos básicos de las entidades y prescriptores inscritos en el FRE.</w:t>
      </w:r>
    </w:p>
    <w:p>
      <w:pPr>
        <w:numPr>
          <w:ilvl w:val="0"/>
          <w:numId w:val="1013"/>
        </w:numPr>
      </w:pPr>
      <w:r>
        <w:t xml:space="preserve">Unidades consumidas y su respectivo valor.</w:t>
      </w:r>
    </w:p>
    <w:p>
      <w:pPr>
        <w:numPr>
          <w:ilvl w:val="0"/>
          <w:numId w:val="1013"/>
        </w:numPr>
      </w:pPr>
      <w:r>
        <w:t xml:space="preserve">Datos de identificación de los recetarios.</w:t>
      </w:r>
    </w:p>
    <w:p>
      <w:pPr>
        <w:numPr>
          <w:ilvl w:val="0"/>
          <w:numId w:val="1013"/>
        </w:numPr>
      </w:pPr>
      <w:r>
        <w:t xml:space="preserve">Número de talonarios que se distribuyen en los respectivos departamentos.</w:t>
      </w:r>
    </w:p>
    <w:p>
      <w:pPr>
        <w:pStyle w:val="CaptionedFigure"/>
      </w:pPr>
      <w:r>
        <w:drawing>
          <wp:inline>
            <wp:extent cx="5334000" cy="3048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85"/>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6" w:name="fig22"/>
      <w:r>
        <w:t xml:space="preserve">Figure </w:t>
      </w:r>
      <w:fldSimple w:instr="SEQ Figure \* ARABIC ">
        <w:r>
          <w:t>22</w:t>
        </w:r>
      </w:fldSimple>
      <w:r>
        <w:t xml:space="preserve">:</w:t>
      </w:r>
      <w:r>
        <w:t xml:space="preserve"> </w:t>
      </w:r>
      <w:bookmarkEnd w:id="86"/>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14"/>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14"/>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88" w:name="fig23"/>
      <w:r>
        <w:t xml:space="preserve">Figure </w:t>
      </w:r>
      <w:fldSimple w:instr="SEQ Figure \* ARABIC ">
        <w:r>
          <w:t>23</w:t>
        </w:r>
      </w:fldSimple>
      <w:r>
        <w:t xml:space="preserve">:</w:t>
      </w:r>
      <w:r>
        <w:t xml:space="preserve"> </w:t>
      </w:r>
      <w:bookmarkEnd w:id="88"/>
      <w:r>
        <w:t xml:space="preserve">Figura 5.14: Actividades realizadas por el FRE para el seguimiento del uso de recetarios</w:t>
      </w:r>
    </w:p>
    <w:bookmarkEnd w:id="89"/>
    <w:bookmarkStart w:id="94"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9</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809999"/>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9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1" w:name="fig24"/>
      <w:r>
        <w:t xml:space="preserve">Figure </w:t>
      </w:r>
      <w:fldSimple w:instr="SEQ Figure \* ARABIC ">
        <w:r>
          <w:t>24</w:t>
        </w:r>
      </w:fldSimple>
      <w:r>
        <w:t xml:space="preserve">:</w:t>
      </w:r>
      <w:r>
        <w:t xml:space="preserve"> </w:t>
      </w:r>
      <w:bookmarkEnd w:id="91"/>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10</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9</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9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3" w:name="fig25"/>
      <w:r>
        <w:t xml:space="preserve">Figure </w:t>
      </w:r>
      <w:fldSimple w:instr="SEQ Figure \* ARABIC ">
        <w:r>
          <w:t>25</w:t>
        </w:r>
      </w:fldSimple>
      <w:r>
        <w:t xml:space="preserve">:</w:t>
      </w:r>
      <w:r>
        <w:t xml:space="preserve"> </w:t>
      </w:r>
      <w:bookmarkEnd w:id="93"/>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94"/>
    <w:bookmarkEnd w:id="95"/>
    <w:bookmarkStart w:id="104" w:name="características-de-los-recetarios"/>
    <w:p>
      <w:pPr>
        <w:pStyle w:val="Heading2"/>
      </w:pPr>
      <w:r>
        <w:rPr>
          <w:rStyle w:val="SectionNumber"/>
        </w:rPr>
        <w:t xml:space="preserve">5.5</w:t>
      </w:r>
      <w:r>
        <w:tab/>
      </w:r>
      <w:r>
        <w:t xml:space="preserve">Características de los recetarios</w:t>
      </w:r>
    </w:p>
    <w:bookmarkStart w:id="98"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4</w:t>
        </w:r>
      </w:hyperlink>
      <w:r>
        <w:t xml:space="preserve"> </w:t>
      </w:r>
      <w:r>
        <w:t xml:space="preserve">y Resolución 1479 de 2006</w:t>
      </w:r>
      <w:hyperlink w:anchor="ref-MSPS1479-2006">
        <w:r>
          <w:rPr>
            <w:rStyle w:val="Hyperlink"/>
            <w:vertAlign w:val="superscript"/>
          </w:rPr>
          <w:t xml:space="preserve">1</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7" w:name="fig26"/>
      <w:r>
        <w:t xml:space="preserve">Figure </w:t>
      </w:r>
      <w:fldSimple w:instr="SEQ Figure \* ARABIC ">
        <w:r>
          <w:t>26</w:t>
        </w:r>
      </w:fldSimple>
      <w:r>
        <w:t xml:space="preserve">:</w:t>
      </w:r>
      <w:r>
        <w:t xml:space="preserve"> </w:t>
      </w:r>
      <w:bookmarkEnd w:id="97"/>
      <w:r>
        <w:t xml:space="preserve">Figura 5.17: N.° de prescripciones por recetario</w:t>
      </w:r>
    </w:p>
    <w:bookmarkEnd w:id="98"/>
    <w:bookmarkStart w:id="103"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4</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9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0" w:name="fig27"/>
      <w:r>
        <w:t xml:space="preserve">Figure </w:t>
      </w:r>
      <w:fldSimple w:instr="SEQ Figure \* ARABIC ">
        <w:r>
          <w:t>27</w:t>
        </w:r>
      </w:fldSimple>
      <w:r>
        <w:t xml:space="preserve">:</w:t>
      </w:r>
      <w:r>
        <w:t xml:space="preserve"> </w:t>
      </w:r>
      <w:bookmarkEnd w:id="100"/>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15"/>
        </w:numPr>
      </w:pPr>
      <w:r>
        <w:t xml:space="preserve">Tintas invisibles o fluorescentes que brillan al estar frente a la luz UV.</w:t>
      </w:r>
    </w:p>
    <w:p>
      <w:pPr>
        <w:numPr>
          <w:ilvl w:val="0"/>
          <w:numId w:val="1015"/>
        </w:numPr>
      </w:pPr>
      <w:r>
        <w:t xml:space="preserve">Microletras/microtextos, los cuales están inmersos en cada folio del recetario donde se describe para quien va cada copia.</w:t>
      </w:r>
    </w:p>
    <w:p>
      <w:pPr>
        <w:numPr>
          <w:ilvl w:val="0"/>
          <w:numId w:val="1015"/>
        </w:numPr>
      </w:pPr>
      <w:r>
        <w:t xml:space="preserve">Relieves o laminados observados en la copia original de los recetarios.</w:t>
      </w:r>
    </w:p>
    <w:p>
      <w:pPr>
        <w:numPr>
          <w:ilvl w:val="0"/>
          <w:numId w:val="1015"/>
        </w:numPr>
      </w:pPr>
      <w:r>
        <w:t xml:space="preserve">Filamentos o bandas de seguridad tecnología similar a los billetes.</w:t>
      </w:r>
    </w:p>
    <w:p>
      <w:pPr>
        <w:numPr>
          <w:ilvl w:val="0"/>
          <w:numId w:val="1015"/>
        </w:numPr>
      </w:pPr>
      <w:r>
        <w:t xml:space="preserve">Pruebas reactivo metal, que consisten en raspar un espacio determinado del recetario con un metal o moneda desde la página original del mismo y automáticamente los folios continuos se marcarán.</w:t>
      </w:r>
    </w:p>
    <w:p>
      <w:pPr>
        <w:numPr>
          <w:ilvl w:val="0"/>
          <w:numId w:val="1015"/>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02" w:name="fig28"/>
      <w:r>
        <w:t xml:space="preserve">Figure </w:t>
      </w:r>
      <w:fldSimple w:instr="SEQ Figure \* ARABIC ">
        <w:r>
          <w:t>28</w:t>
        </w:r>
      </w:fldSimple>
      <w:r>
        <w:t xml:space="preserve">:</w:t>
      </w:r>
      <w:r>
        <w:t xml:space="preserve"> </w:t>
      </w:r>
      <w:bookmarkEnd w:id="102"/>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03"/>
    <w:bookmarkEnd w:id="104"/>
    <w:bookmarkStart w:id="108"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es …</w:t>
      </w:r>
    </w:p>
    <w:bookmarkStart w:id="107"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6" w:name="fig29"/>
      <w:r>
        <w:t xml:space="preserve">Figure </w:t>
      </w:r>
      <w:fldSimple w:instr="SEQ Figure \* ARABIC ">
        <w:r>
          <w:t>29</w:t>
        </w:r>
      </w:fldSimple>
      <w:r>
        <w:t xml:space="preserve">:</w:t>
      </w:r>
      <w:r>
        <w:t xml:space="preserve"> </w:t>
      </w:r>
      <w:bookmarkEnd w:id="106"/>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07"/>
    <w:bookmarkEnd w:id="108"/>
    <w:bookmarkEnd w:id="109"/>
    <w:bookmarkStart w:id="168" w:name="manejo-de-medicamentos"/>
    <w:p>
      <w:pPr>
        <w:pStyle w:val="Heading1"/>
      </w:pPr>
      <w:r>
        <w:rPr>
          <w:rStyle w:val="SectionNumber"/>
        </w:rPr>
        <w:t xml:space="preserve">6</w:t>
      </w:r>
      <w:r>
        <w:tab/>
      </w:r>
      <w:r>
        <w:t xml:space="preserve">Manejo de Medicamentos</w:t>
      </w:r>
    </w:p>
    <w:bookmarkStart w:id="127" w:name="adquisición-de-mme-por-parte-del-fre"/>
    <w:p>
      <w:pPr>
        <w:pStyle w:val="Heading2"/>
      </w:pPr>
      <w:r>
        <w:rPr>
          <w:rStyle w:val="SectionNumber"/>
        </w:rPr>
        <w:t xml:space="preserve">6.1</w:t>
      </w:r>
      <w:r>
        <w:tab/>
      </w:r>
      <w:r>
        <w:t xml:space="preserve">Adquisición de MME por parte del FRE</w:t>
      </w:r>
    </w:p>
    <w:bookmarkStart w:id="111" w:name="control-de-inventarios"/>
    <w:p>
      <w:pPr>
        <w:pStyle w:val="Heading3"/>
      </w:pPr>
      <w:r>
        <w:rPr>
          <w:rStyle w:val="SectionNumber"/>
        </w:rPr>
        <w:t xml:space="preserve">6.1.1</w:t>
      </w:r>
      <w:r>
        <w:tab/>
      </w:r>
      <w:r>
        <w:t xml:space="preserve">Control de inventarios</w:t>
      </w:r>
    </w:p>
    <w:p>
      <w:pPr>
        <w:pStyle w:val="FirstParagraph"/>
      </w:pPr>
      <w:r>
        <w:t xml:space="preserve">El manejo de inventarios es de gran relevancia para las organizaciones que tienen bienes tangibles dispuestos a la venta y cuyo volumen recibido supera el volumen distribuido, como es el caso de los FRE, es por ello por lo que se indago sobre las herramientas que tienen a disposición para el control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BodyText"/>
      </w:pPr>
      <w:r>
        <w:drawing>
          <wp:inline>
            <wp:extent cx="5334000" cy="3809999"/>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0"/>
                    <a:stretch>
                      <a:fillRect/>
                    </a:stretch>
                  </pic:blipFill>
                  <pic:spPr bwMode="auto">
                    <a:xfrm>
                      <a:off x="0" y="0"/>
                      <a:ext cx="5334000" cy="3809999"/>
                    </a:xfrm>
                    <a:prstGeom prst="rect">
                      <a:avLst/>
                    </a:prstGeom>
                    <a:noFill/>
                    <a:ln w="9525">
                      <a:noFill/>
                      <a:headEnd/>
                      <a:tailEnd/>
                    </a:ln>
                  </pic:spPr>
                </pic:pic>
              </a:graphicData>
            </a:graphic>
          </wp:inline>
        </w:drawing>
      </w:r>
      <w:r>
        <w:t xml:space="preserve"> </w:t>
      </w: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bookmarkEnd w:id="111"/>
    <w:bookmarkStart w:id="115" w:name="Xc45cd4a64f99073019fbd4f2b6fa0ebe3e64c13"/>
    <w:p>
      <w:pPr>
        <w:pStyle w:val="Heading3"/>
      </w:pPr>
      <w:r>
        <w:rPr>
          <w:rStyle w:val="SectionNumber"/>
        </w:rPr>
        <w:t xml:space="preserve">6.1.2</w:t>
      </w:r>
      <w:r>
        <w:tab/>
      </w:r>
      <w:r>
        <w:t xml:space="preserve">Tiempos de demora en el proceso de adquisición</w:t>
      </w:r>
    </w:p>
    <w:p>
      <w:pPr>
        <w:pStyle w:val="FirstParagraph"/>
      </w:pPr>
      <w:r>
        <w:t xml:space="preserve">La adquisición de MME se realiza a través de un proceso que conlleva diferentes etapas, de forma general se consideraron cinco etapas del proceso:</w:t>
      </w:r>
    </w:p>
    <w:p>
      <w:pPr>
        <w:numPr>
          <w:ilvl w:val="0"/>
          <w:numId w:val="1016"/>
        </w:numPr>
        <w:pStyle w:val="Compact"/>
      </w:pPr>
      <w:r>
        <w:t xml:space="preserve">Estimación de necesidades</w:t>
      </w:r>
    </w:p>
    <w:p>
      <w:pPr>
        <w:numPr>
          <w:ilvl w:val="0"/>
          <w:numId w:val="1016"/>
        </w:numPr>
        <w:pStyle w:val="Compact"/>
      </w:pPr>
      <w:r>
        <w:t xml:space="preserve">Precontractual</w:t>
      </w:r>
    </w:p>
    <w:p>
      <w:pPr>
        <w:numPr>
          <w:ilvl w:val="0"/>
          <w:numId w:val="1016"/>
        </w:numPr>
        <w:pStyle w:val="Compact"/>
      </w:pPr>
      <w:r>
        <w:t xml:space="preserve">Contractual</w:t>
      </w:r>
    </w:p>
    <w:p>
      <w:pPr>
        <w:numPr>
          <w:ilvl w:val="0"/>
          <w:numId w:val="1016"/>
        </w:numPr>
        <w:pStyle w:val="Compact"/>
      </w:pPr>
      <w:r>
        <w:t xml:space="preserve">Solicitud en la plataforma tecnológica</w:t>
      </w:r>
    </w:p>
    <w:p>
      <w:pPr>
        <w:numPr>
          <w:ilvl w:val="0"/>
          <w:numId w:val="1016"/>
        </w:numPr>
        <w:pStyle w:val="Compact"/>
      </w:pPr>
      <w:r>
        <w:t xml:space="preserve">Despacho</w:t>
      </w:r>
    </w:p>
    <w:p>
      <w:pPr>
        <w:pStyle w:val="FirstParagraph"/>
      </w:pPr>
      <w:r>
        <w:t xml:space="preserve">En este caso la plataforma tecnológica es la tienda virtual del Estado Colombia Compra Eficiente. El proceso puede cambiar de acuerdo con las particularidades de cada territorio, y en particular pueden tenerse diversos tiempos para llevar a cabo estos procesos.</w:t>
      </w:r>
      <w:r>
        <w:t xml:space="preserve"> </w:t>
      </w:r>
      <w:r>
        <w:t xml:space="preserve">La diferencia en los tiempos para llevar a cabo los procesos de adquisición de MME (mostrados en la Figura</w:t>
      </w:r>
      <w:r>
        <w:t xml:space="preserve"> </w:t>
      </w:r>
      <w:r>
        <w:t xml:space="preserve">6.2</w:t>
      </w:r>
      <w:r>
        <w:t xml:space="preserve">) se puede explicar teniendo en cuenta factores como: (a) volumen de medicamentos requeridos en cada departamento, (b) herramientas usadas para el cálculo de la estimación de la necesidad, (c) procesos contractuales de cada entidad y (d) distancia física entre el FNE y la oficina del FRE. Este último factor puede afectar el tiempo de despacho de los MME de forma especial en las zonas más alejadas de la capital del país.</w:t>
      </w:r>
    </w:p>
    <w:p>
      <w:pPr>
        <w:pStyle w:val="BodyText"/>
      </w:pPr>
      <w:r>
        <w:drawing>
          <wp:inline>
            <wp:extent cx="5334000" cy="3111500"/>
            <wp:effectExtent b="0" l="0" r="0" t="0"/>
            <wp:docPr descr="Figura 6.2: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2"/>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Como se identifica en la Figura</w:t>
      </w:r>
      <w:r>
        <w:t xml:space="preserve"> </w:t>
      </w:r>
      <w:r>
        <w:t xml:space="preserve">6.3</w:t>
      </w:r>
      <w:r>
        <w:t xml:space="preserve">, la gran mayoría de territorios manifiesta que las actividades que más tiempos requieren son las etapas precontractuales y contractuales, esto debido a los requisitos que establece la contratación pública</w:t>
      </w:r>
      <w:hyperlink w:anchor="ref-CongresodelaRepublicadeColombia1993">
        <w:r>
          <w:rPr>
            <w:rStyle w:val="Hyperlink"/>
            <w:vertAlign w:val="superscript"/>
          </w:rPr>
          <w:t xml:space="preserve">11</w:t>
        </w:r>
      </w:hyperlink>
      <w:r>
        <w:rPr>
          <w:vertAlign w:val="superscript"/>
        </w:rPr>
        <w:t xml:space="preserve">,</w:t>
      </w:r>
      <w:hyperlink w:anchor="ref-CongresodelaRepublicadeColombia2007">
        <w:r>
          <w:rPr>
            <w:rStyle w:val="Hyperlink"/>
            <w:vertAlign w:val="superscript"/>
          </w:rPr>
          <w:t xml:space="preserve">12</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 (referencia).</w:t>
      </w:r>
    </w:p>
    <w:p>
      <w:pPr>
        <w:pStyle w:val="CaptionedFigure"/>
      </w:pPr>
      <w:r>
        <w:drawing>
          <wp:inline>
            <wp:extent cx="5334000" cy="3556000"/>
            <wp:effectExtent b="0" l="0" r="0" t="0"/>
            <wp:docPr descr="Figura 6.3: Histogramas de tiempos en el proceso de adquisición por departament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4" w:name="fig30"/>
      <w:r>
        <w:t xml:space="preserve">Figure </w:t>
      </w:r>
      <w:fldSimple w:instr="SEQ Figure \* ARABIC ">
        <w:r>
          <w:t>30</w:t>
        </w:r>
      </w:fldSimple>
      <w:r>
        <w:t xml:space="preserve">:</w:t>
      </w:r>
      <w:r>
        <w:t xml:space="preserve"> </w:t>
      </w:r>
      <w:bookmarkEnd w:id="114"/>
      <w:r>
        <w:t xml:space="preserve">Figura 6.3: Histogramas de tiempos en el proceso de adquisición por departamento</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Por otro lado, el proceso de estimación de compra de MME es uno de los más cortos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bookmarkEnd w:id="115"/>
    <w:bookmarkStart w:id="118" w:name="traslados-interdepartamentales"/>
    <w:p>
      <w:pPr>
        <w:pStyle w:val="Heading3"/>
      </w:pPr>
      <w:r>
        <w:rPr>
          <w:rStyle w:val="SectionNumber"/>
        </w:rPr>
        <w:t xml:space="preserve">6.1.3</w:t>
      </w:r>
      <w:r>
        <w:tab/>
      </w:r>
      <w:r>
        <w:t xml:space="preserve">Traslados interdepartamentales</w:t>
      </w:r>
    </w:p>
    <w:p>
      <w:pPr>
        <w:pStyle w:val="FirstParagraph"/>
      </w:pPr>
      <w:r>
        <w:t xml:space="preserve">En el traslado interdepartamental de medicamentos se observa que los territorios más descentralizados son los que presentan mayor demora para recibir el traslado de MME, siendo los casos más demorados San Andrés y Amazonas. Como se observa en la Figura</w:t>
      </w:r>
      <w:r>
        <w:t xml:space="preserve"> </w:t>
      </w:r>
      <w:r>
        <w:t xml:space="preserve">6.4</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4: Caracterización en demoras de traslados interdepartamentales. (A) Gráfico de tiempos de traslados interdepartamentales reportados para los departamentos.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6"/>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17" w:name="fig31"/>
      <w:r>
        <w:t xml:space="preserve">Figure </w:t>
      </w:r>
      <w:fldSimple w:instr="SEQ Figure \* ARABIC ">
        <w:r>
          <w:t>31</w:t>
        </w:r>
      </w:fldSimple>
      <w:r>
        <w:t xml:space="preserve">:</w:t>
      </w:r>
      <w:r>
        <w:t xml:space="preserve"> </w:t>
      </w:r>
      <w:bookmarkEnd w:id="117"/>
      <w:r>
        <w:t xml:space="preserve">Figura 6.4: Caracterización en demoras de traslados interdepartamentales. (A) Gráfico de tiempos de traslados interdepartamentales reportados para los departamentos. (B) Mapa de tiempos de traslados interdepartamentales.</w:t>
      </w:r>
    </w:p>
    <w:bookmarkEnd w:id="118"/>
    <w:bookmarkStart w:id="121" w:name="plataforma-de-compra-estatal"/>
    <w:p>
      <w:pPr>
        <w:pStyle w:val="Heading3"/>
      </w:pPr>
      <w:r>
        <w:rPr>
          <w:rStyle w:val="SectionNumber"/>
        </w:rPr>
        <w:t xml:space="preserve">6.1.4</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6.3</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13</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6.5</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4000500"/>
            <wp:effectExtent b="0" l="0" r="0" t="0"/>
            <wp:docPr descr="Figura 6.5: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1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0" w:name="fig32"/>
      <w:r>
        <w:t xml:space="preserve">Figure </w:t>
      </w:r>
      <w:fldSimple w:instr="SEQ Figure \* ARABIC ">
        <w:r>
          <w:t>32</w:t>
        </w:r>
      </w:fldSimple>
      <w:r>
        <w:t xml:space="preserve">:</w:t>
      </w:r>
      <w:r>
        <w:t xml:space="preserve"> </w:t>
      </w:r>
      <w:bookmarkEnd w:id="120"/>
      <w:r>
        <w:t xml:space="preserve">Figura 6.5: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como ocurre en el caso del FRE Sucre que si bien tienen un método eficiente para realizar la estimación de compra, se ve retrasado en la etapa que implica el uso de esta plataforma.</w:t>
      </w:r>
    </w:p>
    <w:bookmarkEnd w:id="121"/>
    <w:bookmarkStart w:id="126" w:name="comportamiento-de-compra-de-fre"/>
    <w:p>
      <w:pPr>
        <w:pStyle w:val="Heading3"/>
      </w:pPr>
      <w:r>
        <w:rPr>
          <w:rStyle w:val="SectionNumber"/>
        </w:rPr>
        <w:t xml:space="preserve">6.1.5</w:t>
      </w:r>
      <w:r>
        <w:tab/>
      </w:r>
      <w:r>
        <w:t xml:space="preserve">Comportamiento de compra de FRE</w:t>
      </w:r>
    </w:p>
    <w:p>
      <w:pPr>
        <w:pStyle w:val="FirstParagraph"/>
      </w:pPr>
      <w:r>
        <w:t xml:space="preserve">La frecuencia de las compras de MME al FNE en el año también depende de varios factores como: (a) cantidad requerida de estos bienes por cada departamento, (b) presupuesto asignado por las gobernaciones a los FRE y (c) capacidad de satisfacer la demanda de los medicamentos por parte del FNE (ver Figura</w:t>
      </w:r>
      <w:r>
        <w:t xml:space="preserve"> </w:t>
      </w:r>
      <w:r>
        <w:t xml:space="preserve">6.6</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6: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3" w:name="fig33"/>
      <w:r>
        <w:t xml:space="preserve">Figure </w:t>
      </w:r>
      <w:fldSimple w:instr="SEQ Figure \* ARABIC ">
        <w:r>
          <w:t>33</w:t>
        </w:r>
      </w:fldSimple>
      <w:r>
        <w:t xml:space="preserve">:</w:t>
      </w:r>
      <w:r>
        <w:t xml:space="preserve"> </w:t>
      </w:r>
      <w:bookmarkEnd w:id="123"/>
      <w:r>
        <w:t xml:space="preserve">Figura 6.6: Frecuencia de compras de medicamentos por año al FNE</w:t>
      </w:r>
    </w:p>
    <w:p>
      <w:pPr>
        <w:pStyle w:val="BodyText"/>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556000"/>
            <wp:effectExtent b="0" l="0" r="0" t="0"/>
            <wp:docPr descr="Figura 6.7: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5" w:name="fig34"/>
      <w:r>
        <w:t xml:space="preserve">Figure </w:t>
      </w:r>
      <w:fldSimple w:instr="SEQ Figure \* ARABIC ">
        <w:r>
          <w:t>34</w:t>
        </w:r>
      </w:fldSimple>
      <w:r>
        <w:t xml:space="preserve">:</w:t>
      </w:r>
      <w:r>
        <w:t xml:space="preserve"> </w:t>
      </w:r>
      <w:bookmarkEnd w:id="125"/>
      <w:r>
        <w:t xml:space="preserve">Figura 6.7: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End w:id="126"/>
    <w:bookmarkEnd w:id="127"/>
    <w:bookmarkStart w:id="138" w:name="procesos-relacionados-a-medicamentos"/>
    <w:p>
      <w:pPr>
        <w:pStyle w:val="Heading2"/>
      </w:pPr>
      <w:r>
        <w:rPr>
          <w:rStyle w:val="SectionNumber"/>
        </w:rPr>
        <w:t xml:space="preserve">6.2</w:t>
      </w:r>
      <w:r>
        <w:tab/>
      </w:r>
      <w:r>
        <w:t xml:space="preserve">Procesos relacionados a medicamentos</w:t>
      </w:r>
    </w:p>
    <w:bookmarkStart w:id="132" w:name="recepción-de-medicamentos"/>
    <w:p>
      <w:pPr>
        <w:pStyle w:val="Heading3"/>
      </w:pPr>
      <w:r>
        <w:rPr>
          <w:rStyle w:val="SectionNumber"/>
        </w:rPr>
        <w:t xml:space="preserve">6.2.1</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14</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17"/>
        </w:numPr>
      </w:pPr>
      <w:r>
        <w:t xml:space="preserve">estudiar la documentación propia de la institución que realiza la recepción, con el fin de establecer los productos a recibir y qué condiciones requieren los mismos para su recepción.</w:t>
      </w:r>
    </w:p>
    <w:p>
      <w:pPr>
        <w:numPr>
          <w:ilvl w:val="0"/>
          <w:numId w:val="1017"/>
        </w:numPr>
      </w:pPr>
      <w:r>
        <w:t xml:space="preserve">verificar la documentación de quien hace la entrega, p.ej. guía de entrega. Las cantidades solicitadas deben corresponder con las aprobadas tras el pedido.</w:t>
      </w:r>
    </w:p>
    <w:p>
      <w:pPr>
        <w:numPr>
          <w:ilvl w:val="0"/>
          <w:numId w:val="1017"/>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15</w:t>
        </w:r>
      </w:hyperlink>
      <w:r>
        <w:rPr>
          <w:vertAlign w:val="superscript"/>
        </w:rPr>
        <w:t xml:space="preserve">,</w:t>
      </w:r>
      <w:hyperlink w:anchor="ref-GutierrezPulido2008">
        <w:r>
          <w:rPr>
            <w:rStyle w:val="Hyperlink"/>
            <w:vertAlign w:val="superscript"/>
          </w:rPr>
          <w:t xml:space="preserve">16</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18"/>
        </w:numPr>
      </w:pPr>
      <w:r>
        <w:t xml:space="preserve">fecha y hora de entrega,</w:t>
      </w:r>
    </w:p>
    <w:p>
      <w:pPr>
        <w:numPr>
          <w:ilvl w:val="0"/>
          <w:numId w:val="1018"/>
        </w:numPr>
      </w:pPr>
      <w:r>
        <w:t xml:space="preserve">cantidad de unidades,</w:t>
      </w:r>
    </w:p>
    <w:p>
      <w:pPr>
        <w:numPr>
          <w:ilvl w:val="0"/>
          <w:numId w:val="1018"/>
        </w:numPr>
      </w:pPr>
      <w:r>
        <w:t xml:space="preserve">número de lote,</w:t>
      </w:r>
    </w:p>
    <w:p>
      <w:pPr>
        <w:numPr>
          <w:ilvl w:val="0"/>
          <w:numId w:val="1018"/>
        </w:numPr>
      </w:pPr>
      <w:r>
        <w:t xml:space="preserve">registro sanitario,</w:t>
      </w:r>
    </w:p>
    <w:p>
      <w:pPr>
        <w:numPr>
          <w:ilvl w:val="0"/>
          <w:numId w:val="1018"/>
        </w:numPr>
      </w:pPr>
      <w:r>
        <w:t xml:space="preserve">fechas de vencimiento,</w:t>
      </w:r>
    </w:p>
    <w:p>
      <w:pPr>
        <w:numPr>
          <w:ilvl w:val="0"/>
          <w:numId w:val="1018"/>
        </w:numPr>
      </w:pPr>
      <w:r>
        <w:t xml:space="preserve">condiciones de trasporte,</w:t>
      </w:r>
    </w:p>
    <w:p>
      <w:pPr>
        <w:numPr>
          <w:ilvl w:val="0"/>
          <w:numId w:val="1018"/>
        </w:numPr>
      </w:pPr>
      <w:r>
        <w:t xml:space="preserve">manipulación, embalaje,</w:t>
      </w:r>
    </w:p>
    <w:p>
      <w:pPr>
        <w:numPr>
          <w:ilvl w:val="0"/>
          <w:numId w:val="1018"/>
        </w:numPr>
      </w:pPr>
      <w:r>
        <w:t xml:space="preserve">material de empaque y envase,</w:t>
      </w:r>
    </w:p>
    <w:p>
      <w:pPr>
        <w:numPr>
          <w:ilvl w:val="0"/>
          <w:numId w:val="1018"/>
        </w:numPr>
      </w:pPr>
      <w:r>
        <w:t xml:space="preserve">condiciones administrativas y técnicas establecidas en la negociación y la que permita identificar en todo momento la muestra tomada.</w:t>
      </w:r>
    </w:p>
    <w:p>
      <w:pPr>
        <w:pStyle w:val="FirstParagraph"/>
      </w:pPr>
      <w:r>
        <w:t xml:space="preserve">El acta es firmada por las persona que reciben y entregan para ser archivada. Como parte final se ingresan como parte del inventario a todos los productos pedidos que cumplan con las especificaciones de calidad.</w:t>
      </w:r>
    </w:p>
    <w:p>
      <w:pPr>
        <w:pStyle w:val="BodyText"/>
      </w:pPr>
      <w:r>
        <w:t xml:space="preserve">En el caso de los distintos FRE a nivel nacional (ver Figura</w:t>
      </w:r>
      <w:r>
        <w:t xml:space="preserve"> </w:t>
      </w:r>
      <w:r>
        <w:t xml:space="preserve">6.8</w:t>
      </w:r>
      <w:r>
        <w:t xml:space="preserve">), se observa que el FRE Antioquia es el que más días invierte en realizar el proceso de recepción, esto se debe a que sus pedidos son de gran tamaño para cubrir la demanda, lo que conlleva a que deba dispensarse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400300"/>
            <wp:effectExtent b="0" l="0" r="0" t="0"/>
            <wp:docPr descr="Figura 6.8: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28"/>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bookmarkStart w:id="129" w:name="fig35"/>
      <w:r>
        <w:t xml:space="preserve">Figure </w:t>
      </w:r>
      <w:fldSimple w:instr="SEQ Figure \* ARABIC ">
        <w:r>
          <w:t>35</w:t>
        </w:r>
      </w:fldSimple>
      <w:r>
        <w:t xml:space="preserve">:</w:t>
      </w:r>
      <w:r>
        <w:t xml:space="preserve"> </w:t>
      </w:r>
      <w:bookmarkEnd w:id="129"/>
      <w:r>
        <w:t xml:space="preserve">Figura 6.8: Tiempos en la recepción técnica y almacenamiento de MME. (A) Gráfico de barras con frecuencia. (B) Mapa con tiempos para la recepción técnica de MME.</w:t>
      </w:r>
    </w:p>
    <w:p>
      <w:pPr>
        <w:pStyle w:val="BodyText"/>
      </w:pPr>
      <w:r>
        <w:t xml:space="preserve">En segundo lugar se encuentra el FRE Boyacá, el cual presenta un uso de 3 días en todo el proceso, se observa que el volumen de inscritos es alto y que en este caso lo llevan dos regentes de farmacia dando paso a la realización de acta con el transportador y luego una revisión completa de cada medicamentos y correcto almacenamiento con su acta correspondiente.</w:t>
      </w:r>
    </w:p>
    <w:p>
      <w:pPr>
        <w:pStyle w:val="BodyText"/>
      </w:pPr>
      <w:r>
        <w:t xml:space="preserve">Como otro atributo que se puede resaltar en la Figura 6.13,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p>
      <w:pPr>
        <w:pStyle w:val="BodyText"/>
      </w:pPr>
      <w:r>
        <w:t xml:space="preserve">Según la Resolución 1403 de 2007,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14</w:t>
        </w:r>
      </w:hyperlink>
    </w:p>
    <w:p>
      <w:pPr>
        <w:pStyle w:val="FirstParagraph"/>
      </w:pPr>
      <w:r>
        <w:t xml:space="preserve">Con esto cabe aclarar que el control de existencias depende del criterio de cada organización, según como estas manejen sus productos, por ende, se preguntó el uso de niveles de seguridad del inventario entendiendo el concepto como aquel nivel de existencias de productos que indica que ya es momento de pedir más productos y lo que se tiene es suficiente para cubrir la demanda sin caer en desabastecimientos, mientras se reestablece los niveles óptimos de inventario.</w:t>
      </w:r>
    </w:p>
    <w:p>
      <w:pPr>
        <w:pStyle w:val="CaptionedFigure"/>
      </w:pPr>
      <w:r>
        <w:drawing>
          <wp:inline>
            <wp:extent cx="5334000" cy="3556000"/>
            <wp:effectExtent b="0" l="0" r="0" t="0"/>
            <wp:docPr descr="Figura 6.9: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1" w:name="fig36"/>
      <w:r>
        <w:t xml:space="preserve">Figure </w:t>
      </w:r>
      <w:fldSimple w:instr="SEQ Figure \* ARABIC ">
        <w:r>
          <w:t>36</w:t>
        </w:r>
      </w:fldSimple>
      <w:r>
        <w:t xml:space="preserve">:</w:t>
      </w:r>
      <w:r>
        <w:t xml:space="preserve"> </w:t>
      </w:r>
      <w:bookmarkEnd w:id="131"/>
      <w:r>
        <w:t xml:space="preserve">Figura 6.9: Uso de niveles de seguridad del inventarios</w:t>
      </w:r>
    </w:p>
    <w:p>
      <w:pPr>
        <w:pStyle w:val="BodyText"/>
      </w:pPr>
      <w:r>
        <w:t xml:space="preserve">Según los resultados obtenidos el 51.6% de los FREs si manejan niveles de seguridad en los inventarios, es decir que de los 31 FREs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directo con diario con los medicamentos, les permite verificar el comportamiento y determinar el momento indicado para tomar alguna acción. Se concluye entonces que 16 FREs usan estrategias de manejo óptimos de inventario y los 15 restantes lo hacen de una manera tradicional y dada por la experiencia adquirida con los años que llevan manejando el FRE en su región.</w:t>
      </w:r>
    </w:p>
    <w:bookmarkEnd w:id="132"/>
    <w:bookmarkStart w:id="137" w:name="controles-en-venta-directa-a-paciente"/>
    <w:p>
      <w:pPr>
        <w:pStyle w:val="Heading3"/>
      </w:pPr>
      <w:r>
        <w:rPr>
          <w:rStyle w:val="SectionNumber"/>
        </w:rPr>
        <w:t xml:space="preserve">6.2.2</w:t>
      </w:r>
      <w:r>
        <w:tab/>
      </w:r>
      <w:r>
        <w:t xml:space="preserve">Controles en Venta Directa a Paciente</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4" w:name="fig37"/>
      <w:r>
        <w:t xml:space="preserve">Figure </w:t>
      </w:r>
      <w:fldSimple w:instr="SEQ Figure \* ARABIC ">
        <w:r>
          <w:t>37</w:t>
        </w:r>
      </w:fldSimple>
      <w:r>
        <w:t xml:space="preserve">:</w:t>
      </w:r>
      <w:r>
        <w:t xml:space="preserve"> </w:t>
      </w:r>
      <w:bookmarkEnd w:id="134"/>
      <w:r>
        <w:t xml:space="preserve">Figura 6.10: Controles en las ventas directas a pacientes</w:t>
      </w:r>
    </w:p>
    <w:p>
      <w:pPr>
        <w:pStyle w:val="CaptionedFigure"/>
      </w:pPr>
      <w:r>
        <w:drawing>
          <wp:inline>
            <wp:extent cx="5334000" cy="3556000"/>
            <wp:effectExtent b="0" l="0" r="0" t="0"/>
            <wp:docPr descr="Figura 6.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6" w:name="fig38"/>
      <w:r>
        <w:t xml:space="preserve">Figure </w:t>
      </w:r>
      <w:fldSimple w:instr="SEQ Figure \* ARABIC ">
        <w:r>
          <w:t>38</w:t>
        </w:r>
      </w:fldSimple>
      <w:r>
        <w:t xml:space="preserve">:</w:t>
      </w:r>
      <w:r>
        <w:t xml:space="preserve"> </w:t>
      </w:r>
      <w:bookmarkEnd w:id="136"/>
      <w:r>
        <w:t xml:space="preserve">Figura 6.11: Existencia de otras instituciones que realizan ventas a instituciones a MME</w:t>
      </w:r>
    </w:p>
    <w:bookmarkEnd w:id="137"/>
    <w:bookmarkEnd w:id="138"/>
    <w:bookmarkStart w:id="160" w:name="almacenamiento"/>
    <w:p>
      <w:pPr>
        <w:pStyle w:val="Heading2"/>
      </w:pPr>
      <w:r>
        <w:rPr>
          <w:rStyle w:val="SectionNumber"/>
        </w:rPr>
        <w:t xml:space="preserve">6.3</w:t>
      </w:r>
      <w:r>
        <w:tab/>
      </w:r>
      <w:r>
        <w:t xml:space="preserve">Almacenamiento</w:t>
      </w:r>
    </w:p>
    <w:bookmarkStart w:id="141"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(a) el acceso de seguridad restringido a cierto personal (con respuesta afirmativa por parte de 18 de 26 FRE), seguido de (b) gabinetes con llaves simple (en 14 de 26 FRE), (c) almacenamiento en oficina privada (14 de 26 FRE responden que lo aplican), (d) inventarios físicos diarios, y (e) protección en gabinetes hechos de materiales resistentes.</w:t>
      </w:r>
    </w:p>
    <w:p>
      <w:pPr>
        <w:pStyle w:val="CaptionedFigure"/>
      </w:pPr>
      <w:r>
        <w:drawing>
          <wp:inline>
            <wp:extent cx="5334000" cy="4000500"/>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0" w:name="fig39"/>
      <w:r>
        <w:t xml:space="preserve">Figure </w:t>
      </w:r>
      <w:fldSimple w:instr="SEQ Figure \* ARABIC ">
        <w:r>
          <w:t>39</w:t>
        </w:r>
      </w:fldSimple>
      <w:r>
        <w:t xml:space="preserve">:</w:t>
      </w:r>
      <w:r>
        <w:t xml:space="preserve"> </w:t>
      </w:r>
      <w:bookmarkEnd w:id="140"/>
      <w:r>
        <w:t xml:space="preserve">Figura 6.12: Medidas de seguridad en el almacenamiento de MME</w:t>
      </w:r>
    </w:p>
    <w:p>
      <w:pPr>
        <w:pStyle w:val="BodyText"/>
      </w:pPr>
      <w:r>
        <w:t xml:space="preserve">El departamento que reporta la mayor cantidad de medidas de seguridad es César con 7 medidas como: (a) acceso de seguridad restringido a cierto personal, (b) procedimientos para el manejo de personal huésped, (c) visitantes, (d) mantenimiento o no empleados del FRE, (e) almacenamiento en oficina privada, (f) inventario físico diario, y (g)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41"/>
    <w:bookmarkStart w:id="145"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3" w:name="fig40"/>
      <w:r>
        <w:t xml:space="preserve">Figure </w:t>
      </w:r>
      <w:fldSimple w:instr="SEQ Figure \* ARABIC ">
        <w:r>
          <w:t>40</w:t>
        </w:r>
      </w:fldSimple>
      <w:r>
        <w:t xml:space="preserve">:</w:t>
      </w:r>
      <w:r>
        <w:t xml:space="preserve"> </w:t>
      </w:r>
      <w:bookmarkEnd w:id="143"/>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4"/>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45"/>
    <w:bookmarkStart w:id="151"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6"/>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4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8" w:name="fig41"/>
      <w:r>
        <w:t xml:space="preserve">Figure </w:t>
      </w:r>
      <w:fldSimple w:instr="SEQ Figure \* ARABIC ">
        <w:r>
          <w:t>41</w:t>
        </w:r>
      </w:fldSimple>
      <w:r>
        <w:t xml:space="preserve">:</w:t>
      </w:r>
      <w:r>
        <w:t xml:space="preserve"> </w:t>
      </w:r>
      <w:bookmarkEnd w:id="148"/>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17</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4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50" w:name="fig42"/>
      <w:r>
        <w:t xml:space="preserve">Figure </w:t>
      </w:r>
      <w:fldSimple w:instr="SEQ Figure \* ARABIC ">
        <w:r>
          <w:t>42</w:t>
        </w:r>
      </w:fldSimple>
      <w:r>
        <w:t xml:space="preserve">:</w:t>
      </w:r>
      <w:r>
        <w:t xml:space="preserve"> </w:t>
      </w:r>
      <w:bookmarkEnd w:id="150"/>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51"/>
    <w:bookmarkStart w:id="156"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14</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14</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18</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19"/>
        </w:numPr>
        <w:pStyle w:val="Compact"/>
      </w:pPr>
      <w:r>
        <w:t xml:space="preserve">Rojo: medicamento que se encuentra próximo a vencer.</w:t>
      </w:r>
    </w:p>
    <w:p>
      <w:pPr>
        <w:numPr>
          <w:ilvl w:val="0"/>
          <w:numId w:val="1019"/>
        </w:numPr>
        <w:pStyle w:val="Compact"/>
      </w:pPr>
      <w:r>
        <w:t xml:space="preserve">Amarillo: medicamento que se encuentra en riesgo moderado de vencimiento.</w:t>
      </w:r>
    </w:p>
    <w:p>
      <w:pPr>
        <w:numPr>
          <w:ilvl w:val="0"/>
          <w:numId w:val="1019"/>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 </w:t>
      </w:r>
      <w:r>
        <w:t xml:space="preserve">se observa que el 71% de los FRE han presentado casos de medicamentos vencidos lo que constituye a 22 de 31 FRE existentes en el país, y esto indica que los vencimientos son una situación frecuente para los FRE.</w:t>
      </w:r>
    </w:p>
    <w:p>
      <w:pPr>
        <w:pStyle w:val="CaptionedFigure"/>
      </w:pPr>
      <w:r>
        <w:drawing>
          <wp:inline>
            <wp:extent cx="5334000" cy="3556000"/>
            <wp:effectExtent b="0" l="0" r="0" t="0"/>
            <wp:docPr descr="Figura 6.18: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3" w:name="fig43"/>
      <w:r>
        <w:t xml:space="preserve">Figure </w:t>
      </w:r>
      <w:fldSimple w:instr="SEQ Figure \* ARABIC ">
        <w:r>
          <w:t>43</w:t>
        </w:r>
      </w:fldSimple>
      <w:r>
        <w:t xml:space="preserve">:</w:t>
      </w:r>
      <w:r>
        <w:t xml:space="preserve"> </w:t>
      </w:r>
      <w:bookmarkEnd w:id="153"/>
      <w:r>
        <w:t xml:space="preserve">Figura 6.18: Presentación de casos de vencimiento de MME</w:t>
      </w:r>
    </w:p>
    <w:p>
      <w:pPr>
        <w:pStyle w:val="BodyText"/>
      </w:pPr>
      <w:r>
        <w:t xml:space="preserve">En la Figura</w:t>
      </w:r>
      <w:r>
        <w:t xml:space="preserve"> </w:t>
      </w:r>
      <w:r>
        <w:t xml:space="preserve">6.19</w:t>
      </w:r>
      <w:r>
        <w:t xml:space="preserve"> </w:t>
      </w:r>
      <w:r>
        <w:t xml:space="preserve">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20"/>
        </w:numPr>
      </w:pPr>
      <w:r>
        <w:t xml:space="preserve">El producto cuenta con una vida útil de 18 meses.</w:t>
      </w:r>
    </w:p>
    <w:p>
      <w:pPr>
        <w:numPr>
          <w:ilvl w:val="0"/>
          <w:numId w:val="1020"/>
        </w:numPr>
      </w:pPr>
      <w:r>
        <w:t xml:space="preserve">Este medicamento es importado y en ocasiones la casa matriz entrega el producto con una vida útil efectiva menor a los 18 meses mencionados.</w:t>
      </w:r>
    </w:p>
    <w:p>
      <w:pPr>
        <w:numPr>
          <w:ilvl w:val="0"/>
          <w:numId w:val="1020"/>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3556000"/>
            <wp:effectExtent b="0" l="0" r="0" t="0"/>
            <wp:docPr descr="Figura 6.19: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5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5" w:name="fig44"/>
      <w:r>
        <w:t xml:space="preserve">Figure </w:t>
      </w:r>
      <w:fldSimple w:instr="SEQ Figure \* ARABIC ">
        <w:r>
          <w:t>44</w:t>
        </w:r>
      </w:fldSimple>
      <w:r>
        <w:t xml:space="preserve">:</w:t>
      </w:r>
      <w:r>
        <w:t xml:space="preserve"> </w:t>
      </w:r>
      <w:bookmarkEnd w:id="155"/>
      <w:r>
        <w:t xml:space="preserve">Figura 6.19: Medicamentos implicados en casos de vencimiento de MME</w:t>
      </w:r>
    </w:p>
    <w:bookmarkEnd w:id="156"/>
    <w:bookmarkStart w:id="159"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6.20</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0: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8" w:name="fig45"/>
      <w:r>
        <w:t xml:space="preserve">Figure </w:t>
      </w:r>
      <w:fldSimple w:instr="SEQ Figure \* ARABIC ">
        <w:r>
          <w:t>45</w:t>
        </w:r>
      </w:fldSimple>
      <w:r>
        <w:t xml:space="preserve">:</w:t>
      </w:r>
      <w:r>
        <w:t xml:space="preserve"> </w:t>
      </w:r>
      <w:bookmarkEnd w:id="158"/>
      <w:r>
        <w:t xml:space="preserve">Figura 6.20: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59"/>
    <w:bookmarkEnd w:id="160"/>
    <w:bookmarkStart w:id="167" w:name="precio-de-medicamentos"/>
    <w:p>
      <w:pPr>
        <w:pStyle w:val="Heading2"/>
      </w:pPr>
      <w:r>
        <w:rPr>
          <w:rStyle w:val="SectionNumber"/>
        </w:rPr>
        <w:t xml:space="preserve">6.4</w:t>
      </w:r>
      <w:r>
        <w:tab/>
      </w:r>
      <w:r>
        <w:t xml:space="preserve">Precio de medicamentos</w:t>
      </w:r>
    </w:p>
    <w:p>
      <w:pPr>
        <w:pStyle w:val="FirstParagraph"/>
      </w:pPr>
      <w:r>
        <w:t xml:space="preserve">En Colombia, el precio de los medicamentos se encuentra regulado por parte del estado, …</w:t>
      </w:r>
    </w:p>
    <w:p>
      <w:pPr>
        <w:pStyle w:val="BodyText"/>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6.21</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1: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6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2" w:name="fig46"/>
      <w:r>
        <w:t xml:space="preserve">Figure </w:t>
      </w:r>
      <w:fldSimple w:instr="SEQ Figure \* ARABIC ">
        <w:r>
          <w:t>46</w:t>
        </w:r>
      </w:fldSimple>
      <w:r>
        <w:t xml:space="preserve">:</w:t>
      </w:r>
      <w:r>
        <w:t xml:space="preserve"> </w:t>
      </w:r>
      <w:bookmarkEnd w:id="162"/>
      <w:r>
        <w:t xml:space="preserve">Figura 6.21: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t> </m:t>
          </m:r>
          <m:d>
            <m:dPr>
              <m:begChr m:val="("/>
              <m:endChr m:val=")"/>
              <m:sepChr m:val=""/>
              <m:grow/>
            </m:dPr>
            <m:e>
              <m:r>
                <m:rPr>
                  <m:sty m:val="p"/>
                </m:rPr>
                <m:t>%</m:t>
              </m:r>
            </m:e>
          </m:d>
          <m:r>
            <m:rPr>
              <m:sty m:val="p"/>
            </m:rPr>
            <m:t>=</m:t>
          </m:r>
          <m:f>
            <m:fPr>
              <m:type m:val="bar"/>
            </m:fPr>
            <m:num>
              <m:r>
                <m:rPr>
                  <m:nor/>
                  <m:sty m:val="p"/>
                </m:rPr>
                <m:t>Precio de venta</m:t>
              </m:r>
            </m:num>
            <m:den>
              <m:r>
                <m:rPr>
                  <m:nor/>
                  <m:sty m:val="p"/>
                </m:rPr>
                <m:t>Precio de compra</m:t>
              </m:r>
            </m:den>
          </m:f>
          <m:r>
            <m:rPr>
              <m:sty m:val="p"/>
            </m:rPr>
            <m:t>⋅</m:t>
          </m:r>
          <m:r>
            <m:t>100</m:t>
          </m:r>
          <m:r>
            <m:rPr>
              <m:sty m:val="p"/>
            </m:rPr>
            <m:t>%</m:t>
          </m:r>
        </m:oMath>
      </m:oMathPara>
    </w:p>
    <w:p>
      <w:pPr>
        <w:pStyle w:val="FirstParagraph"/>
      </w:pPr>
      <w:r>
        <w:t xml:space="preserve">En el panel A de la Figura</w:t>
      </w:r>
      <w:r>
        <w:t xml:space="preserve"> </w:t>
      </w:r>
      <w:r>
        <w:t xml:space="preserve">6.22</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2: Comparativo de márgenes de precio de venta para: (A) Medicamentos y (B)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6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4" w:name="fig47"/>
      <w:r>
        <w:t xml:space="preserve">Figure </w:t>
      </w:r>
      <w:fldSimple w:instr="SEQ Figure \* ARABIC ">
        <w:r>
          <w:t>47</w:t>
        </w:r>
      </w:fldSimple>
      <w:r>
        <w:t xml:space="preserve">:</w:t>
      </w:r>
      <w:r>
        <w:t xml:space="preserve"> </w:t>
      </w:r>
      <w:bookmarkEnd w:id="164"/>
      <w:r>
        <w:t xml:space="preserve">Figura 6.22: Comparativo de márgenes de precio de venta para: (A) Medicamentos y (B)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6.22</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6.23</w:t>
      </w:r>
      <w:r>
        <w:t xml:space="preserve">) mediante regresión lineal. Parece existir una relación entre las dos variables, sin embargo la presencia de casos anómalos que se muestran como etiquetas en la figura impiden que se puede estasblecer una relación con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23: Relación de márgen de ganancia y otras variables. (A) Distancia física en Km, (B) N.° de entidades que realizado compras al FRE durante el último año, y (C) Proporción de ingreso correspondiente a ventas de medicamento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65"/>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66" w:name="fig48"/>
      <w:r>
        <w:t xml:space="preserve">Figure </w:t>
      </w:r>
      <w:fldSimple w:instr="SEQ Figure \* ARABIC ">
        <w:r>
          <w:t>48</w:t>
        </w:r>
      </w:fldSimple>
      <w:r>
        <w:t xml:space="preserve">:</w:t>
      </w:r>
      <w:r>
        <w:t xml:space="preserve"> </w:t>
      </w:r>
      <w:bookmarkEnd w:id="166"/>
      <w:r>
        <w:t xml:space="preserve">Figura 6.23: Relación de márgen de ganancia y otras variables. (A) Distancia física en Km, (B) N.° de entidades que realizado compras al FRE durante el último año, y (C) Proporción de ingreso correspondiente a ventas de medicamentos.</w:t>
      </w:r>
    </w:p>
    <w:bookmarkEnd w:id="167"/>
    <w:bookmarkEnd w:id="168"/>
    <w:bookmarkStart w:id="190"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1</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0" w:name="fig49"/>
      <w:r>
        <w:t xml:space="preserve">Figure </w:t>
      </w:r>
      <w:fldSimple w:instr="SEQ Figure \* ARABIC ">
        <w:r>
          <w:t>49</w:t>
        </w:r>
      </w:fldSimple>
      <w:r>
        <w:t xml:space="preserve">:</w:t>
      </w:r>
      <w:r>
        <w:t xml:space="preserve"> </w:t>
      </w:r>
      <w:bookmarkEnd w:id="170"/>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4</w:t>
        </w:r>
      </w:hyperlink>
      <w:r>
        <w:t xml:space="preserve"> </w:t>
      </w:r>
      <w:r>
        <w:t xml:space="preserve">y Resolución 1479 de 2006</w:t>
      </w:r>
      <w:hyperlink w:anchor="ref-MSPS1479-2006">
        <w:r>
          <w:rPr>
            <w:rStyle w:val="Hyperlink"/>
            <w:vertAlign w:val="superscript"/>
          </w:rPr>
          <w:t xml:space="preserve">1</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75"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3809999"/>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7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2" w:name="fig50"/>
      <w:r>
        <w:t xml:space="preserve">Figure </w:t>
      </w:r>
      <w:fldSimple w:instr="SEQ Figure \* ARABIC ">
        <w:r>
          <w:t>50</w:t>
        </w:r>
      </w:fldSimple>
      <w:r>
        <w:t xml:space="preserve">:</w:t>
      </w:r>
      <w:r>
        <w:t xml:space="preserve"> </w:t>
      </w:r>
      <w:bookmarkEnd w:id="172"/>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809999"/>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7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4" w:name="fig51"/>
      <w:r>
        <w:t xml:space="preserve">Figure </w:t>
      </w:r>
      <w:fldSimple w:instr="SEQ Figure \* ARABIC ">
        <w:r>
          <w:t>51</w:t>
        </w:r>
      </w:fldSimple>
      <w:r>
        <w:t xml:space="preserve">:</w:t>
      </w:r>
      <w:r>
        <w:t xml:space="preserve"> </w:t>
      </w:r>
      <w:bookmarkEnd w:id="174"/>
      <w:r>
        <w:t xml:space="preserve">Figura 7.3: Velocidad de conexión de internet</w:t>
      </w:r>
    </w:p>
    <w:bookmarkEnd w:id="175"/>
    <w:bookmarkStart w:id="182"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7" w:name="fig52"/>
      <w:r>
        <w:t xml:space="preserve">Figure </w:t>
      </w:r>
      <w:fldSimple w:instr="SEQ Figure \* ARABIC ">
        <w:r>
          <w:t>52</w:t>
        </w:r>
      </w:fldSimple>
      <w:r>
        <w:t xml:space="preserve">:</w:t>
      </w:r>
      <w:r>
        <w:t xml:space="preserve"> </w:t>
      </w:r>
      <w:bookmarkEnd w:id="177"/>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9" w:name="fig53"/>
      <w:r>
        <w:t xml:space="preserve">Figure </w:t>
      </w:r>
      <w:fldSimple w:instr="SEQ Figure \* ARABIC ">
        <w:r>
          <w:t>53</w:t>
        </w:r>
      </w:fldSimple>
      <w:r>
        <w:t xml:space="preserve">:</w:t>
      </w:r>
      <w:r>
        <w:t xml:space="preserve"> </w:t>
      </w:r>
      <w:bookmarkEnd w:id="179"/>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1" w:name="fig54"/>
      <w:r>
        <w:t xml:space="preserve">Figure </w:t>
      </w:r>
      <w:fldSimple w:instr="SEQ Figure \* ARABIC ">
        <w:r>
          <w:t>54</w:t>
        </w:r>
      </w:fldSimple>
      <w:r>
        <w:t xml:space="preserve">:</w:t>
      </w:r>
      <w:r>
        <w:t xml:space="preserve"> </w:t>
      </w:r>
      <w:bookmarkEnd w:id="181"/>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 una opinión obtenida durante las visitas técnicas a los FRE:</w:t>
      </w:r>
    </w:p>
    <w:p>
      <w:pPr>
        <w:pStyle w:val="BlockText"/>
      </w:pPr>
      <w:r>
        <w:rPr>
          <w:iCs/>
          <w:i/>
        </w:rPr>
        <w:t xml:space="preserve">“</w:t>
      </w:r>
      <w:r>
        <w:rPr>
          <w:iCs/>
          <w:i/>
        </w:rPr>
        <w:t xml:space="preserve">Actualmente el FRE … está en proceso de cotización y compra de computadores, para las funciones y actividades que debe cumplir el mismo. Se espera contar con 3 equipos de cómputo con funcionalidad completa.</w:t>
      </w:r>
      <w:r>
        <w:rPr>
          <w:iCs/>
          <w:i/>
        </w:rPr>
        <w:t xml:space="preserve">”</w:t>
      </w:r>
    </w:p>
    <w:bookmarkEnd w:id="182"/>
    <w:bookmarkStart w:id="189" w:name="control-de-la-información"/>
    <w:p>
      <w:pPr>
        <w:pStyle w:val="Heading2"/>
      </w:pPr>
      <w:r>
        <w:rPr>
          <w:rStyle w:val="SectionNumber"/>
        </w:rPr>
        <w:t xml:space="preserve">7.3</w:t>
      </w:r>
      <w:r>
        <w:tab/>
      </w:r>
      <w:r>
        <w:t xml:space="preserve">Control de la información</w:t>
      </w:r>
    </w:p>
    <w:bookmarkStart w:id="185"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3556000"/>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4" w:name="fig55"/>
      <w:r>
        <w:t xml:space="preserve">Figure </w:t>
      </w:r>
      <w:fldSimple w:instr="SEQ Figure \* ARABIC ">
        <w:r>
          <w:t>55</w:t>
        </w:r>
      </w:fldSimple>
      <w:r>
        <w:t xml:space="preserve">:</w:t>
      </w:r>
      <w:r>
        <w:t xml:space="preserve"> </w:t>
      </w:r>
      <w:bookmarkEnd w:id="184"/>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al restringido acceso que se tiene a estos informes, aunque particularmente algunos FRE cómo La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causa una trazabilidad fragmentada en la información del FRE, además de un re-proceso que tiene que asumir el personal del FRE, relacionado con la transcripción a medios digitales, contemplando los errores humanos de digitación.</w:t>
      </w:r>
    </w:p>
    <w:bookmarkEnd w:id="185"/>
    <w:bookmarkStart w:id="188"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8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87" w:name="fig56"/>
      <w:r>
        <w:t xml:space="preserve">Figure </w:t>
      </w:r>
      <w:fldSimple w:instr="SEQ Figure \* ARABIC ">
        <w:r>
          <w:t>56</w:t>
        </w:r>
      </w:fldSimple>
      <w:r>
        <w:t xml:space="preserve">:</w:t>
      </w:r>
      <w:r>
        <w:t xml:space="preserve"> </w:t>
      </w:r>
      <w:bookmarkEnd w:id="187"/>
      <w:r>
        <w:t xml:space="preserve">Figura 7.8: Proporción de FRE que cuenta con: (A) bases de datos con información de inscritos, o (B) bases de datos con información de pacientes a los que se les dispensa MME.</w:t>
      </w:r>
    </w:p>
    <w:bookmarkEnd w:id="188"/>
    <w:bookmarkEnd w:id="189"/>
    <w:bookmarkEnd w:id="190"/>
    <w:bookmarkStart w:id="217"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1</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1</w:t>
        </w:r>
      </w:hyperlink>
      <w:r>
        <w:t xml:space="preserve">:</w:t>
      </w:r>
    </w:p>
    <w:p>
      <w:pPr>
        <w:numPr>
          <w:ilvl w:val="0"/>
          <w:numId w:val="1021"/>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21"/>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21"/>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21"/>
        </w:numPr>
      </w:pPr>
      <w:r>
        <w:t xml:space="preserve">Novedades sobre la inscripción de los Establecimientos Farmacéuticos e IPS autorizados, de acuerdo al formato (Anexo número 3) de la presente resolución.</w:t>
      </w:r>
    </w:p>
    <w:p>
      <w:pPr>
        <w:numPr>
          <w:ilvl w:val="0"/>
          <w:numId w:val="1021"/>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21"/>
        </w:numPr>
      </w:pPr>
      <w:r>
        <w:t xml:space="preserve">Informe mensual consolidado sobre las transformaciones realizadas en el mes inmediatamente anterior, dentro de los diez (10) primeros días calendarios de cada mes. (Anexo número 4)</w:t>
      </w:r>
    </w:p>
    <w:p>
      <w:pPr>
        <w:numPr>
          <w:ilvl w:val="0"/>
          <w:numId w:val="1021"/>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21"/>
        </w:numPr>
      </w:pPr>
      <w:r>
        <w:t xml:space="preserve">Informe trimestral de sanciones impuestas por infracciones administrativas en la fabricación, distribución y dispensación de medicamentos de Control Especial.</w:t>
      </w:r>
    </w:p>
    <w:p>
      <w:pPr>
        <w:numPr>
          <w:ilvl w:val="0"/>
          <w:numId w:val="1021"/>
        </w:numPr>
      </w:pPr>
      <w:r>
        <w:t xml:space="preserve">Consolidado semestral del registro de Farmacodependientes de productos sometidos a fiscalización.</w:t>
      </w:r>
    </w:p>
    <w:p>
      <w:pPr>
        <w:pStyle w:val="FirstParagraph"/>
      </w:pPr>
      <w:r>
        <w:t xml:space="preserve">Es preciso resaltar que en este capítulo se presentará un análisis del informe mensual sobre la distribución de MME, correspondiente al Anexo 1 de la Resolución 1479 de 2006</w:t>
      </w:r>
      <w:hyperlink w:anchor="ref-MSPS1479-2006">
        <w:r>
          <w:rPr>
            <w:rStyle w:val="Hyperlink"/>
            <w:vertAlign w:val="superscript"/>
          </w:rPr>
          <w:t xml:space="preserve">1</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4</w:t>
        </w:r>
      </w:hyperlink>
      <w:r>
        <w:t xml:space="preserve">.</w:t>
      </w:r>
    </w:p>
    <w:bookmarkStart w:id="210"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1</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9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92" w:name="fig57"/>
      <w:r>
        <w:t xml:space="preserve">Figure </w:t>
      </w:r>
      <w:fldSimple w:instr="SEQ Figure \* ARABIC ">
        <w:r>
          <w:t>57</w:t>
        </w:r>
      </w:fldSimple>
      <w:r>
        <w:t xml:space="preserve">:</w:t>
      </w:r>
      <w:r>
        <w:t xml:space="preserve"> </w:t>
      </w:r>
      <w:bookmarkEnd w:id="192"/>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1</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199"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1</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1</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 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193"/>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194" w:name="fig58"/>
      <w:r>
        <w:t xml:space="preserve">Figure </w:t>
      </w:r>
      <w:fldSimple w:instr="SEQ Figure \* ARABIC ">
        <w:r>
          <w:t>58</w:t>
        </w:r>
      </w:fldSimple>
      <w:r>
        <w:t xml:space="preserve">:</w:t>
      </w:r>
      <w:r>
        <w:t xml:space="preserve"> </w:t>
      </w:r>
      <w:bookmarkEnd w:id="194"/>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9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96" w:name="fig59"/>
      <w:r>
        <w:t xml:space="preserve">Figure </w:t>
      </w:r>
      <w:fldSimple w:instr="SEQ Figure \* ARABIC ">
        <w:r>
          <w:t>59</w:t>
        </w:r>
      </w:fldSimple>
      <w:r>
        <w:t xml:space="preserve">:</w:t>
      </w:r>
      <w:r>
        <w:t xml:space="preserve"> </w:t>
      </w:r>
      <w:bookmarkEnd w:id="196"/>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9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98" w:name="fig60"/>
      <w:r>
        <w:t xml:space="preserve">Figure </w:t>
      </w:r>
      <w:fldSimple w:instr="SEQ Figure \* ARABIC ">
        <w:r>
          <w:t>60</w:t>
        </w:r>
      </w:fldSimple>
      <w:r>
        <w:t xml:space="preserve">:</w:t>
      </w:r>
      <w:r>
        <w:t xml:space="preserve"> </w:t>
      </w:r>
      <w:bookmarkEnd w:id="198"/>
      <w:r>
        <w:t xml:space="preserve">Figura 8.4: Tiempo en la consolidación del Anexo 1 de la Resolución 1479 de 2006 vs N° de instituciones que realizan compra en un año</w:t>
      </w:r>
    </w:p>
    <w:bookmarkEnd w:id="199"/>
    <w:bookmarkStart w:id="206"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00"/>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01" w:name="fig61"/>
      <w:r>
        <w:t xml:space="preserve">Figure </w:t>
      </w:r>
      <w:fldSimple w:instr="SEQ Figure \* ARABIC ">
        <w:r>
          <w:t>61</w:t>
        </w:r>
      </w:fldSimple>
      <w:r>
        <w:t xml:space="preserve">:</w:t>
      </w:r>
      <w:r>
        <w:t xml:space="preserve"> </w:t>
      </w:r>
      <w:bookmarkEnd w:id="201"/>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1</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1</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tipos de documentos que reciben los FRE, por parte de las instituciones autorizadas en el territorio, referente al Anexo 13 de la Resolución 1478 de 2006</w:t>
      </w:r>
      <w:hyperlink w:anchor="ref-MSPS1478-2006">
        <w:r>
          <w:rPr>
            <w:rStyle w:val="Hyperlink"/>
            <w:vertAlign w:val="superscript"/>
          </w:rPr>
          <w:t xml:space="preserve">4</w:t>
        </w:r>
      </w:hyperlink>
      <w:r>
        <w:t xml:space="preserv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0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3" w:name="fig62"/>
      <w:r>
        <w:t xml:space="preserve">Figure </w:t>
      </w:r>
      <w:fldSimple w:instr="SEQ Figure \* ARABIC ">
        <w:r>
          <w:t>62</w:t>
        </w:r>
      </w:fldSimple>
      <w:r>
        <w:t xml:space="preserve">:</w:t>
      </w:r>
      <w:r>
        <w:t xml:space="preserve"> </w:t>
      </w:r>
      <w:bookmarkEnd w:id="203"/>
      <w:r>
        <w:t xml:space="preserve">Figura 8.6: Medio para consolidación de Anexo 13 de la Resolución 1478 de 2006</w:t>
      </w:r>
    </w:p>
    <w:p>
      <w:pPr>
        <w:pStyle w:val="BodyText"/>
      </w:pPr>
      <w:r>
        <w:t xml:space="preserve">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1</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0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05" w:name="fig63"/>
      <w:r>
        <w:t xml:space="preserve">Figure </w:t>
      </w:r>
      <w:fldSimple w:instr="SEQ Figure \* ARABIC ">
        <w:r>
          <w:t>63</w:t>
        </w:r>
      </w:fldSimple>
      <w:r>
        <w:t xml:space="preserve">:</w:t>
      </w:r>
      <w:r>
        <w:t xml:space="preserve"> </w:t>
      </w:r>
      <w:bookmarkEnd w:id="205"/>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Así como el caso de Antioquia que reporta un tiempo muy rápido de diligenciamiento pese a que cuenta con muchos inscritos:</w:t>
      </w:r>
    </w:p>
    <w:p>
      <w:pPr>
        <w:pStyle w:val="BlockText"/>
      </w:pPr>
      <w:r>
        <w:rPr>
          <w:iCs/>
          <w:i/>
        </w:rPr>
        <w:t xml:space="preserve">Un regente realiza el proceso en aproximadamente 30 minutos</w:t>
      </w:r>
    </w:p>
    <w:p>
      <w:pPr>
        <w:pStyle w:val="FirstParagraph"/>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06"/>
    <w:bookmarkStart w:id="209"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3556000"/>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0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08" w:name="fig64"/>
      <w:r>
        <w:t xml:space="preserve">Figure </w:t>
      </w:r>
      <w:fldSimple w:instr="SEQ Figure \* ARABIC ">
        <w:r>
          <w:t>64</w:t>
        </w:r>
      </w:fldSimple>
      <w:r>
        <w:t xml:space="preserve">:</w:t>
      </w:r>
      <w:r>
        <w:t xml:space="preserve"> </w:t>
      </w:r>
      <w:bookmarkEnd w:id="208"/>
      <w:r>
        <w:t xml:space="preserve">Figura 8.8: Tiempo de archivo de Anexo 13 de la Resolución 1478 de 2006</w:t>
      </w:r>
    </w:p>
    <w:bookmarkEnd w:id="209"/>
    <w:bookmarkEnd w:id="210"/>
    <w:bookmarkStart w:id="213"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Sólo los FRE de Magdalena, Tolima, Boyacá y Guainía realizan este seguimiento mediante visitas personales.</w:t>
      </w:r>
    </w:p>
    <w:p>
      <w:pPr>
        <w:pStyle w:val="CaptionedFigure"/>
      </w:pPr>
      <w:r>
        <w:drawing>
          <wp:inline>
            <wp:extent cx="5334000" cy="3556000"/>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1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2" w:name="fig65"/>
      <w:r>
        <w:t xml:space="preserve">Figure </w:t>
      </w:r>
      <w:fldSimple w:instr="SEQ Figure \* ARABIC ">
        <w:r>
          <w:t>65</w:t>
        </w:r>
      </w:fldSimple>
      <w:r>
        <w:t xml:space="preserve">:</w:t>
      </w:r>
      <w:r>
        <w:t xml:space="preserve"> </w:t>
      </w:r>
      <w:bookmarkEnd w:id="212"/>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13"/>
    <w:bookmarkStart w:id="216"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4</w:t>
        </w:r>
      </w:hyperlink>
      <w:r>
        <w:t xml:space="preserve">. Por otro lado, las multas y amonestaciones son muy poco frecuentes en los FRE. Esta medida correctiva no es adoptada por todos los FRE.</w:t>
      </w:r>
    </w:p>
    <w:p>
      <w:pPr>
        <w:pStyle w:val="CaptionedFigure"/>
      </w:pPr>
      <w:r>
        <w:drawing>
          <wp:inline>
            <wp:extent cx="5334000" cy="3556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1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5" w:name="fig66"/>
      <w:r>
        <w:t xml:space="preserve">Figure </w:t>
      </w:r>
      <w:fldSimple w:instr="SEQ Figure \* ARABIC ">
        <w:r>
          <w:t>66</w:t>
        </w:r>
      </w:fldSimple>
      <w:r>
        <w:t xml:space="preserve">:</w:t>
      </w:r>
      <w:r>
        <w:t xml:space="preserve"> </w:t>
      </w:r>
      <w:bookmarkEnd w:id="215"/>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23 de los 31 FRE solo se quedan en un llamado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16"/>
    <w:bookmarkEnd w:id="217"/>
    <w:bookmarkStart w:id="222" w:name="lineamientos-y-recomendaciones"/>
    <w:p>
      <w:pPr>
        <w:pStyle w:val="Heading1"/>
      </w:pPr>
      <w:r>
        <w:rPr>
          <w:rStyle w:val="SectionNumber"/>
        </w:rPr>
        <w:t xml:space="preserve">9</w:t>
      </w:r>
      <w:r>
        <w:tab/>
      </w:r>
      <w:r>
        <w:t xml:space="preserve">Lineamientos y Recomendaciones</w:t>
      </w:r>
    </w:p>
    <w:bookmarkStart w:id="218" w:name="estructura-de-los-fre"/>
    <w:p>
      <w:pPr>
        <w:pStyle w:val="Heading3"/>
      </w:pPr>
      <w:r>
        <w:rPr>
          <w:rStyle w:val="SectionNumber"/>
        </w:rPr>
        <w:t xml:space="preserve">9.0.1</w:t>
      </w:r>
      <w:r>
        <w:tab/>
      </w:r>
      <w:r>
        <w:t xml:space="preserve">Estructura de los FRE</w:t>
      </w:r>
    </w:p>
    <w:bookmarkEnd w:id="218"/>
    <w:bookmarkStart w:id="219" w:name="recetarios-oficiales-1"/>
    <w:p>
      <w:pPr>
        <w:pStyle w:val="Heading3"/>
      </w:pPr>
      <w:r>
        <w:rPr>
          <w:rStyle w:val="SectionNumber"/>
        </w:rPr>
        <w:t xml:space="preserve">9.0.2</w:t>
      </w:r>
      <w:r>
        <w:tab/>
      </w:r>
      <w:r>
        <w:t xml:space="preserve">Recetarios Oficiales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22"/>
        </w:numPr>
      </w:pPr>
      <w:r>
        <w:t xml:space="preserve">Tener una espacio exclusivo y seguro para el almacenamiento de los recetarios, en el cual sólo se tenga acceso cierto personal del FRE.</w:t>
      </w:r>
    </w:p>
    <w:p>
      <w:pPr>
        <w:numPr>
          <w:ilvl w:val="0"/>
          <w:numId w:val="1022"/>
        </w:numPr>
      </w:pPr>
      <w:r>
        <w:t xml:space="preserve">Realizar un seguimiento de los recetarios por medio de la codificación al momento de venderse, puesto que al no llevar registro de los mismos hay una posibilidad de falsificación y/o desvío.</w:t>
      </w:r>
    </w:p>
    <w:p>
      <w:pPr>
        <w:numPr>
          <w:ilvl w:val="0"/>
          <w:numId w:val="1022"/>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22"/>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22"/>
        </w:numPr>
      </w:pPr>
      <w:r>
        <w:t xml:space="preserve">Tener niveles de seguridad para realizar la compra de nuevos recetarios, evitando desabastecimientos y llegando a planes de contingencia que pueden llegar a ser reprocesos en los entes territoriales.</w:t>
      </w:r>
    </w:p>
    <w:bookmarkEnd w:id="219"/>
    <w:bookmarkStart w:id="220" w:name="medicamentos"/>
    <w:p>
      <w:pPr>
        <w:pStyle w:val="Heading3"/>
      </w:pPr>
      <w:r>
        <w:rPr>
          <w:rStyle w:val="SectionNumber"/>
        </w:rPr>
        <w:t xml:space="preserve">9.0.3</w:t>
      </w:r>
      <w:r>
        <w:tab/>
      </w:r>
      <w:r>
        <w:t xml:space="preserve">Medicamentos</w:t>
      </w:r>
    </w:p>
    <w:p>
      <w:pPr>
        <w:numPr>
          <w:ilvl w:val="0"/>
          <w:numId w:val="1023"/>
        </w:numPr>
      </w:pPr>
      <w:r>
        <w:t xml:space="preserve">Se recomienda realizar ajustes en los esquemas de precios por parte del FNE para disminuir la utilización del canal de compra directa.</w:t>
      </w:r>
    </w:p>
    <w:p>
      <w:pPr>
        <w:numPr>
          <w:ilvl w:val="0"/>
          <w:numId w:val="1023"/>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220"/>
    <w:bookmarkStart w:id="221" w:name="informes"/>
    <w:p>
      <w:pPr>
        <w:pStyle w:val="Heading3"/>
      </w:pPr>
      <w:r>
        <w:rPr>
          <w:rStyle w:val="SectionNumber"/>
        </w:rPr>
        <w:t xml:space="preserve">9.0.4</w:t>
      </w:r>
      <w:r>
        <w:tab/>
      </w:r>
      <w:r>
        <w:t xml:space="preserve">Informes</w:t>
      </w:r>
    </w:p>
    <w:bookmarkEnd w:id="221"/>
    <w:bookmarkEnd w:id="222"/>
    <w:bookmarkStart w:id="223" w:name="glosario"/>
    <w:p>
      <w:pPr>
        <w:pStyle w:val="Heading1"/>
      </w:pPr>
      <w:r>
        <w:t xml:space="preserve">Glosario</w:t>
      </w:r>
    </w:p>
    <w:p>
      <w:pPr>
        <w:numPr>
          <w:ilvl w:val="0"/>
          <w:numId w:val="1024"/>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24"/>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24"/>
        </w:numPr>
      </w:pPr>
      <w:r>
        <w:rPr>
          <w:bCs/>
          <w:b/>
        </w:rPr>
        <w:t xml:space="preserve">Desabastecimiento</w:t>
      </w:r>
      <w:r>
        <w:t xml:space="preserve">: Se entiende como la nula disponibilidad de un medicamento en todo el territorio nacional.</w:t>
      </w:r>
    </w:p>
    <w:p>
      <w:pPr>
        <w:numPr>
          <w:ilvl w:val="0"/>
          <w:numId w:val="1024"/>
        </w:numPr>
      </w:pPr>
      <w:r>
        <w:rPr>
          <w:bCs/>
          <w:b/>
        </w:rPr>
        <w:t xml:space="preserve">Disponibilidad</w:t>
      </w:r>
      <w:r>
        <w:t xml:space="preserve">: Condición en la cual se cuentan con existencias del medicamento en el territorio nacional.</w:t>
      </w:r>
    </w:p>
    <w:p>
      <w:pPr>
        <w:numPr>
          <w:ilvl w:val="0"/>
          <w:numId w:val="1024"/>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24"/>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24"/>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24"/>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24"/>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24"/>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24"/>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24"/>
        </w:numPr>
      </w:pPr>
      <w:r>
        <w:rPr>
          <w:bCs/>
          <w:b/>
        </w:rPr>
        <w:t xml:space="preserve">Monopolio del Estado</w:t>
      </w:r>
      <w:r>
        <w:t xml:space="preserve">: Derecho poseído de exclusividad por el Estado.</w:t>
      </w:r>
    </w:p>
    <w:p>
      <w:pPr>
        <w:numPr>
          <w:ilvl w:val="0"/>
          <w:numId w:val="1024"/>
        </w:numPr>
      </w:pPr>
      <w:r>
        <w:rPr>
          <w:bCs/>
          <w:b/>
        </w:rPr>
        <w:t xml:space="preserve">Principio Activo</w:t>
      </w:r>
      <w:r>
        <w:t xml:space="preserve">: Compuesto o mezcla de compuestos que tienen acción farmacológica.</w:t>
      </w:r>
    </w:p>
    <w:p>
      <w:pPr>
        <w:numPr>
          <w:ilvl w:val="0"/>
          <w:numId w:val="1024"/>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24"/>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24"/>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24"/>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24"/>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24"/>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23"/>
    <w:bookmarkStart w:id="225" w:name="créditos"/>
    <w:p>
      <w:pPr>
        <w:pStyle w:val="Heading1"/>
      </w:pPr>
      <w:r>
        <w:t xml:space="preserve">Créditos</w:t>
      </w:r>
    </w:p>
    <w:bookmarkStart w:id="224"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24"/>
    <w:bookmarkEnd w:id="225"/>
    <w:bookmarkStart w:id="245" w:name="referencias"/>
    <w:p>
      <w:pPr>
        <w:pStyle w:val="Heading1"/>
      </w:pPr>
      <w:r>
        <w:t xml:space="preserve">Referencias</w:t>
      </w:r>
    </w:p>
    <w:bookmarkStart w:id="244" w:name="refs"/>
    <w:bookmarkStart w:id="226" w:name="ref-MSPS1479-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26"/>
    <w:bookmarkStart w:id="227" w:name="ref-CongresodelaRepublica1974"/>
    <w:p>
      <w:pPr>
        <w:pStyle w:val="Bibliography"/>
      </w:pPr>
      <w:r>
        <w:t xml:space="preserve">2.</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27"/>
    <w:bookmarkStart w:id="228" w:name="X9486f9f085ab4ce8af67cf8503137529dfa00a3"/>
    <w:p>
      <w:pPr>
        <w:pStyle w:val="Bibliography"/>
      </w:pPr>
      <w:r>
        <w:t xml:space="preserve">3.</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28"/>
    <w:bookmarkStart w:id="229" w:name="ref-MSPS1478-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29"/>
    <w:bookmarkStart w:id="230" w:name="ref-DANE2021"/>
    <w:p>
      <w:pPr>
        <w:pStyle w:val="Bibliography"/>
      </w:pPr>
      <w:r>
        <w:t xml:space="preserve">5.</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30"/>
    <w:bookmarkStart w:id="231" w:name="ref-MSPS2200-2005"/>
    <w:p>
      <w:pPr>
        <w:pStyle w:val="Bibliography"/>
      </w:pPr>
      <w:r>
        <w:t xml:space="preserve">6.</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31"/>
    <w:bookmarkStart w:id="232" w:name="ref-MinisteriodeRelacionesExteriores2014"/>
    <w:p>
      <w:pPr>
        <w:pStyle w:val="Bibliography"/>
      </w:pPr>
      <w:r>
        <w:t xml:space="preserve">7.</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32"/>
    <w:bookmarkStart w:id="233" w:name="ref-ColombiaCompraEficiente2019"/>
    <w:p>
      <w:pPr>
        <w:pStyle w:val="Bibliography"/>
      </w:pPr>
      <w:r>
        <w:t xml:space="preserve">8.</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33"/>
    <w:bookmarkStart w:id="234" w:name="ref-FNE2015-9"/>
    <w:p>
      <w:pPr>
        <w:pStyle w:val="Bibliography"/>
      </w:pPr>
      <w:r>
        <w:t xml:space="preserve">9.</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34"/>
    <w:bookmarkStart w:id="235" w:name="X4242f5a7e44b24d61e2675796eed085a7e5e2cf"/>
    <w:p>
      <w:pPr>
        <w:pStyle w:val="Bibliography"/>
      </w:pPr>
      <w:r>
        <w:t xml:space="preserve">10.</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35"/>
    <w:bookmarkStart w:id="236" w:name="ref-CongresodelaRepublicadeColombia1993"/>
    <w:p>
      <w:pPr>
        <w:pStyle w:val="Bibliography"/>
      </w:pPr>
      <w:r>
        <w:t xml:space="preserve">11.</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36"/>
    <w:bookmarkStart w:id="237" w:name="ref-CongresodelaRepublicadeColombia2007"/>
    <w:p>
      <w:pPr>
        <w:pStyle w:val="Bibliography"/>
      </w:pPr>
      <w:r>
        <w:t xml:space="preserve">12.</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37"/>
    <w:bookmarkStart w:id="238" w:name="ref-FNE005-2019"/>
    <w:p>
      <w:pPr>
        <w:pStyle w:val="Bibliography"/>
      </w:pPr>
      <w:r>
        <w:t xml:space="preserve">13.</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38"/>
    <w:bookmarkStart w:id="239" w:name="X4e956815ca1199d73a39485c932e7d8485463a0"/>
    <w:p>
      <w:pPr>
        <w:pStyle w:val="Bibliography"/>
      </w:pPr>
      <w:r>
        <w:t xml:space="preserve">14.</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39"/>
    <w:bookmarkStart w:id="240" w:name="X151870ab54b01afcd5b4b1f9212b983bdc4c06e"/>
    <w:p>
      <w:pPr>
        <w:pStyle w:val="Bibliography"/>
      </w:pPr>
      <w:r>
        <w:t xml:space="preserve">15.</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240"/>
    <w:bookmarkStart w:id="241" w:name="ref-GutierrezPulido2008"/>
    <w:p>
      <w:pPr>
        <w:pStyle w:val="Bibliography"/>
      </w:pPr>
      <w:r>
        <w:t xml:space="preserve">16.</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241"/>
    <w:bookmarkStart w:id="242" w:name="ref-Silver2017"/>
    <w:p>
      <w:pPr>
        <w:pStyle w:val="Bibliography"/>
      </w:pPr>
      <w:r>
        <w:t xml:space="preserve">17.</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42"/>
    <w:bookmarkStart w:id="243" w:name="ref-HernandezVera2017"/>
    <w:p>
      <w:pPr>
        <w:pStyle w:val="Bibliography"/>
      </w:pPr>
      <w:r>
        <w:t xml:space="preserve">18.</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7" Target="media/rId207.png" /><Relationship Type="http://schemas.openxmlformats.org/officeDocument/2006/relationships/image" Id="rId85" Target="media/rId85.png" /><Relationship Type="http://schemas.openxmlformats.org/officeDocument/2006/relationships/image" Id="rId152" Target="media/rId152.png" /><Relationship Type="http://schemas.openxmlformats.org/officeDocument/2006/relationships/image" Id="rId154" Target="media/rId154.png" /><Relationship Type="http://schemas.openxmlformats.org/officeDocument/2006/relationships/image" Id="rId119" Target="media/rId119.png" /><Relationship Type="http://schemas.openxmlformats.org/officeDocument/2006/relationships/image" Id="rId101" Target="media/rId101.png" /><Relationship Type="http://schemas.openxmlformats.org/officeDocument/2006/relationships/image" Id="rId173" Target="media/rId173.png" /><Relationship Type="http://schemas.openxmlformats.org/officeDocument/2006/relationships/image" Id="rId133" Target="media/rId133.png" /><Relationship Type="http://schemas.openxmlformats.org/officeDocument/2006/relationships/image" Id="rId61" Target="media/rId61.png" /><Relationship Type="http://schemas.openxmlformats.org/officeDocument/2006/relationships/image" Id="rId176" Target="media/rId176.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05" Target="media/rId105.png" /><Relationship Type="http://schemas.openxmlformats.org/officeDocument/2006/relationships/image" Id="rId122" Target="media/rId122.png" /><Relationship Type="http://schemas.openxmlformats.org/officeDocument/2006/relationships/image" Id="rId149" Target="media/rId149.png" /><Relationship Type="http://schemas.openxmlformats.org/officeDocument/2006/relationships/image" Id="rId142" Target="media/rId142.png" /><Relationship Type="http://schemas.openxmlformats.org/officeDocument/2006/relationships/image" Id="rId124" Target="media/rId124.png" /><Relationship Type="http://schemas.openxmlformats.org/officeDocument/2006/relationships/image" Id="rId183" Target="media/rId183.png" /><Relationship Type="http://schemas.openxmlformats.org/officeDocument/2006/relationships/image" Id="rId191" Target="media/rId191.png" /><Relationship Type="http://schemas.openxmlformats.org/officeDocument/2006/relationships/image" Id="rId110" Target="media/rId110.png" /><Relationship Type="http://schemas.openxmlformats.org/officeDocument/2006/relationships/image" Id="rId214" Target="media/rId214.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135" Target="media/rId135.png" /><Relationship Type="http://schemas.openxmlformats.org/officeDocument/2006/relationships/image" Id="rId92" Target="media/rId92.png" /><Relationship Type="http://schemas.openxmlformats.org/officeDocument/2006/relationships/image" Id="rId139" Target="media/rId139.png" /><Relationship Type="http://schemas.openxmlformats.org/officeDocument/2006/relationships/image" Id="rId99" Target="media/rId99.png" /><Relationship Type="http://schemas.openxmlformats.org/officeDocument/2006/relationships/image" Id="rId171" Target="media/rId171.png" /><Relationship Type="http://schemas.openxmlformats.org/officeDocument/2006/relationships/image" Id="rId144" Target="media/rId144.png" /><Relationship Type="http://schemas.openxmlformats.org/officeDocument/2006/relationships/image" Id="rId180" Target="media/rId180.png" /><Relationship Type="http://schemas.openxmlformats.org/officeDocument/2006/relationships/image" Id="rId64" Target="media/rId64.png" /><Relationship Type="http://schemas.openxmlformats.org/officeDocument/2006/relationships/image" Id="rId146" Target="media/rId146.png" /><Relationship Type="http://schemas.openxmlformats.org/officeDocument/2006/relationships/image" Id="rId169" Target="media/rId169.png" /><Relationship Type="http://schemas.openxmlformats.org/officeDocument/2006/relationships/image" Id="rId147" Target="media/rId147.png" /><Relationship Type="http://schemas.openxmlformats.org/officeDocument/2006/relationships/image" Id="rId202" Target="media/rId202.png" /><Relationship Type="http://schemas.openxmlformats.org/officeDocument/2006/relationships/image" Id="rId77" Target="media/rId77.png" /><Relationship Type="http://schemas.openxmlformats.org/officeDocument/2006/relationships/image" Id="rId178" Target="media/rId178.png" /><Relationship Type="http://schemas.openxmlformats.org/officeDocument/2006/relationships/image" Id="rId211" Target="media/rId211.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197" Target="media/rId197.png" /><Relationship Type="http://schemas.openxmlformats.org/officeDocument/2006/relationships/image" Id="rId195" Target="media/rId195.png" /><Relationship Type="http://schemas.openxmlformats.org/officeDocument/2006/relationships/image" Id="rId204" Target="media/rId204.png" /><Relationship Type="http://schemas.openxmlformats.org/officeDocument/2006/relationships/image" Id="rId128" Target="media/rId128.png" /><Relationship Type="http://schemas.openxmlformats.org/officeDocument/2006/relationships/image" Id="rId116" Target="media/rId116.png" /><Relationship Type="http://schemas.openxmlformats.org/officeDocument/2006/relationships/image" Id="rId157" Target="media/rId157.png" /><Relationship Type="http://schemas.openxmlformats.org/officeDocument/2006/relationships/image" Id="rId130" Target="media/rId130.png" /><Relationship Type="http://schemas.openxmlformats.org/officeDocument/2006/relationships/image" Id="rId163" Target="media/rId163.png" /><Relationship Type="http://schemas.openxmlformats.org/officeDocument/2006/relationships/image" Id="rId58" Target="media/rId58.png" /><Relationship Type="http://schemas.openxmlformats.org/officeDocument/2006/relationships/image" Id="rId56" Target="media/rId56.png" /><Relationship Type="http://schemas.openxmlformats.org/officeDocument/2006/relationships/image" Id="rId96" Target="media/rId9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68" Target="media/rId6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193" Target="media/rId193.png" /><Relationship Type="http://schemas.openxmlformats.org/officeDocument/2006/relationships/image" Id="rId200" Target="media/rId200.png" /><Relationship Type="http://schemas.openxmlformats.org/officeDocument/2006/relationships/image" Id="rId70" Target="media/rId70.jp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2021-10-09T22:11:28Z</dcterms:created>
  <dcterms:modified xsi:type="dcterms:W3CDTF">2021-10-09T22:11:28Z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