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85.png" ContentType="image/png"/>
  <Override PartName="/word/media/rId152.png" ContentType="image/png"/>
  <Override PartName="/word/media/rId154.png" ContentType="image/png"/>
  <Override PartName="/word/media/rId119.png" ContentType="image/png"/>
  <Override PartName="/word/media/rId101.png" ContentType="image/png"/>
  <Override PartName="/word/media/rId173.png" ContentType="image/png"/>
  <Override PartName="/word/media/rId133.png" ContentType="image/png"/>
  <Override PartName="/word/media/rId61.png" ContentType="image/png"/>
  <Override PartName="/word/media/rId176.png" ContentType="image/png"/>
  <Override PartName="/word/media/rId112.png" ContentType="image/png"/>
  <Override PartName="/word/media/rId113.png" ContentType="image/png"/>
  <Override PartName="/word/media/rId105.png" ContentType="image/png"/>
  <Override PartName="/word/media/rId122.png" ContentType="image/png"/>
  <Override PartName="/word/media/rId149.png" ContentType="image/png"/>
  <Override PartName="/word/media/rId142.png" ContentType="image/png"/>
  <Override PartName="/word/media/rId124.png" ContentType="image/png"/>
  <Override PartName="/word/media/rId183.png" ContentType="image/png"/>
  <Override PartName="/word/media/rId191.png" ContentType="image/png"/>
  <Override PartName="/word/media/rId110.png" ContentType="image/png"/>
  <Override PartName="/word/media/rId214.png" ContentType="image/png"/>
  <Override PartName="/word/media/rId186.png" ContentType="image/png"/>
  <Override PartName="/word/media/rId43.png" ContentType="image/png"/>
  <Override PartName="/word/media/rId45.png" ContentType="image/png"/>
  <Override PartName="/word/media/rId135.png" ContentType="image/png"/>
  <Override PartName="/word/media/rId92.png" ContentType="image/png"/>
  <Override PartName="/word/media/rId139.png" ContentType="image/png"/>
  <Override PartName="/word/media/rId99.png" ContentType="image/png"/>
  <Override PartName="/word/media/rId171.png" ContentType="image/png"/>
  <Override PartName="/word/media/rId144.png" ContentType="image/png"/>
  <Override PartName="/word/media/rId180.png" ContentType="image/png"/>
  <Override PartName="/word/media/rId64.png" ContentType="image/png"/>
  <Override PartName="/word/media/rId146.png" ContentType="image/png"/>
  <Override PartName="/word/media/rId169.png" ContentType="image/png"/>
  <Override PartName="/word/media/rId147.png" ContentType="image/png"/>
  <Override PartName="/word/media/rId202.png" ContentType="image/png"/>
  <Override PartName="/word/media/rId77.png" ContentType="image/png"/>
  <Override PartName="/word/media/rId178.png" ContentType="image/png"/>
  <Override PartName="/word/media/rId211.png" ContentType="image/png"/>
  <Override PartName="/word/media/rId87.png" ContentType="image/png"/>
  <Override PartName="/word/media/rId90.png" ContentType="image/png"/>
  <Override PartName="/word/media/rId82.png" ContentType="image/png"/>
  <Override PartName="/word/media/rId197.png" ContentType="image/png"/>
  <Override PartName="/word/media/rId195.png" ContentType="image/png"/>
  <Override PartName="/word/media/rId204.png" ContentType="image/png"/>
  <Override PartName="/word/media/rId128.png" ContentType="image/png"/>
  <Override PartName="/word/media/rId116.png" ContentType="image/png"/>
  <Override PartName="/word/media/rId157.png" ContentType="image/png"/>
  <Override PartName="/word/media/rId130.png" ContentType="image/png"/>
  <Override PartName="/word/media/rId163.png" ContentType="image/png"/>
  <Override PartName="/word/media/rId58.png" ContentType="image/png"/>
  <Override PartName="/word/media/rId56.png" ContentType="image/png"/>
  <Override PartName="/word/media/rId96.png" ContentType="image/png"/>
  <Override PartName="/word/media/rId49.png" ContentType="image/png"/>
  <Override PartName="/word/media/rId52.png" ContentType="image/png"/>
  <Override PartName="/word/media/rId36.png" ContentType="image/png"/>
  <Override PartName="/word/media/rId38.png" ContentType="image/png"/>
  <Override PartName="/word/media/rId40.png" ContentType="image/png"/>
  <Override PartName="/word/media/rId68.png" ContentType="image/png"/>
  <Override PartName="/word/media/rId29.png" ContentType="image/png"/>
  <Override PartName="/word/media/rId30.png" ContentType="image/png"/>
  <Override PartName="/word/media/rId27.png" ContentType="image/png"/>
  <Override PartName="/word/media/rId32.png" ContentType="image/png"/>
  <Override PartName="/word/media/rId161.png" ContentType="image/png"/>
  <Override PartName="/word/media/rId165.png" ContentType="image/png"/>
  <Override PartName="/word/media/rId24.png" ContentType="image/png"/>
  <Override PartName="/word/media/rId73.png" ContentType="image/png"/>
  <Override PartName="/word/media/rId193.png" ContentType="image/png"/>
  <Override PartName="/word/media/rId200.png" ContentType="image/png"/>
  <Override PartName="/word/media/rId7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109"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6</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4</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4</w:t>
        </w:r>
      </w:hyperlink>
      <w:r>
        <w:t xml:space="preserve">.</w:t>
      </w:r>
    </w:p>
    <w:bookmarkStart w:id="55" w:name="existencia-de-recetarios"/>
    <w:p>
      <w:pPr>
        <w:pStyle w:val="Heading2"/>
      </w:pPr>
      <w:r>
        <w:rPr>
          <w:rStyle w:val="SectionNumber"/>
        </w:rPr>
        <w:t xml:space="preserve">5.1</w:t>
      </w:r>
      <w:r>
        <w:tab/>
      </w:r>
      <w:r>
        <w:t xml:space="preserve">Existencia de recetarios</w:t>
      </w:r>
    </w:p>
    <w:bookmarkStart w:id="51"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en el FRE. Panel A. N.° de existencias de recetarios en el FRE. Panel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Existencias en el FRE. Panel A. N.° de existencias de recetarios en el FRE. Panel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1"/>
    <w:bookmarkStart w:id="54"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5</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bookmarkEnd w:id="54"/>
    <w:bookmarkEnd w:id="55"/>
    <w:bookmarkStart w:id="67" w:name="costos-de-recetarios"/>
    <w:p>
      <w:pPr>
        <w:pStyle w:val="Heading2"/>
      </w:pPr>
      <w:r>
        <w:rPr>
          <w:rStyle w:val="SectionNumber"/>
        </w:rPr>
        <w:t xml:space="preserve">5.2</w:t>
      </w:r>
      <w:r>
        <w:tab/>
      </w:r>
      <w:r>
        <w:t xml:space="preserve">Costos de recetarios</w:t>
      </w:r>
    </w:p>
    <w:bookmarkStart w:id="6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Panel A. Costos de adquisición de recetarios por departamento. Panel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5.3: Comparativo de costo vs precio de recetarios por departamento. Panel A. Costos de adquisición de recetarios por departamento. Panel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Panel A. Frecuencia de departamentos por márgen de ganancia. Panel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9" w:name="fig13"/>
      <w:r>
        <w:t xml:space="preserve">Figure </w:t>
      </w:r>
      <w:fldSimple w:instr="SEQ Figure \* ARABIC ">
        <w:r>
          <w:t>13</w:t>
        </w:r>
      </w:fldSimple>
      <w:r>
        <w:t xml:space="preserve">:</w:t>
      </w:r>
      <w:r>
        <w:t xml:space="preserve"> </w:t>
      </w:r>
      <w:bookmarkEnd w:id="59"/>
      <w:r>
        <w:t xml:space="preserve">Figura 5.4: Márgen de ganancia por recetario. Panel A. Frecuencia de departamentos por márgen de ganancia. Panel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0"/>
    <w:bookmarkStart w:id="6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1"/>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7</w:t>
        </w:r>
      </w:hyperlink>
      <w:r>
        <w:t xml:space="preserve">.</w:t>
      </w:r>
    </w:p>
    <w:p>
      <w:pPr>
        <w:numPr>
          <w:ilvl w:val="0"/>
          <w:numId w:val="1011"/>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7</w:t>
        </w:r>
      </w:hyperlink>
      <w:r>
        <w:t xml:space="preserve">.</w:t>
      </w:r>
    </w:p>
    <w:p>
      <w:pPr>
        <w:numPr>
          <w:ilvl w:val="0"/>
          <w:numId w:val="1011"/>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7</w:t>
        </w:r>
      </w:hyperlink>
      <w:r>
        <w:t xml:space="preserve">.</w:t>
      </w:r>
    </w:p>
    <w:p>
      <w:pPr>
        <w:numPr>
          <w:ilvl w:val="0"/>
          <w:numId w:val="1011"/>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8</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2"/>
        </w:numPr>
      </w:pPr>
      <w:r>
        <w:t xml:space="preserve">número de prescripciones en el recetario (variable continua).</w:t>
      </w:r>
    </w:p>
    <w:p>
      <w:pPr>
        <w:numPr>
          <w:ilvl w:val="0"/>
          <w:numId w:val="1012"/>
        </w:numPr>
      </w:pPr>
      <w:r>
        <w:t xml:space="preserve">número de medidas de seguridad implementadas en el recetario (variable continua).</w:t>
      </w:r>
    </w:p>
    <w:p>
      <w:pPr>
        <w:numPr>
          <w:ilvl w:val="0"/>
          <w:numId w:val="1012"/>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2" w:name="fig14"/>
      <w:r>
        <w:t xml:space="preserve">Figure </w:t>
      </w:r>
      <w:fldSimple w:instr="SEQ Figure \* ARABIC ">
        <w:r>
          <w:t>14</w:t>
        </w:r>
      </w:fldSimple>
      <w:r>
        <w:t xml:space="preserve">:</w:t>
      </w:r>
      <w:r>
        <w:t xml:space="preserve"> </w:t>
      </w:r>
      <w:bookmarkEnd w:id="62"/>
      <w:r>
        <w:t xml:space="preserve">Figura 5.5: Gráficos de dependencia parcial - Modelo de Costos.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3"/>
    <w:bookmarkStart w:id="6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5"/>
      <w:r>
        <w:t xml:space="preserve">Figure </w:t>
      </w:r>
      <w:fldSimple w:instr="SEQ Figure \* ARABIC ">
        <w:r>
          <w:t>15</w:t>
        </w:r>
      </w:fldSimple>
      <w:r>
        <w:t xml:space="preserve">:</w:t>
      </w:r>
      <w:r>
        <w:t xml:space="preserve"> </w:t>
      </w:r>
      <w:bookmarkEnd w:id="65"/>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66"/>
    <w:bookmarkEnd w:id="67"/>
    <w:bookmarkStart w:id="76" w:name="adquisición-de-recetarios"/>
    <w:p>
      <w:pPr>
        <w:pStyle w:val="Heading2"/>
      </w:pPr>
      <w:r>
        <w:rPr>
          <w:rStyle w:val="SectionNumber"/>
        </w:rPr>
        <w:t xml:space="preserve">5.3</w:t>
      </w:r>
      <w:r>
        <w:tab/>
      </w:r>
      <w:r>
        <w:t xml:space="preserve">Adquisición de recetarios</w:t>
      </w:r>
    </w:p>
    <w:bookmarkStart w:id="7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1" w:name="fig17"/>
      <w:r>
        <w:t xml:space="preserve">Figure </w:t>
      </w:r>
      <w:fldSimple w:instr="SEQ Figure \* ARABIC ">
        <w:r>
          <w:t>17</w:t>
        </w:r>
      </w:fldSimple>
      <w:r>
        <w:t xml:space="preserve">:</w:t>
      </w:r>
      <w:r>
        <w:t xml:space="preserve"> </w:t>
      </w:r>
      <w:bookmarkEnd w:id="71"/>
      <w:r>
        <w:t xml:space="preserve">Figura 5.8: Proceso de contratación/licitación de los recetarios oficiales.</w:t>
      </w:r>
    </w:p>
    <w:bookmarkEnd w:id="72"/>
    <w:bookmarkStart w:id="7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5"/>
    <w:bookmarkEnd w:id="76"/>
    <w:bookmarkStart w:id="95" w:name="procesos-relacionados-a-los-recetarios"/>
    <w:p>
      <w:pPr>
        <w:pStyle w:val="Heading2"/>
      </w:pPr>
      <w:r>
        <w:rPr>
          <w:rStyle w:val="SectionNumber"/>
        </w:rPr>
        <w:t xml:space="preserve">5.4</w:t>
      </w:r>
      <w:r>
        <w:tab/>
      </w:r>
      <w:r>
        <w:t xml:space="preserve">Procesos relacionados a los recetarios</w:t>
      </w:r>
    </w:p>
    <w:bookmarkStart w:id="7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Panel A. Porcentaje de entes territoriales que reciben recetarios oficiales recibidos prescritos/diligenciados. Panel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5.10: Recepción de recetarios. Panel A. Porcentaje de entes territoriales que reciben recetarios oficiales recibidos prescritos/diligenciados. Panel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79"/>
    <w:bookmarkStart w:id="84"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1" w:name="fig20"/>
      <w:r>
        <w:t xml:space="preserve">Figure </w:t>
      </w:r>
      <w:fldSimple w:instr="SEQ Figure \* ARABIC ">
        <w:r>
          <w:t>20</w:t>
        </w:r>
      </w:fldSimple>
      <w:r>
        <w:t xml:space="preserve">:</w:t>
      </w:r>
      <w:r>
        <w:t xml:space="preserve"> </w:t>
      </w:r>
      <w:bookmarkEnd w:id="81"/>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1</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3" w:name="fig21"/>
      <w:r>
        <w:t xml:space="preserve">Figure </w:t>
      </w:r>
      <w:fldSimple w:instr="SEQ Figure \* ARABIC ">
        <w:r>
          <w:t>21</w:t>
        </w:r>
      </w:fldSimple>
      <w:r>
        <w:t xml:space="preserve">:</w:t>
      </w:r>
      <w:r>
        <w:t xml:space="preserve"> </w:t>
      </w:r>
      <w:bookmarkEnd w:id="83"/>
      <w:r>
        <w:t xml:space="preserve">Figura 5.12: Tiempo de demora en la venta de recetarios oficiales a clientes</w:t>
      </w:r>
    </w:p>
    <w:bookmarkEnd w:id="84"/>
    <w:bookmarkStart w:id="8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3"/>
        </w:numPr>
      </w:pPr>
      <w:r>
        <w:t xml:space="preserve">Datos básicos de las entidades y prescriptores inscritos en el FRE.</w:t>
      </w:r>
    </w:p>
    <w:p>
      <w:pPr>
        <w:numPr>
          <w:ilvl w:val="0"/>
          <w:numId w:val="1013"/>
        </w:numPr>
      </w:pPr>
      <w:r>
        <w:t xml:space="preserve">Unidades consumidas y su respectivo valor.</w:t>
      </w:r>
    </w:p>
    <w:p>
      <w:pPr>
        <w:numPr>
          <w:ilvl w:val="0"/>
          <w:numId w:val="1013"/>
        </w:numPr>
      </w:pPr>
      <w:r>
        <w:t xml:space="preserve">Datos de identificación de los recetarios.</w:t>
      </w:r>
    </w:p>
    <w:p>
      <w:pPr>
        <w:numPr>
          <w:ilvl w:val="0"/>
          <w:numId w:val="1013"/>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6" w:name="fig22"/>
      <w:r>
        <w:t xml:space="preserve">Figure </w:t>
      </w:r>
      <w:fldSimple w:instr="SEQ Figure \* ARABIC ">
        <w:r>
          <w:t>22</w:t>
        </w:r>
      </w:fldSimple>
      <w:r>
        <w:t xml:space="preserve">:</w:t>
      </w:r>
      <w:r>
        <w:t xml:space="preserve"> </w:t>
      </w:r>
      <w:bookmarkEnd w:id="86"/>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4"/>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4"/>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8" w:name="fig23"/>
      <w:r>
        <w:t xml:space="preserve">Figure </w:t>
      </w:r>
      <w:fldSimple w:instr="SEQ Figure \* ARABIC ">
        <w:r>
          <w:t>23</w:t>
        </w:r>
      </w:fldSimple>
      <w:r>
        <w:t xml:space="preserve">:</w:t>
      </w:r>
      <w:r>
        <w:t xml:space="preserve"> </w:t>
      </w:r>
      <w:bookmarkEnd w:id="88"/>
      <w:r>
        <w:t xml:space="preserve">Figura 5.14: Actividades realizadas por el FRE para el seguimiento del uso de recetarios</w:t>
      </w:r>
    </w:p>
    <w:bookmarkEnd w:id="89"/>
    <w:bookmarkStart w:id="94"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9</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1" w:name="fig24"/>
      <w:r>
        <w:t xml:space="preserve">Figure </w:t>
      </w:r>
      <w:fldSimple w:instr="SEQ Figure \* ARABIC ">
        <w:r>
          <w:t>24</w:t>
        </w:r>
      </w:fldSimple>
      <w:r>
        <w:t xml:space="preserve">:</w:t>
      </w:r>
      <w:r>
        <w:t xml:space="preserve"> </w:t>
      </w:r>
      <w:bookmarkEnd w:id="91"/>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10</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9</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3" w:name="fig25"/>
      <w:r>
        <w:t xml:space="preserve">Figure </w:t>
      </w:r>
      <w:fldSimple w:instr="SEQ Figure \* ARABIC ">
        <w:r>
          <w:t>25</w:t>
        </w:r>
      </w:fldSimple>
      <w:r>
        <w:t xml:space="preserve">:</w:t>
      </w:r>
      <w:r>
        <w:t xml:space="preserve"> </w:t>
      </w:r>
      <w:bookmarkEnd w:id="93"/>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4"/>
    <w:bookmarkEnd w:id="95"/>
    <w:bookmarkStart w:id="104" w:name="características-de-los-recetarios"/>
    <w:p>
      <w:pPr>
        <w:pStyle w:val="Heading2"/>
      </w:pPr>
      <w:r>
        <w:rPr>
          <w:rStyle w:val="SectionNumber"/>
        </w:rPr>
        <w:t xml:space="preserve">5.5</w:t>
      </w:r>
      <w:r>
        <w:tab/>
      </w:r>
      <w:r>
        <w:t xml:space="preserve">Características de los recetarios</w:t>
      </w:r>
    </w:p>
    <w:bookmarkStart w:id="98"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5.17: N.° de prescripciones por recetario</w:t>
      </w:r>
    </w:p>
    <w:bookmarkEnd w:id="98"/>
    <w:bookmarkStart w:id="103"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27"/>
      <w:r>
        <w:t xml:space="preserve">Figure </w:t>
      </w:r>
      <w:fldSimple w:instr="SEQ Figure \* ARABIC ">
        <w:r>
          <w:t>27</w:t>
        </w:r>
      </w:fldSimple>
      <w:r>
        <w:t xml:space="preserve">:</w:t>
      </w:r>
      <w:r>
        <w:t xml:space="preserve"> </w:t>
      </w:r>
      <w:bookmarkEnd w:id="100"/>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5"/>
        </w:numPr>
      </w:pPr>
      <w:r>
        <w:t xml:space="preserve">Tintas invisibles o fluorescentes que brillan al estar frente a la luz UV.</w:t>
      </w:r>
    </w:p>
    <w:p>
      <w:pPr>
        <w:numPr>
          <w:ilvl w:val="0"/>
          <w:numId w:val="1015"/>
        </w:numPr>
      </w:pPr>
      <w:r>
        <w:t xml:space="preserve">Microletras/microtextos, los cuales están inmersos en cada folio del recetario donde se describe para quien va cada copia.</w:t>
      </w:r>
    </w:p>
    <w:p>
      <w:pPr>
        <w:numPr>
          <w:ilvl w:val="0"/>
          <w:numId w:val="1015"/>
        </w:numPr>
      </w:pPr>
      <w:r>
        <w:t xml:space="preserve">Relieves o laminados observados en la copia original de los recetarios.</w:t>
      </w:r>
    </w:p>
    <w:p>
      <w:pPr>
        <w:numPr>
          <w:ilvl w:val="0"/>
          <w:numId w:val="1015"/>
        </w:numPr>
      </w:pPr>
      <w:r>
        <w:t xml:space="preserve">Filamentos o bandas de seguridad tecnología similar a los billetes.</w:t>
      </w:r>
    </w:p>
    <w:p>
      <w:pPr>
        <w:numPr>
          <w:ilvl w:val="0"/>
          <w:numId w:val="1015"/>
        </w:numPr>
      </w:pPr>
      <w:r>
        <w:t xml:space="preserve">Pruebas reactivo metal, que consisten en raspar un espacio determinado del recetario con un metal o moneda desde la página original del mismo y automáticamente los folios continuos se marcarán.</w:t>
      </w:r>
    </w:p>
    <w:p>
      <w:pPr>
        <w:numPr>
          <w:ilvl w:val="0"/>
          <w:numId w:val="1015"/>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2" w:name="fig28"/>
      <w:r>
        <w:t xml:space="preserve">Figure </w:t>
      </w:r>
      <w:fldSimple w:instr="SEQ Figure \* ARABIC ">
        <w:r>
          <w:t>28</w:t>
        </w:r>
      </w:fldSimple>
      <w:r>
        <w:t xml:space="preserve">:</w:t>
      </w:r>
      <w:r>
        <w:t xml:space="preserve"> </w:t>
      </w:r>
      <w:bookmarkEnd w:id="102"/>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3"/>
    <w:bookmarkEnd w:id="104"/>
    <w:bookmarkStart w:id="108"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es …</w:t>
      </w:r>
    </w:p>
    <w:bookmarkStart w:id="107"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07"/>
    <w:bookmarkEnd w:id="108"/>
    <w:bookmarkEnd w:id="109"/>
    <w:bookmarkStart w:id="168" w:name="manejo-de-medicamentos"/>
    <w:p>
      <w:pPr>
        <w:pStyle w:val="Heading1"/>
      </w:pPr>
      <w:r>
        <w:rPr>
          <w:rStyle w:val="SectionNumber"/>
        </w:rPr>
        <w:t xml:space="preserve">6</w:t>
      </w:r>
      <w:r>
        <w:tab/>
      </w:r>
      <w:r>
        <w:t xml:space="preserve">Manejo de Medicamentos</w:t>
      </w:r>
    </w:p>
    <w:bookmarkStart w:id="127" w:name="adquisición-de-mme-por-parte-del-fre"/>
    <w:p>
      <w:pPr>
        <w:pStyle w:val="Heading2"/>
      </w:pPr>
      <w:r>
        <w:rPr>
          <w:rStyle w:val="SectionNumber"/>
        </w:rPr>
        <w:t xml:space="preserve">6.1</w:t>
      </w:r>
      <w:r>
        <w:tab/>
      </w:r>
      <w:r>
        <w:t xml:space="preserve">Adquisición de MME por parte del FRE</w:t>
      </w:r>
    </w:p>
    <w:bookmarkStart w:id="111"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111"/>
    <w:bookmarkStart w:id="115"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6"/>
        </w:numPr>
        <w:pStyle w:val="Compact"/>
      </w:pPr>
      <w:r>
        <w:t xml:space="preserve">Estimación de necesidades</w:t>
      </w:r>
    </w:p>
    <w:p>
      <w:pPr>
        <w:numPr>
          <w:ilvl w:val="0"/>
          <w:numId w:val="1016"/>
        </w:numPr>
        <w:pStyle w:val="Compact"/>
      </w:pPr>
      <w:r>
        <w:t xml:space="preserve">Precontractual</w:t>
      </w:r>
    </w:p>
    <w:p>
      <w:pPr>
        <w:numPr>
          <w:ilvl w:val="0"/>
          <w:numId w:val="1016"/>
        </w:numPr>
        <w:pStyle w:val="Compact"/>
      </w:pPr>
      <w:r>
        <w:t xml:space="preserve">Contractual</w:t>
      </w:r>
    </w:p>
    <w:p>
      <w:pPr>
        <w:numPr>
          <w:ilvl w:val="0"/>
          <w:numId w:val="1016"/>
        </w:numPr>
        <w:pStyle w:val="Compact"/>
      </w:pPr>
      <w:r>
        <w:t xml:space="preserve">Solicitud en la plataforma tecnológica</w:t>
      </w:r>
    </w:p>
    <w:p>
      <w:pPr>
        <w:numPr>
          <w:ilvl w:val="0"/>
          <w:numId w:val="1016"/>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11</w:t>
        </w:r>
      </w:hyperlink>
      <w:r>
        <w:rPr>
          <w:vertAlign w:val="superscript"/>
        </w:rPr>
        <w:t xml:space="preserve">,</w:t>
      </w:r>
      <w:hyperlink w:anchor="ref-CongresodelaRepublicadeColombia2007">
        <w:r>
          <w:rPr>
            <w:rStyle w:val="Hyperlink"/>
            <w:vertAlign w:val="superscript"/>
          </w:rPr>
          <w:t xml:space="preserve">12</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3556000"/>
            <wp:effectExtent b="0" l="0" r="0" t="0"/>
            <wp:docPr descr="Figura 6.3: Histogramas de tiempos en el proceso de adquisición por departament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4" w:name="fig30"/>
      <w:r>
        <w:t xml:space="preserve">Figure </w:t>
      </w:r>
      <w:fldSimple w:instr="SEQ Figure \* ARABIC ">
        <w:r>
          <w:t>30</w:t>
        </w:r>
      </w:fldSimple>
      <w:r>
        <w:t xml:space="preserve">:</w:t>
      </w:r>
      <w:r>
        <w:t xml:space="preserve"> </w:t>
      </w:r>
      <w:bookmarkEnd w:id="114"/>
      <w:r>
        <w:t xml:space="preserve">Figura 6.3: Histogramas de tiempos en el proceso de adquisición por departamento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115"/>
    <w:bookmarkStart w:id="118"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Panel A. Gráfico de tiempos de traslados interdepartamentales reportados para los departamentos. Panel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6"/>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17" w:name="fig31"/>
      <w:r>
        <w:t xml:space="preserve">Figure </w:t>
      </w:r>
      <w:fldSimple w:instr="SEQ Figure \* ARABIC ">
        <w:r>
          <w:t>31</w:t>
        </w:r>
      </w:fldSimple>
      <w:r>
        <w:t xml:space="preserve">:</w:t>
      </w:r>
      <w:r>
        <w:t xml:space="preserve"> </w:t>
      </w:r>
      <w:bookmarkEnd w:id="117"/>
      <w:r>
        <w:t xml:space="preserve">Figura 6.4: Caracterización en demoras de traslados interdepartamentales. Panel A. Gráfico de tiempos de traslados interdepartamentales reportados para los departamentos. Panel B. Mapa de tiempos de traslados interdepartamentales.</w:t>
      </w:r>
    </w:p>
    <w:bookmarkEnd w:id="118"/>
    <w:bookmarkStart w:id="121"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13</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32"/>
      <w:r>
        <w:t xml:space="preserve">Figure </w:t>
      </w:r>
      <w:fldSimple w:instr="SEQ Figure \* ARABIC ">
        <w:r>
          <w:t>32</w:t>
        </w:r>
      </w:fldSimple>
      <w:r>
        <w:t xml:space="preserve">:</w:t>
      </w:r>
      <w:r>
        <w:t xml:space="preserve"> </w:t>
      </w:r>
      <w:bookmarkEnd w:id="120"/>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21"/>
    <w:bookmarkStart w:id="126"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3"/>
      <w:r>
        <w:t xml:space="preserve">Figure </w:t>
      </w:r>
      <w:fldSimple w:instr="SEQ Figure \* ARABIC ">
        <w:r>
          <w:t>33</w:t>
        </w:r>
      </w:fldSimple>
      <w:r>
        <w:t xml:space="preserve">:</w:t>
      </w:r>
      <w:r>
        <w:t xml:space="preserve"> </w:t>
      </w:r>
      <w:bookmarkEnd w:id="123"/>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5" w:name="fig34"/>
      <w:r>
        <w:t xml:space="preserve">Figure </w:t>
      </w:r>
      <w:fldSimple w:instr="SEQ Figure \* ARABIC ">
        <w:r>
          <w:t>34</w:t>
        </w:r>
      </w:fldSimple>
      <w:r>
        <w:t xml:space="preserve">:</w:t>
      </w:r>
      <w:r>
        <w:t xml:space="preserve"> </w:t>
      </w:r>
      <w:bookmarkEnd w:id="125"/>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6"/>
    <w:bookmarkEnd w:id="127"/>
    <w:bookmarkStart w:id="138" w:name="procesos-relacionados-a-medicamentos"/>
    <w:p>
      <w:pPr>
        <w:pStyle w:val="Heading2"/>
      </w:pPr>
      <w:r>
        <w:rPr>
          <w:rStyle w:val="SectionNumber"/>
        </w:rPr>
        <w:t xml:space="preserve">6.2</w:t>
      </w:r>
      <w:r>
        <w:tab/>
      </w:r>
      <w:r>
        <w:t xml:space="preserve">Procesos relacionados a medicamentos</w:t>
      </w:r>
    </w:p>
    <w:bookmarkStart w:id="132" w:name="recepción-de-medicamentos"/>
    <w:p>
      <w:pPr>
        <w:pStyle w:val="Heading3"/>
      </w:pPr>
      <w:r>
        <w:rPr>
          <w:rStyle w:val="SectionNumber"/>
        </w:rPr>
        <w:t xml:space="preserve">6.2.1</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14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17"/>
        </w:numPr>
      </w:pPr>
      <w:r>
        <w:t xml:space="preserve">estudiar la documentación propia de la institución que realiza la recepción, con el fin de establecer los productos a recibir y qué condiciones requieren los mismos para su recepción.</w:t>
      </w:r>
    </w:p>
    <w:p>
      <w:pPr>
        <w:numPr>
          <w:ilvl w:val="0"/>
          <w:numId w:val="1017"/>
        </w:numPr>
      </w:pPr>
      <w:r>
        <w:t xml:space="preserve">verificar la documentación de quien hace la entrega, p.ej. guía de entrega. Las cantidades solicitadas deben corresponder con las aprobadas tras el pedido.</w:t>
      </w:r>
    </w:p>
    <w:p>
      <w:pPr>
        <w:numPr>
          <w:ilvl w:val="0"/>
          <w:numId w:val="1017"/>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15</w:t>
        </w:r>
      </w:hyperlink>
      <w:r>
        <w:rPr>
          <w:vertAlign w:val="superscript"/>
        </w:rPr>
        <w:t xml:space="preserve">,</w:t>
      </w:r>
      <w:hyperlink w:anchor="ref-GutierrezPulido2008">
        <w:r>
          <w:rPr>
            <w:rStyle w:val="Hyperlink"/>
            <w:vertAlign w:val="superscript"/>
          </w:rPr>
          <w:t xml:space="preserve">16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18"/>
        </w:numPr>
      </w:pPr>
      <w:r>
        <w:t xml:space="preserve">fecha y hora de entrega,</w:t>
      </w:r>
    </w:p>
    <w:p>
      <w:pPr>
        <w:numPr>
          <w:ilvl w:val="0"/>
          <w:numId w:val="1018"/>
        </w:numPr>
      </w:pPr>
      <w:r>
        <w:t xml:space="preserve">cantidad de unidades,</w:t>
      </w:r>
    </w:p>
    <w:p>
      <w:pPr>
        <w:numPr>
          <w:ilvl w:val="0"/>
          <w:numId w:val="1018"/>
        </w:numPr>
      </w:pPr>
      <w:r>
        <w:t xml:space="preserve">número de lote,</w:t>
      </w:r>
    </w:p>
    <w:p>
      <w:pPr>
        <w:numPr>
          <w:ilvl w:val="0"/>
          <w:numId w:val="1018"/>
        </w:numPr>
      </w:pPr>
      <w:r>
        <w:t xml:space="preserve">registro sanitario,</w:t>
      </w:r>
    </w:p>
    <w:p>
      <w:pPr>
        <w:numPr>
          <w:ilvl w:val="0"/>
          <w:numId w:val="1018"/>
        </w:numPr>
      </w:pPr>
      <w:r>
        <w:t xml:space="preserve">fechas de vencimiento,</w:t>
      </w:r>
    </w:p>
    <w:p>
      <w:pPr>
        <w:numPr>
          <w:ilvl w:val="0"/>
          <w:numId w:val="1018"/>
        </w:numPr>
      </w:pPr>
      <w:r>
        <w:t xml:space="preserve">condiciones de trasporte,</w:t>
      </w:r>
    </w:p>
    <w:p>
      <w:pPr>
        <w:numPr>
          <w:ilvl w:val="0"/>
          <w:numId w:val="1018"/>
        </w:numPr>
      </w:pPr>
      <w:r>
        <w:t xml:space="preserve">manipulación, embalaje,</w:t>
      </w:r>
    </w:p>
    <w:p>
      <w:pPr>
        <w:numPr>
          <w:ilvl w:val="0"/>
          <w:numId w:val="1018"/>
        </w:numPr>
      </w:pPr>
      <w:r>
        <w:t xml:space="preserve">material de empaque y envase,</w:t>
      </w:r>
    </w:p>
    <w:p>
      <w:pPr>
        <w:numPr>
          <w:ilvl w:val="0"/>
          <w:numId w:val="1018"/>
        </w:numPr>
      </w:pPr>
      <w:r>
        <w:t xml:space="preserve">condiciones administrativas y técnicas establecidas en la negociación y la que permita identificar en todo momento la muestra tomada.</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6.8</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222500"/>
            <wp:effectExtent b="0" l="0" r="0" t="0"/>
            <wp:docPr descr="Figura 6.8: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2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29" w:name="fig35"/>
      <w:r>
        <w:t xml:space="preserve">Figure </w:t>
      </w:r>
      <w:fldSimple w:instr="SEQ Figure \* ARABIC ">
        <w:r>
          <w:t>35</w:t>
        </w:r>
      </w:fldSimple>
      <w:r>
        <w:t xml:space="preserve">:</w:t>
      </w:r>
      <w:r>
        <w:t xml:space="preserve"> </w:t>
      </w:r>
      <w:bookmarkEnd w:id="129"/>
      <w:r>
        <w:t xml:space="preserve">Figura 6.8: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 6.13,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p>
      <w:pPr>
        <w:pStyle w:val="BodyText"/>
      </w:pPr>
      <w:r>
        <w:t xml:space="preserve">Según la Resolución 1403 de 2007,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14</w:t>
        </w:r>
      </w:hyperlink>
    </w:p>
    <w:p>
      <w:pPr>
        <w:pStyle w:val="FirstParagraph"/>
      </w:pPr>
      <w:r>
        <w:t xml:space="preserve">Con esto cabe aclarar que el control de existencias depende del criterio de cada organización, según como estas manejen sus productos, por ende, se preguntó el uso de niveles de seguridad del inventario entendiendo el concepto como aquel nivel de existencias de productos que indica que ya es momento de pedir más productos y lo que se tiene es suficiente para cubrir la demanda sin caer en desabastecimientos, mientras se reestablece los niveles óptimos de inventario.</w:t>
      </w:r>
    </w:p>
    <w:p>
      <w:pPr>
        <w:pStyle w:val="CaptionedFigure"/>
      </w:pPr>
      <w:r>
        <w:drawing>
          <wp:inline>
            <wp:extent cx="5334000" cy="3556000"/>
            <wp:effectExtent b="0" l="0" r="0" t="0"/>
            <wp:docPr descr="Figura 6.9: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1" w:name="fig36"/>
      <w:r>
        <w:t xml:space="preserve">Figure </w:t>
      </w:r>
      <w:fldSimple w:instr="SEQ Figure \* ARABIC ">
        <w:r>
          <w:t>36</w:t>
        </w:r>
      </w:fldSimple>
      <w:r>
        <w:t xml:space="preserve">:</w:t>
      </w:r>
      <w:r>
        <w:t xml:space="preserve"> </w:t>
      </w:r>
      <w:bookmarkEnd w:id="131"/>
      <w:r>
        <w:t xml:space="preserve">Figura 6.9: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2"/>
    <w:bookmarkStart w:id="137" w:name="controles-en-venta-directa-a-paciente"/>
    <w:p>
      <w:pPr>
        <w:pStyle w:val="Heading3"/>
      </w:pPr>
      <w:r>
        <w:rPr>
          <w:rStyle w:val="SectionNumber"/>
        </w:rPr>
        <w:t xml:space="preserve">6.2.2</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37"/>
      <w:r>
        <w:t xml:space="preserve">Figure </w:t>
      </w:r>
      <w:fldSimple w:instr="SEQ Figure \* ARABIC ">
        <w:r>
          <w:t>37</w:t>
        </w:r>
      </w:fldSimple>
      <w:r>
        <w:t xml:space="preserve">:</w:t>
      </w:r>
      <w:r>
        <w:t xml:space="preserve"> </w:t>
      </w:r>
      <w:bookmarkEnd w:id="134"/>
      <w:r>
        <w:t xml:space="preserve">Figura 6.10: Controles en las ventas directas a pacientes</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38"/>
      <w:r>
        <w:t xml:space="preserve">Figure </w:t>
      </w:r>
      <w:fldSimple w:instr="SEQ Figure \* ARABIC ">
        <w:r>
          <w:t>38</w:t>
        </w:r>
      </w:fldSimple>
      <w:r>
        <w:t xml:space="preserve">:</w:t>
      </w:r>
      <w:r>
        <w:t xml:space="preserve"> </w:t>
      </w:r>
      <w:bookmarkEnd w:id="136"/>
      <w:r>
        <w:t xml:space="preserve">Figura 6.11: Existencia de otras instituciones que realizan ventas a instituciones a MME</w:t>
      </w:r>
    </w:p>
    <w:bookmarkEnd w:id="137"/>
    <w:bookmarkEnd w:id="138"/>
    <w:bookmarkStart w:id="160" w:name="almacenamiento"/>
    <w:p>
      <w:pPr>
        <w:pStyle w:val="Heading2"/>
      </w:pPr>
      <w:r>
        <w:rPr>
          <w:rStyle w:val="SectionNumber"/>
        </w:rPr>
        <w:t xml:space="preserve">6.3</w:t>
      </w:r>
      <w:r>
        <w:tab/>
      </w:r>
      <w:r>
        <w:t xml:space="preserve">Almacenamiento</w:t>
      </w:r>
    </w:p>
    <w:bookmarkStart w:id="141"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(a) el acceso de seguridad restringido a cierto personal (con respuesta afirmativa por parte de 18 de 26 FRE), seguido de (b) gabinetes con llaves simple (en 14 de 26 FRE), (c) almacenamiento en oficina privada (14 de 26 FRE responden que lo aplican), (d) inventarios físicos diarios, y (e)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0" w:name="fig39"/>
      <w:r>
        <w:t xml:space="preserve">Figure </w:t>
      </w:r>
      <w:fldSimple w:instr="SEQ Figure \* ARABIC ">
        <w:r>
          <w:t>39</w:t>
        </w:r>
      </w:fldSimple>
      <w:r>
        <w:t xml:space="preserve">:</w:t>
      </w:r>
      <w:r>
        <w:t xml:space="preserve"> </w:t>
      </w:r>
      <w:bookmarkEnd w:id="140"/>
      <w:r>
        <w:t xml:space="preserve">Figura 6.12: Medidas de seguridad en el almacenamiento de MME</w:t>
      </w:r>
    </w:p>
    <w:p>
      <w:pPr>
        <w:pStyle w:val="BodyText"/>
      </w:pPr>
      <w:r>
        <w:t xml:space="preserve">El departamento que reporta la mayor cantidad de medidas de seguridad es César con 7 medidas como: (a) acceso de seguridad restringido a cierto personal, (b) procedimientos para el manejo de personal huésped, (c) visitantes, (d) mantenimiento o no empleados del FRE, (e) almacenamiento en oficina privada, (f) inventario físico diario, y (g)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1"/>
    <w:bookmarkStart w:id="145"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40"/>
      <w:r>
        <w:t xml:space="preserve">Figure </w:t>
      </w:r>
      <w:fldSimple w:instr="SEQ Figure \* ARABIC ">
        <w:r>
          <w:t>40</w:t>
        </w:r>
      </w:fldSimple>
      <w:r>
        <w:t xml:space="preserve">:</w:t>
      </w:r>
      <w:r>
        <w:t xml:space="preserve"> </w:t>
      </w:r>
      <w:bookmarkEnd w:id="143"/>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4"/>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5"/>
    <w:bookmarkStart w:id="151"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8" w:name="fig41"/>
      <w:r>
        <w:t xml:space="preserve">Figure </w:t>
      </w:r>
      <w:fldSimple w:instr="SEQ Figure \* ARABIC ">
        <w:r>
          <w:t>41</w:t>
        </w:r>
      </w:fldSimple>
      <w:r>
        <w:t xml:space="preserve">:</w:t>
      </w:r>
      <w:r>
        <w:t xml:space="preserve"> </w:t>
      </w:r>
      <w:bookmarkEnd w:id="148"/>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17</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0" w:name="fig42"/>
      <w:r>
        <w:t xml:space="preserve">Figure </w:t>
      </w:r>
      <w:fldSimple w:instr="SEQ Figure \* ARABIC ">
        <w:r>
          <w:t>42</w:t>
        </w:r>
      </w:fldSimple>
      <w:r>
        <w:t xml:space="preserve">:</w:t>
      </w:r>
      <w:r>
        <w:t xml:space="preserve"> </w:t>
      </w:r>
      <w:bookmarkEnd w:id="150"/>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1"/>
    <w:bookmarkStart w:id="156"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9"/>
        </w:numPr>
        <w:pStyle w:val="Compact"/>
      </w:pPr>
      <w:r>
        <w:t xml:space="preserve">Rojo: medicamento que se encuentra próximo a vencer.</w:t>
      </w:r>
    </w:p>
    <w:p>
      <w:pPr>
        <w:numPr>
          <w:ilvl w:val="0"/>
          <w:numId w:val="1019"/>
        </w:numPr>
        <w:pStyle w:val="Compact"/>
      </w:pPr>
      <w:r>
        <w:t xml:space="preserve">Amarillo: medicamento que se encuentra en riesgo moderado de vencimiento.</w:t>
      </w:r>
    </w:p>
    <w:p>
      <w:pPr>
        <w:numPr>
          <w:ilvl w:val="0"/>
          <w:numId w:val="1019"/>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43"/>
      <w:r>
        <w:t xml:space="preserve">Figure </w:t>
      </w:r>
      <w:fldSimple w:instr="SEQ Figure \* ARABIC ">
        <w:r>
          <w:t>43</w:t>
        </w:r>
      </w:fldSimple>
      <w:r>
        <w:t xml:space="preserve">:</w:t>
      </w:r>
      <w:r>
        <w:t xml:space="preserve"> </w:t>
      </w:r>
      <w:bookmarkEnd w:id="153"/>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0"/>
        </w:numPr>
      </w:pPr>
      <w:r>
        <w:t xml:space="preserve">El producto cuenta con una vida útil de 18 meses.</w:t>
      </w:r>
    </w:p>
    <w:p>
      <w:pPr>
        <w:numPr>
          <w:ilvl w:val="0"/>
          <w:numId w:val="1020"/>
        </w:numPr>
      </w:pPr>
      <w:r>
        <w:t xml:space="preserve">Este medicamento es importado y en ocasiones la casa matriz entrega el producto con una vida útil efectiva menor a los 18 meses mencionados.</w:t>
      </w:r>
    </w:p>
    <w:p>
      <w:pPr>
        <w:numPr>
          <w:ilvl w:val="0"/>
          <w:numId w:val="1020"/>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44"/>
      <w:r>
        <w:t xml:space="preserve">Figure </w:t>
      </w:r>
      <w:fldSimple w:instr="SEQ Figure \* ARABIC ">
        <w:r>
          <w:t>44</w:t>
        </w:r>
      </w:fldSimple>
      <w:r>
        <w:t xml:space="preserve">:</w:t>
      </w:r>
      <w:r>
        <w:t xml:space="preserve"> </w:t>
      </w:r>
      <w:bookmarkEnd w:id="155"/>
      <w:r>
        <w:t xml:space="preserve">Figura 6.19: Medicamentos implicados en casos de vencimiento de MME</w:t>
      </w:r>
    </w:p>
    <w:bookmarkEnd w:id="156"/>
    <w:bookmarkStart w:id="159"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8" w:name="fig45"/>
      <w:r>
        <w:t xml:space="preserve">Figure </w:t>
      </w:r>
      <w:fldSimple w:instr="SEQ Figure \* ARABIC ">
        <w:r>
          <w:t>45</w:t>
        </w:r>
      </w:fldSimple>
      <w:r>
        <w:t xml:space="preserve">:</w:t>
      </w:r>
      <w:r>
        <w:t xml:space="preserve"> </w:t>
      </w:r>
      <w:bookmarkEnd w:id="158"/>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9"/>
    <w:bookmarkEnd w:id="160"/>
    <w:bookmarkStart w:id="16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2" w:name="fig46"/>
      <w:r>
        <w:t xml:space="preserve">Figure </w:t>
      </w:r>
      <w:fldSimple w:instr="SEQ Figure \* ARABIC ">
        <w:r>
          <w:t>46</w:t>
        </w:r>
      </w:fldSimple>
      <w:r>
        <w:t xml:space="preserve">:</w:t>
      </w:r>
      <w:r>
        <w:t xml:space="preserve"> </w:t>
      </w:r>
      <w:bookmarkEnd w:id="162"/>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4" w:name="fig47"/>
      <w:r>
        <w:t xml:space="preserve">Figure </w:t>
      </w:r>
      <w:fldSimple w:instr="SEQ Figure \* ARABIC ">
        <w:r>
          <w:t>47</w:t>
        </w:r>
      </w:fldSimple>
      <w:r>
        <w:t xml:space="preserve">:</w:t>
      </w:r>
      <w:r>
        <w:t xml:space="preserve"> </w:t>
      </w:r>
      <w:bookmarkEnd w:id="164"/>
      <w:r>
        <w:t xml:space="preserve">Figura 6.22: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5"/>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6" w:name="fig48"/>
      <w:r>
        <w:t xml:space="preserve">Figure </w:t>
      </w:r>
      <w:fldSimple w:instr="SEQ Figure \* ARABIC ">
        <w:r>
          <w:t>48</w:t>
        </w:r>
      </w:fldSimple>
      <w:r>
        <w:t xml:space="preserve">:</w:t>
      </w:r>
      <w:r>
        <w:t xml:space="preserve"> </w:t>
      </w:r>
      <w:bookmarkEnd w:id="166"/>
      <w:r>
        <w:t xml:space="preserve">Figura 6.23: Relación de márgen de ganancia y otras variables</w:t>
      </w:r>
    </w:p>
    <w:bookmarkEnd w:id="167"/>
    <w:bookmarkEnd w:id="168"/>
    <w:bookmarkStart w:id="190"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1</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0" w:name="fig49"/>
      <w:r>
        <w:t xml:space="preserve">Figure </w:t>
      </w:r>
      <w:fldSimple w:instr="SEQ Figure \* ARABIC ">
        <w:r>
          <w:t>49</w:t>
        </w:r>
      </w:fldSimple>
      <w:r>
        <w:t xml:space="preserve">:</w:t>
      </w:r>
      <w:r>
        <w:t xml:space="preserve"> </w:t>
      </w:r>
      <w:bookmarkEnd w:id="170"/>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75"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809999"/>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2" w:name="fig50"/>
      <w:r>
        <w:t xml:space="preserve">Figure </w:t>
      </w:r>
      <w:fldSimple w:instr="SEQ Figure \* ARABIC ">
        <w:r>
          <w:t>50</w:t>
        </w:r>
      </w:fldSimple>
      <w:r>
        <w:t xml:space="preserve">:</w:t>
      </w:r>
      <w:r>
        <w:t xml:space="preserve"> </w:t>
      </w:r>
      <w:bookmarkEnd w:id="172"/>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4" w:name="fig51"/>
      <w:r>
        <w:t xml:space="preserve">Figure </w:t>
      </w:r>
      <w:fldSimple w:instr="SEQ Figure \* ARABIC ">
        <w:r>
          <w:t>51</w:t>
        </w:r>
      </w:fldSimple>
      <w:r>
        <w:t xml:space="preserve">:</w:t>
      </w:r>
      <w:r>
        <w:t xml:space="preserve"> </w:t>
      </w:r>
      <w:bookmarkEnd w:id="174"/>
      <w:r>
        <w:t xml:space="preserve">Figura 7.3: Velocidad de conexión de internet</w:t>
      </w:r>
    </w:p>
    <w:bookmarkEnd w:id="175"/>
    <w:bookmarkStart w:id="182"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7" w:name="fig52"/>
      <w:r>
        <w:t xml:space="preserve">Figure </w:t>
      </w:r>
      <w:fldSimple w:instr="SEQ Figure \* ARABIC ">
        <w:r>
          <w:t>52</w:t>
        </w:r>
      </w:fldSimple>
      <w:r>
        <w:t xml:space="preserve">:</w:t>
      </w:r>
      <w:r>
        <w:t xml:space="preserve"> </w:t>
      </w:r>
      <w:bookmarkEnd w:id="177"/>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9" w:name="fig53"/>
      <w:r>
        <w:t xml:space="preserve">Figure </w:t>
      </w:r>
      <w:fldSimple w:instr="SEQ Figure \* ARABIC ">
        <w:r>
          <w:t>53</w:t>
        </w:r>
      </w:fldSimple>
      <w:r>
        <w:t xml:space="preserve">:</w:t>
      </w:r>
      <w:r>
        <w:t xml:space="preserve"> </w:t>
      </w:r>
      <w:bookmarkEnd w:id="179"/>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4"/>
      <w:r>
        <w:t xml:space="preserve">Figure </w:t>
      </w:r>
      <w:fldSimple w:instr="SEQ Figure \* ARABIC ">
        <w:r>
          <w:t>54</w:t>
        </w:r>
      </w:fldSimple>
      <w:r>
        <w:t xml:space="preserve">:</w:t>
      </w:r>
      <w:r>
        <w:t xml:space="preserve"> </w:t>
      </w:r>
      <w:bookmarkEnd w:id="181"/>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presentan tres observaciones obtenidas durante las visitas técnicas en los FRE</w:t>
      </w:r>
      <w:r>
        <w:t xml:space="preserve"> </w:t>
      </w:r>
      <w:r>
        <w:rPr>
          <w:iCs/>
          <w:i/>
        </w:rPr>
        <w:t xml:space="preserve">WWW y WWW.</w:t>
      </w:r>
    </w:p>
    <w:bookmarkEnd w:id="182"/>
    <w:bookmarkStart w:id="189" w:name="control-de-la-información"/>
    <w:p>
      <w:pPr>
        <w:pStyle w:val="Heading2"/>
      </w:pPr>
      <w:r>
        <w:rPr>
          <w:rStyle w:val="SectionNumber"/>
        </w:rPr>
        <w:t xml:space="preserve">7.3</w:t>
      </w:r>
      <w:r>
        <w:tab/>
      </w:r>
      <w:r>
        <w:t xml:space="preserve">Control de la información</w:t>
      </w:r>
    </w:p>
    <w:bookmarkStart w:id="185"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5"/>
      <w:r>
        <w:t xml:space="preserve">Figure </w:t>
      </w:r>
      <w:fldSimple w:instr="SEQ Figure \* ARABIC ">
        <w:r>
          <w:t>55</w:t>
        </w:r>
      </w:fldSimple>
      <w:r>
        <w:t xml:space="preserve">:</w:t>
      </w:r>
      <w:r>
        <w:t xml:space="preserve"> </w:t>
      </w:r>
      <w:bookmarkEnd w:id="184"/>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85"/>
    <w:bookmarkStart w:id="188"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87" w:name="fig56"/>
      <w:r>
        <w:t xml:space="preserve">Figure </w:t>
      </w:r>
      <w:fldSimple w:instr="SEQ Figure \* ARABIC ">
        <w:r>
          <w:t>56</w:t>
        </w:r>
      </w:fldSimple>
      <w:r>
        <w:t xml:space="preserve">:</w:t>
      </w:r>
      <w:r>
        <w:t xml:space="preserve"> </w:t>
      </w:r>
      <w:bookmarkEnd w:id="187"/>
      <w:r>
        <w:t xml:space="preserve">Figura 7.8: Proporción de FRE que cuenta con: (A) bases de datos con información de inscritos, o (B) bases de datos con información de pacientes a los que se les dispensa MME.</w:t>
      </w:r>
    </w:p>
    <w:bookmarkEnd w:id="188"/>
    <w:bookmarkEnd w:id="189"/>
    <w:bookmarkEnd w:id="190"/>
    <w:bookmarkStart w:id="217"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2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1"/>
        </w:numPr>
      </w:pPr>
      <w:r>
        <w:t xml:space="preserve">Novedades sobre la inscripción de los Establecimientos Farmacéuticos e IPS autorizados, de acuerdo al formato (Anexo número 3) de la presente resolución.</w:t>
      </w:r>
    </w:p>
    <w:p>
      <w:pPr>
        <w:numPr>
          <w:ilvl w:val="0"/>
          <w:numId w:val="102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1"/>
        </w:numPr>
      </w:pPr>
      <w:r>
        <w:t xml:space="preserve">Informe mensual consolidado sobre las transformaciones realizadas en el mes inmediatamente anterior, dentro de los diez (10) primeros días calendarios de cada mes. (Anexo número 4)</w:t>
      </w:r>
    </w:p>
    <w:p>
      <w:pPr>
        <w:numPr>
          <w:ilvl w:val="0"/>
          <w:numId w:val="102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1"/>
        </w:numPr>
      </w:pPr>
      <w:r>
        <w:t xml:space="preserve">Informe trimestral de sanciones impuestas por infracciones administrativas en la fabricación, distribución y dispensación de medicamentos de Control Especial.</w:t>
      </w:r>
    </w:p>
    <w:p>
      <w:pPr>
        <w:numPr>
          <w:ilvl w:val="0"/>
          <w:numId w:val="1021"/>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1</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4</w:t>
        </w:r>
      </w:hyperlink>
      <w:r>
        <w:t xml:space="preserve">.</w:t>
      </w:r>
    </w:p>
    <w:bookmarkStart w:id="210"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1</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2" w:name="fig57"/>
      <w:r>
        <w:t xml:space="preserve">Figure </w:t>
      </w:r>
      <w:fldSimple w:instr="SEQ Figure \* ARABIC ">
        <w:r>
          <w:t>57</w:t>
        </w:r>
      </w:fldSimple>
      <w:r>
        <w:t xml:space="preserve">:</w:t>
      </w:r>
      <w:r>
        <w:t xml:space="preserve"> </w:t>
      </w:r>
      <w:bookmarkEnd w:id="192"/>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1</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199"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1</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1</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 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3"/>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4" w:name="fig58"/>
      <w:r>
        <w:t xml:space="preserve">Figure </w:t>
      </w:r>
      <w:fldSimple w:instr="SEQ Figure \* ARABIC ">
        <w:r>
          <w:t>58</w:t>
        </w:r>
      </w:fldSimple>
      <w:r>
        <w:t xml:space="preserve">:</w:t>
      </w:r>
      <w:r>
        <w:t xml:space="preserve"> </w:t>
      </w:r>
      <w:bookmarkEnd w:id="194"/>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6" w:name="fig59"/>
      <w:r>
        <w:t xml:space="preserve">Figure </w:t>
      </w:r>
      <w:fldSimple w:instr="SEQ Figure \* ARABIC ">
        <w:r>
          <w:t>59</w:t>
        </w:r>
      </w:fldSimple>
      <w:r>
        <w:t xml:space="preserve">:</w:t>
      </w:r>
      <w:r>
        <w:t xml:space="preserve"> </w:t>
      </w:r>
      <w:bookmarkEnd w:id="196"/>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9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8" w:name="fig60"/>
      <w:r>
        <w:t xml:space="preserve">Figure </w:t>
      </w:r>
      <w:fldSimple w:instr="SEQ Figure \* ARABIC ">
        <w:r>
          <w:t>60</w:t>
        </w:r>
      </w:fldSimple>
      <w:r>
        <w:t xml:space="preserve">:</w:t>
      </w:r>
      <w:r>
        <w:t xml:space="preserve"> </w:t>
      </w:r>
      <w:bookmarkEnd w:id="198"/>
      <w:r>
        <w:t xml:space="preserve">Figura 8.4: Tiempo en la consolidación del Anexo 1 de la Resolución 1479 de 2006 vs N° de instituciones que realizan compra en un año</w:t>
      </w:r>
    </w:p>
    <w:bookmarkEnd w:id="199"/>
    <w:bookmarkStart w:id="206"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0"/>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1" w:name="fig61"/>
      <w:r>
        <w:t xml:space="preserve">Figure </w:t>
      </w:r>
      <w:fldSimple w:instr="SEQ Figure \* ARABIC ">
        <w:r>
          <w:t>61</w:t>
        </w:r>
      </w:fldSimple>
      <w:r>
        <w:t xml:space="preserve">:</w:t>
      </w:r>
      <w:r>
        <w:t xml:space="preserve"> </w:t>
      </w:r>
      <w:bookmarkEnd w:id="201"/>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1</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1</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4</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2"/>
      <w:r>
        <w:t xml:space="preserve">Figure </w:t>
      </w:r>
      <w:fldSimple w:instr="SEQ Figure \* ARABIC ">
        <w:r>
          <w:t>62</w:t>
        </w:r>
      </w:fldSimple>
      <w:r>
        <w:t xml:space="preserve">:</w:t>
      </w:r>
      <w:r>
        <w:t xml:space="preserve"> </w:t>
      </w:r>
      <w:bookmarkEnd w:id="203"/>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1</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5" w:name="fig63"/>
      <w:r>
        <w:t xml:space="preserve">Figure </w:t>
      </w:r>
      <w:fldSimple w:instr="SEQ Figure \* ARABIC ">
        <w:r>
          <w:t>63</w:t>
        </w:r>
      </w:fldSimple>
      <w:r>
        <w:t xml:space="preserve">:</w:t>
      </w:r>
      <w:r>
        <w:t xml:space="preserve"> </w:t>
      </w:r>
      <w:bookmarkEnd w:id="205"/>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06"/>
    <w:bookmarkStart w:id="209"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08" w:name="fig64"/>
      <w:r>
        <w:t xml:space="preserve">Figure </w:t>
      </w:r>
      <w:fldSimple w:instr="SEQ Figure \* ARABIC ">
        <w:r>
          <w:t>64</w:t>
        </w:r>
      </w:fldSimple>
      <w:r>
        <w:t xml:space="preserve">:</w:t>
      </w:r>
      <w:r>
        <w:t xml:space="preserve"> </w:t>
      </w:r>
      <w:bookmarkEnd w:id="208"/>
      <w:r>
        <w:t xml:space="preserve">Figura 8.8: Tiempo de archivo de Anexo 13 de la Resolución 1478 de 2006</w:t>
      </w:r>
    </w:p>
    <w:bookmarkEnd w:id="209"/>
    <w:bookmarkEnd w:id="210"/>
    <w:bookmarkStart w:id="213"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2" w:name="fig65"/>
      <w:r>
        <w:t xml:space="preserve">Figure </w:t>
      </w:r>
      <w:fldSimple w:instr="SEQ Figure \* ARABIC ">
        <w:r>
          <w:t>65</w:t>
        </w:r>
      </w:fldSimple>
      <w:r>
        <w:t xml:space="preserve">:</w:t>
      </w:r>
      <w:r>
        <w:t xml:space="preserve"> </w:t>
      </w:r>
      <w:bookmarkEnd w:id="212"/>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3"/>
    <w:bookmarkStart w:id="216"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4</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5" w:name="fig66"/>
      <w:r>
        <w:t xml:space="preserve">Figure </w:t>
      </w:r>
      <w:fldSimple w:instr="SEQ Figure \* ARABIC ">
        <w:r>
          <w:t>66</w:t>
        </w:r>
      </w:fldSimple>
      <w:r>
        <w:t xml:space="preserve">:</w:t>
      </w:r>
      <w:r>
        <w:t xml:space="preserve"> </w:t>
      </w:r>
      <w:bookmarkEnd w:id="215"/>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16"/>
    <w:bookmarkEnd w:id="217"/>
    <w:bookmarkStart w:id="222" w:name="lineamientos-y-recomendaciones"/>
    <w:p>
      <w:pPr>
        <w:pStyle w:val="Heading1"/>
      </w:pPr>
      <w:r>
        <w:rPr>
          <w:rStyle w:val="SectionNumber"/>
        </w:rPr>
        <w:t xml:space="preserve">9</w:t>
      </w:r>
      <w:r>
        <w:tab/>
      </w:r>
      <w:r>
        <w:t xml:space="preserve">Lineamientos y Recomendaciones</w:t>
      </w:r>
    </w:p>
    <w:bookmarkStart w:id="218" w:name="estructura-de-los-fre"/>
    <w:p>
      <w:pPr>
        <w:pStyle w:val="Heading3"/>
      </w:pPr>
      <w:r>
        <w:rPr>
          <w:rStyle w:val="SectionNumber"/>
        </w:rPr>
        <w:t xml:space="preserve">9.0.1</w:t>
      </w:r>
      <w:r>
        <w:tab/>
      </w:r>
      <w:r>
        <w:t xml:space="preserve">Estructura de los FRE</w:t>
      </w:r>
    </w:p>
    <w:bookmarkEnd w:id="218"/>
    <w:bookmarkStart w:id="219"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2"/>
        </w:numPr>
      </w:pPr>
      <w:r>
        <w:t xml:space="preserve">Tener una espacio exclusivo y seguro para el almacenamiento de los recetarios, en el cual sólo se tenga acceso cierto personal del FRE.</w:t>
      </w:r>
    </w:p>
    <w:p>
      <w:pPr>
        <w:numPr>
          <w:ilvl w:val="0"/>
          <w:numId w:val="1022"/>
        </w:numPr>
      </w:pPr>
      <w:r>
        <w:t xml:space="preserve">Realizar un seguimiento de los recetarios por medio de la codificación al momento de venderse, puesto que al no llevar registro de los mismos hay una posibilidad de falsificación y/o desvío.</w:t>
      </w:r>
    </w:p>
    <w:p>
      <w:pPr>
        <w:numPr>
          <w:ilvl w:val="0"/>
          <w:numId w:val="1022"/>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2"/>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2"/>
        </w:numPr>
      </w:pPr>
      <w:r>
        <w:t xml:space="preserve">Tener niveles de seguridad para realizar la compra de nuevos recetarios, evitando desabastecimientos y llegando a planes de contingencia que pueden llegar a ser reprocesos en los entes territoriales.</w:t>
      </w:r>
    </w:p>
    <w:bookmarkEnd w:id="219"/>
    <w:bookmarkStart w:id="220" w:name="medicamentos"/>
    <w:p>
      <w:pPr>
        <w:pStyle w:val="Heading3"/>
      </w:pPr>
      <w:r>
        <w:rPr>
          <w:rStyle w:val="SectionNumber"/>
        </w:rPr>
        <w:t xml:space="preserve">9.0.3</w:t>
      </w:r>
      <w:r>
        <w:tab/>
      </w:r>
      <w:r>
        <w:t xml:space="preserve">Medicamentos</w:t>
      </w:r>
    </w:p>
    <w:p>
      <w:pPr>
        <w:numPr>
          <w:ilvl w:val="0"/>
          <w:numId w:val="1023"/>
        </w:numPr>
      </w:pPr>
      <w:r>
        <w:t xml:space="preserve">Se recomienda realizar ajustes en los esquemas de precios por parte del FNE para disminuir la utilización del canal de compra directa.</w:t>
      </w:r>
    </w:p>
    <w:p>
      <w:pPr>
        <w:numPr>
          <w:ilvl w:val="0"/>
          <w:numId w:val="1023"/>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220"/>
    <w:bookmarkStart w:id="221" w:name="informes"/>
    <w:p>
      <w:pPr>
        <w:pStyle w:val="Heading3"/>
      </w:pPr>
      <w:r>
        <w:rPr>
          <w:rStyle w:val="SectionNumber"/>
        </w:rPr>
        <w:t xml:space="preserve">9.0.4</w:t>
      </w:r>
      <w:r>
        <w:tab/>
      </w:r>
      <w:r>
        <w:t xml:space="preserve">Informes</w:t>
      </w:r>
    </w:p>
    <w:bookmarkEnd w:id="221"/>
    <w:bookmarkEnd w:id="222"/>
    <w:bookmarkStart w:id="223" w:name="glosario"/>
    <w:p>
      <w:pPr>
        <w:pStyle w:val="Heading1"/>
      </w:pPr>
      <w:r>
        <w:t xml:space="preserve">Glosario</w:t>
      </w:r>
    </w:p>
    <w:p>
      <w:pPr>
        <w:numPr>
          <w:ilvl w:val="0"/>
          <w:numId w:val="1024"/>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4"/>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4"/>
        </w:numPr>
      </w:pPr>
      <w:r>
        <w:rPr>
          <w:bCs/>
          <w:b/>
        </w:rPr>
        <w:t xml:space="preserve">Desabastecimiento</w:t>
      </w:r>
      <w:r>
        <w:t xml:space="preserve">: Se entiende como la nula disponibilidad de un medicamento en todo el territorio nacional.</w:t>
      </w:r>
    </w:p>
    <w:p>
      <w:pPr>
        <w:numPr>
          <w:ilvl w:val="0"/>
          <w:numId w:val="1024"/>
        </w:numPr>
      </w:pPr>
      <w:r>
        <w:rPr>
          <w:bCs/>
          <w:b/>
        </w:rPr>
        <w:t xml:space="preserve">Disponibilidad</w:t>
      </w:r>
      <w:r>
        <w:t xml:space="preserve">: Condición en la cual se cuentan con existencias del medicamento en el territorio nacional.</w:t>
      </w:r>
    </w:p>
    <w:p>
      <w:pPr>
        <w:numPr>
          <w:ilvl w:val="0"/>
          <w:numId w:val="1024"/>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4"/>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4"/>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4"/>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4"/>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4"/>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4"/>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4"/>
        </w:numPr>
      </w:pPr>
      <w:r>
        <w:rPr>
          <w:bCs/>
          <w:b/>
        </w:rPr>
        <w:t xml:space="preserve">Monopolio del Estado</w:t>
      </w:r>
      <w:r>
        <w:t xml:space="preserve">: Derecho poseído de exclusividad por el Estado.</w:t>
      </w:r>
    </w:p>
    <w:p>
      <w:pPr>
        <w:numPr>
          <w:ilvl w:val="0"/>
          <w:numId w:val="1024"/>
        </w:numPr>
      </w:pPr>
      <w:r>
        <w:rPr>
          <w:bCs/>
          <w:b/>
        </w:rPr>
        <w:t xml:space="preserve">Principio Activo</w:t>
      </w:r>
      <w:r>
        <w:t xml:space="preserve">: Compuesto o mezcla de compuestos que tienen acción farmacológica.</w:t>
      </w:r>
    </w:p>
    <w:p>
      <w:pPr>
        <w:numPr>
          <w:ilvl w:val="0"/>
          <w:numId w:val="1024"/>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4"/>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4"/>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4"/>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4"/>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4"/>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23"/>
    <w:bookmarkStart w:id="225" w:name="créditos"/>
    <w:p>
      <w:pPr>
        <w:pStyle w:val="Heading1"/>
      </w:pPr>
      <w:r>
        <w:t xml:space="preserve">Créditos</w:t>
      </w:r>
    </w:p>
    <w:bookmarkStart w:id="224"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24"/>
    <w:bookmarkEnd w:id="225"/>
    <w:bookmarkStart w:id="245" w:name="referencias"/>
    <w:p>
      <w:pPr>
        <w:pStyle w:val="Heading1"/>
      </w:pPr>
      <w:r>
        <w:t xml:space="preserve">Referencias</w:t>
      </w:r>
    </w:p>
    <w:bookmarkStart w:id="244" w:name="refs"/>
    <w:bookmarkStart w:id="226"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26"/>
    <w:bookmarkStart w:id="227"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27"/>
    <w:bookmarkStart w:id="228"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28"/>
    <w:bookmarkStart w:id="229"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29"/>
    <w:bookmarkStart w:id="230"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30"/>
    <w:bookmarkStart w:id="231" w:name="ref-MSPS2200-2005"/>
    <w:p>
      <w:pPr>
        <w:pStyle w:val="Bibliography"/>
      </w:pPr>
      <w:r>
        <w:t xml:space="preserve">6.</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31"/>
    <w:bookmarkStart w:id="232" w:name="ref-MinisteriodeRelacionesExteriores2014"/>
    <w:p>
      <w:pPr>
        <w:pStyle w:val="Bibliography"/>
      </w:pPr>
      <w:r>
        <w:t xml:space="preserve">7.</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32"/>
    <w:bookmarkStart w:id="233" w:name="ref-ColombiaCompraEficiente2019"/>
    <w:p>
      <w:pPr>
        <w:pStyle w:val="Bibliography"/>
      </w:pPr>
      <w:r>
        <w:t xml:space="preserve">8.</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33"/>
    <w:bookmarkStart w:id="234" w:name="ref-FNE2015-9"/>
    <w:p>
      <w:pPr>
        <w:pStyle w:val="Bibliography"/>
      </w:pPr>
      <w:r>
        <w:t xml:space="preserve">9.</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34"/>
    <w:bookmarkStart w:id="235" w:name="X4242f5a7e44b24d61e2675796eed085a7e5e2cf"/>
    <w:p>
      <w:pPr>
        <w:pStyle w:val="Bibliography"/>
      </w:pPr>
      <w:r>
        <w:t xml:space="preserve">10.</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35"/>
    <w:bookmarkStart w:id="236" w:name="ref-CongresodelaRepublicadeColombia1993"/>
    <w:p>
      <w:pPr>
        <w:pStyle w:val="Bibliography"/>
      </w:pPr>
      <w:r>
        <w:t xml:space="preserve">11.</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36"/>
    <w:bookmarkStart w:id="237" w:name="ref-CongresodelaRepublicadeColombia2007"/>
    <w:p>
      <w:pPr>
        <w:pStyle w:val="Bibliography"/>
      </w:pPr>
      <w:r>
        <w:t xml:space="preserve">12.</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37"/>
    <w:bookmarkStart w:id="238" w:name="ref-FNE005-2019"/>
    <w:p>
      <w:pPr>
        <w:pStyle w:val="Bibliography"/>
      </w:pPr>
      <w:r>
        <w:t xml:space="preserve">13.</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38"/>
    <w:bookmarkStart w:id="239" w:name="X4e956815ca1199d73a39485c932e7d8485463a0"/>
    <w:p>
      <w:pPr>
        <w:pStyle w:val="Bibliography"/>
      </w:pPr>
      <w:r>
        <w:t xml:space="preserve">14.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39"/>
    <w:bookmarkStart w:id="240" w:name="X151870ab54b01afcd5b4b1f9212b983bdc4c06e"/>
    <w:p>
      <w:pPr>
        <w:pStyle w:val="Bibliography"/>
      </w:pPr>
      <w:r>
        <w:t xml:space="preserve">15.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40"/>
    <w:bookmarkStart w:id="241" w:name="ref-GutierrezPulido2008"/>
    <w:p>
      <w:pPr>
        <w:pStyle w:val="Bibliography"/>
      </w:pPr>
      <w:r>
        <w:t xml:space="preserve">16.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41"/>
    <w:bookmarkStart w:id="242" w:name="ref-Silver2017"/>
    <w:p>
      <w:pPr>
        <w:pStyle w:val="Bibliography"/>
      </w:pPr>
      <w:r>
        <w:t xml:space="preserve">17.</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42"/>
    <w:bookmarkStart w:id="243" w:name="ref-HernandezVera2017"/>
    <w:p>
      <w:pPr>
        <w:pStyle w:val="Bibliography"/>
      </w:pPr>
      <w:r>
        <w:t xml:space="preserve">18.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ng" /><Relationship Type="http://schemas.openxmlformats.org/officeDocument/2006/relationships/image" Id="rId85" Target="media/rId85.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image" Id="rId119" Target="media/rId119.png" /><Relationship Type="http://schemas.openxmlformats.org/officeDocument/2006/relationships/image" Id="rId101" Target="media/rId101.png" /><Relationship Type="http://schemas.openxmlformats.org/officeDocument/2006/relationships/image" Id="rId173" Target="media/rId173.png" /><Relationship Type="http://schemas.openxmlformats.org/officeDocument/2006/relationships/image" Id="rId133" Target="media/rId133.png" /><Relationship Type="http://schemas.openxmlformats.org/officeDocument/2006/relationships/image" Id="rId61" Target="media/rId61.png" /><Relationship Type="http://schemas.openxmlformats.org/officeDocument/2006/relationships/image" Id="rId176" Target="media/rId176.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5" Target="media/rId105.png" /><Relationship Type="http://schemas.openxmlformats.org/officeDocument/2006/relationships/image" Id="rId122" Target="media/rId122.png" /><Relationship Type="http://schemas.openxmlformats.org/officeDocument/2006/relationships/image" Id="rId149" Target="media/rId149.png" /><Relationship Type="http://schemas.openxmlformats.org/officeDocument/2006/relationships/image" Id="rId142" Target="media/rId142.png" /><Relationship Type="http://schemas.openxmlformats.org/officeDocument/2006/relationships/image" Id="rId124" Target="media/rId124.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110" Target="media/rId110.png" /><Relationship Type="http://schemas.openxmlformats.org/officeDocument/2006/relationships/image" Id="rId214" Target="media/rId214.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35" Target="media/rId135.png" /><Relationship Type="http://schemas.openxmlformats.org/officeDocument/2006/relationships/image" Id="rId92" Target="media/rId92.png" /><Relationship Type="http://schemas.openxmlformats.org/officeDocument/2006/relationships/image" Id="rId139" Target="media/rId139.png" /><Relationship Type="http://schemas.openxmlformats.org/officeDocument/2006/relationships/image" Id="rId99" Target="media/rId99.png" /><Relationship Type="http://schemas.openxmlformats.org/officeDocument/2006/relationships/image" Id="rId171" Target="media/rId171.png" /><Relationship Type="http://schemas.openxmlformats.org/officeDocument/2006/relationships/image" Id="rId144" Target="media/rId144.png" /><Relationship Type="http://schemas.openxmlformats.org/officeDocument/2006/relationships/image" Id="rId180" Target="media/rId180.png" /><Relationship Type="http://schemas.openxmlformats.org/officeDocument/2006/relationships/image" Id="rId64" Target="media/rId64.png" /><Relationship Type="http://schemas.openxmlformats.org/officeDocument/2006/relationships/image" Id="rId146" Target="media/rId146.png" /><Relationship Type="http://schemas.openxmlformats.org/officeDocument/2006/relationships/image" Id="rId169" Target="media/rId169.png" /><Relationship Type="http://schemas.openxmlformats.org/officeDocument/2006/relationships/image" Id="rId147" Target="media/rId147.png" /><Relationship Type="http://schemas.openxmlformats.org/officeDocument/2006/relationships/image" Id="rId202" Target="media/rId202.png" /><Relationship Type="http://schemas.openxmlformats.org/officeDocument/2006/relationships/image" Id="rId77" Target="media/rId77.png" /><Relationship Type="http://schemas.openxmlformats.org/officeDocument/2006/relationships/image" Id="rId178" Target="media/rId178.png" /><Relationship Type="http://schemas.openxmlformats.org/officeDocument/2006/relationships/image" Id="rId211" Target="media/rId21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197" Target="media/rId197.png" /><Relationship Type="http://schemas.openxmlformats.org/officeDocument/2006/relationships/image" Id="rId195" Target="media/rId195.png" /><Relationship Type="http://schemas.openxmlformats.org/officeDocument/2006/relationships/image" Id="rId204" Target="media/rId204.png" /><Relationship Type="http://schemas.openxmlformats.org/officeDocument/2006/relationships/image" Id="rId128" Target="media/rId128.png" /><Relationship Type="http://schemas.openxmlformats.org/officeDocument/2006/relationships/image" Id="rId116" Target="media/rId116.png" /><Relationship Type="http://schemas.openxmlformats.org/officeDocument/2006/relationships/image" Id="rId157" Target="media/rId157.png" /><Relationship Type="http://schemas.openxmlformats.org/officeDocument/2006/relationships/image" Id="rId130" Target="media/rId130.png" /><Relationship Type="http://schemas.openxmlformats.org/officeDocument/2006/relationships/image" Id="rId163" Target="media/rId163.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193" Target="media/rId193.png" /><Relationship Type="http://schemas.openxmlformats.org/officeDocument/2006/relationships/image" Id="rId200" Target="media/rId200.png" /><Relationship Type="http://schemas.openxmlformats.org/officeDocument/2006/relationships/image" Id="rId70" Target="media/rId70.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2021-10-08T15:06:40Z</dcterms:created>
  <dcterms:modified xsi:type="dcterms:W3CDTF">2021-10-08T15:06:40Z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