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5.jpg" ContentType="image/jpeg"/>
  <Override PartName="/word/media/rId100.jpg" ContentType="image/jpeg"/>
  <Override PartName="/word/media/rId104.jpg" ContentType="image/jpeg"/>
  <Override PartName="/word/media/rId29.jpg" ContentType="image/jpeg"/>
  <Override PartName="/word/media/rId33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Создадим каталог для выполнения лабораторной работы No 10, перейдйдем в него и создадим файл lab10-1.asm.</w:t>
      </w:r>
    </w:p>
    <w:p>
      <w:pPr>
        <w:pStyle w:val="BodyText"/>
      </w:pPr>
      <w:r>
        <w:t xml:space="preserve">В качестве примера рассмотрим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Внимательно изучим текст программы листинга 10.1 и введем его в созданный файл (рис. 1)</w:t>
      </w:r>
    </w:p>
    <w:p>
      <w:pPr>
        <w:pStyle w:val="CaptionedFigure"/>
      </w:pPr>
      <w:bookmarkStart w:id="24" w:name="fig:001"/>
      <w:r>
        <w:drawing>
          <wp:inline>
            <wp:extent cx="5334000" cy="5171514"/>
            <wp:effectExtent b="0" l="0" r="0" t="0"/>
            <wp:docPr descr="Рис. 1: Пример программы с использованием вызова подпрограм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 с использованием вызова подпрограммы</w:t>
      </w:r>
    </w:p>
    <w:p>
      <w:pPr>
        <w:pStyle w:val="BodyText"/>
      </w:pPr>
      <w:r>
        <w:t xml:space="preserve">Первые строки программы отвечают за вывод сообщения на экран (call sprint), чтение данных введенных с клавиатуры (call sread) и преобразования введенных данных из символьного вида в численный (call atoi). После следующей инструкции call _calcul, которая передает управление подпрограмме _calcul, будут выполнены инструкции подпрограммы, написанные до ret. Инструкция ret является последней в подпрограмме и ее исполнение приводит к возвращению в основную программу к инструкции, следующей за инструкцией call, которая вызвала данную подпрограмму. Последние строки программы реализую вывод сообщения (call sprint), результата вычисления (call iprintLF) и завершение программы (call quit).</w:t>
      </w:r>
    </w:p>
    <w:p>
      <w:pPr>
        <w:pStyle w:val="BodyText"/>
      </w:pPr>
      <w:r>
        <w:t xml:space="preserve">Создадим исполняемый файл и проверим его работу (рис. 2)</w:t>
      </w:r>
    </w:p>
    <w:p>
      <w:pPr>
        <w:pStyle w:val="CaptionedFigure"/>
      </w:pPr>
      <w:bookmarkStart w:id="28" w:name="fig:002"/>
      <w:r>
        <w:drawing>
          <wp:inline>
            <wp:extent cx="5334000" cy="557446"/>
            <wp:effectExtent b="0" l="0" r="0" t="0"/>
            <wp:docPr descr="Рис. 2: Результат работы программы с вызовом подпрогр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работы программы с вызовом подпрогрммы</w:t>
      </w:r>
    </w:p>
    <w:p>
      <w:pPr>
        <w:pStyle w:val="BodyText"/>
      </w:pPr>
      <w:r>
        <w:t xml:space="preserve">Изменим текст программы, добавив подпрограмму _subcalcul в подпрограмму _calcul, для вычисления выражения f(g(x)), где x вводится с клавиатуры, f(x) = 2x + 7, g(x) = 3x − 1. Т.е. x передается в подпрограмму _calcul, из нее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 (рис. 3), (рис. 4).</w:t>
      </w:r>
    </w:p>
    <w:p>
      <w:pPr>
        <w:pStyle w:val="CaptionedFigure"/>
      </w:pPr>
      <w:bookmarkStart w:id="32" w:name="fig:003"/>
      <w:r>
        <w:drawing>
          <wp:inline>
            <wp:extent cx="5334000" cy="2519149"/>
            <wp:effectExtent b="0" l="0" r="0" t="0"/>
            <wp:docPr descr="Рис. 3: Добавление подрограммы в подпрограмму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подрограммы в подпрограмму</w:t>
      </w:r>
    </w:p>
    <w:p>
      <w:pPr>
        <w:pStyle w:val="CaptionedFigure"/>
      </w:pPr>
      <w:bookmarkStart w:id="36" w:name="fig:004"/>
      <w:r>
        <w:drawing>
          <wp:inline>
            <wp:extent cx="5334000" cy="960884"/>
            <wp:effectExtent b="0" l="0" r="0" t="0"/>
            <wp:docPr descr="Рис. 4: Результат работы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работы измененной программы</w:t>
      </w:r>
    </w:p>
    <w:bookmarkEnd w:id="37"/>
    <w:bookmarkStart w:id="109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Создадим файл lab10-2.asm с текстом программы из Листинга 10.2 (рис. 5).</w:t>
      </w:r>
    </w:p>
    <w:p>
      <w:pPr>
        <w:pStyle w:val="CaptionedFigure"/>
      </w:pPr>
      <w:bookmarkStart w:id="41" w:name="fig:005"/>
      <w:r>
        <w:drawing>
          <wp:inline>
            <wp:extent cx="5334000" cy="3375596"/>
            <wp:effectExtent b="0" l="0" r="0" t="0"/>
            <wp:docPr descr="Рис. 5: Программа печати сообщения Hello world!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печати сообщения Hello world!</w:t>
      </w:r>
    </w:p>
    <w:p>
      <w:pPr>
        <w:pStyle w:val="BodyText"/>
      </w:pPr>
      <w:r>
        <w:t xml:space="preserve">Получим исполняемый файл. Для работы с GDB в исполняемый файл добавим отладочную информацию, для этого трансляцию программ проводим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, запустим исполняемый файл в отладчик GDB(рис. 6)</w:t>
      </w:r>
    </w:p>
    <w:p>
      <w:pPr>
        <w:pStyle w:val="CaptionedFigure"/>
      </w:pPr>
      <w:bookmarkStart w:id="45" w:name="fig:006"/>
      <w:r>
        <w:drawing>
          <wp:inline>
            <wp:extent cx="5334000" cy="798654"/>
            <wp:effectExtent b="0" l="0" r="0" t="0"/>
            <wp:docPr descr="Рис. 6: Трансляция программы для работы с GDB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Трансляция программы для работы с GDB</w:t>
      </w:r>
    </w:p>
    <w:p>
      <w:pPr>
        <w:pStyle w:val="BodyText"/>
      </w:pPr>
      <w:r>
        <w:t xml:space="preserve">Проверим работу программы, запустив ее в оболочке GDB с помощью команды run (сокращённо r) (рис. 7).</w:t>
      </w:r>
    </w:p>
    <w:p>
      <w:pPr>
        <w:pStyle w:val="CaptionedFigure"/>
      </w:pPr>
      <w:bookmarkStart w:id="49" w:name="fig:007"/>
      <w:r>
        <w:drawing>
          <wp:inline>
            <wp:extent cx="5334000" cy="1902091"/>
            <wp:effectExtent b="0" l="0" r="0" t="0"/>
            <wp:docPr descr="Рис. 7: Запуск программы в оболочке GDB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в оболочке GDB</w:t>
      </w:r>
    </w:p>
    <w:p>
      <w:pPr>
        <w:pStyle w:val="BodyText"/>
      </w:pPr>
      <w:r>
        <w:t xml:space="preserve">Для более подробного анализа программы установим брейкпоинт на метку _start, с которой начинается выполнение любой ассемблерной программы, и запустим её. (рис. 8)</w:t>
      </w:r>
    </w:p>
    <w:p>
      <w:pPr>
        <w:pStyle w:val="CaptionedFigure"/>
      </w:pPr>
      <w:bookmarkStart w:id="53" w:name="fig:008"/>
      <w:r>
        <w:drawing>
          <wp:inline>
            <wp:extent cx="5334000" cy="1030696"/>
            <wp:effectExtent b="0" l="0" r="0" t="0"/>
            <wp:docPr descr="Рис. 8: Запуск программы в оболочке GDB с подробным анализом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в оболочке GDB с подробным анализом</w:t>
      </w:r>
    </w:p>
    <w:p>
      <w:pPr>
        <w:pStyle w:val="BodyText"/>
      </w:pPr>
      <w:r>
        <w:t xml:space="preserve">Посмотрим дисассимилированный код программы с помощью команды disassemble начиная с метки _start (рис. 9)</w:t>
      </w:r>
    </w:p>
    <w:p>
      <w:pPr>
        <w:pStyle w:val="CaptionedFigure"/>
      </w:pPr>
      <w:bookmarkStart w:id="57" w:name="fig:009"/>
      <w:r>
        <w:drawing>
          <wp:inline>
            <wp:extent cx="5334000" cy="2464076"/>
            <wp:effectExtent b="0" l="0" r="0" t="0"/>
            <wp:docPr descr="Рис. 9: Просмотр дисассимилированного кода программ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Просмотр дисассимилированного кода программы</w:t>
      </w:r>
    </w:p>
    <w:p>
      <w:pPr>
        <w:pStyle w:val="BodyText"/>
      </w:pPr>
      <w:r>
        <w:t xml:space="preserve">Переключимся на отображение команд с Intel’овским синтаксисом, введя команду set disassembly-flavor intel (рис. 10).</w:t>
      </w:r>
    </w:p>
    <w:p>
      <w:pPr>
        <w:pStyle w:val="CaptionedFigure"/>
      </w:pPr>
      <w:bookmarkStart w:id="61" w:name="fig:010"/>
      <w:r>
        <w:drawing>
          <wp:inline>
            <wp:extent cx="5334000" cy="2617557"/>
            <wp:effectExtent b="0" l="0" r="0" t="0"/>
            <wp:docPr descr="Рис. 10: Отображение команд с Intel’овским синтаксисом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Отображение команд с Intel’овским синтаксисом</w:t>
      </w:r>
    </w:p>
    <w:p>
      <w:pPr>
        <w:pStyle w:val="BodyText"/>
      </w:pPr>
      <w:r>
        <w:t xml:space="preserve">Различия отображения синтаксиса машинных команд в режимах ATT и Intel в том, что во втором варианте опускается</w:t>
      </w:r>
      <w:r>
        <w:t xml:space="preserve"> </w:t>
      </w:r>
      <w:r>
        <w:t xml:space="preserve">‘</w:t>
      </w:r>
      <w:r>
        <w:t xml:space="preserve">%</w:t>
      </w:r>
      <w:r>
        <w:t xml:space="preserve">’</w:t>
      </w:r>
      <w:r>
        <w:t xml:space="preserve"> </w:t>
      </w:r>
      <w:r>
        <w:t xml:space="preserve">перед именами регистров и инструкции с несколькими операндами перечисляются в разном порядке: Intel в прямом, то есть как записано в программе, а ATT в обратном.</w:t>
      </w:r>
    </w:p>
    <w:p>
      <w:pPr>
        <w:pStyle w:val="BodyText"/>
      </w:pPr>
      <w:r>
        <w:t xml:space="preserve">Включим режим псевдографики для более удобного анализа программы (рис. 11)</w:t>
      </w:r>
    </w:p>
    <w:p>
      <w:pPr>
        <w:pStyle w:val="CaptionedFigure"/>
      </w:pPr>
      <w:bookmarkStart w:id="65" w:name="fig:011"/>
      <w:r>
        <w:drawing>
          <wp:inline>
            <wp:extent cx="5334000" cy="3503170"/>
            <wp:effectExtent b="0" l="0" r="0" t="0"/>
            <wp:docPr descr="Рис. 11: Режим псевдографики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Режим псевдографики</w:t>
      </w:r>
    </w:p>
    <w:p>
      <w:pPr>
        <w:pStyle w:val="BodyText"/>
      </w:pPr>
      <w:r>
        <w:t xml:space="preserve">В этом режиме есть три окна:</w:t>
      </w:r>
      <w:r>
        <w:t xml:space="preserve"> </w:t>
      </w:r>
      <w:r>
        <w:t xml:space="preserve">- В верхней части видны названия регистров и их текущие значения;</w:t>
      </w:r>
      <w:r>
        <w:t xml:space="preserve"> </w:t>
      </w:r>
      <w:r>
        <w:t xml:space="preserve">- В средней части виден результат дисассимилирования программы;</w:t>
      </w:r>
      <w:r>
        <w:t xml:space="preserve"> </w:t>
      </w:r>
      <w:r>
        <w:t xml:space="preserve">- Нижняя часть доступна для ввода команд.</w:t>
      </w:r>
    </w:p>
    <w:bookmarkStart w:id="74" w:name="добавление-точек-останов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Установить точку останова можно командой break (кратко b).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«звёздочка»: на предыдущих шагах была установлена точка останова по имени метки (_start). Проверим это с помощью команды info breakpoints (кратко i b) (рис. 12)</w:t>
      </w:r>
    </w:p>
    <w:p>
      <w:pPr>
        <w:pStyle w:val="CaptionedFigure"/>
      </w:pPr>
      <w:bookmarkStart w:id="69" w:name="fig:012"/>
      <w:r>
        <w:drawing>
          <wp:inline>
            <wp:extent cx="5334000" cy="721401"/>
            <wp:effectExtent b="0" l="0" r="0" t="0"/>
            <wp:docPr descr="Рис. 12: Проверка установленной метк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установленной метки</w:t>
      </w:r>
    </w:p>
    <w:p>
      <w:pPr>
        <w:pStyle w:val="BodyText"/>
      </w:pP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Установим точку останова для предпоследней инструкции (mov ebx,0x0), определив ее адрес (рис. 13)</w:t>
      </w:r>
    </w:p>
    <w:p>
      <w:pPr>
        <w:pStyle w:val="CaptionedFigure"/>
      </w:pPr>
      <w:bookmarkStart w:id="73" w:name="fig:013"/>
      <w:r>
        <w:drawing>
          <wp:inline>
            <wp:extent cx="5334000" cy="2746326"/>
            <wp:effectExtent b="0" l="0" r="0" t="0"/>
            <wp:docPr descr="Рис. 13: Установка точки останов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Установка точки останова</w:t>
      </w:r>
    </w:p>
    <w:bookmarkEnd w:id="74"/>
    <w:bookmarkStart w:id="99" w:name="работа-с-данными-программы-в-gdb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stepi (или si). На этих шагах изменяются значения регистров eax, ebx, ecx, edx и еще раз eax.</w:t>
      </w:r>
    </w:p>
    <w:p>
      <w:pPr>
        <w:pStyle w:val="BodyText"/>
      </w:pPr>
      <w:r>
        <w:t xml:space="preserve">Посмотреть содержимое регистров также можно с помощью команды info registers (или i r) (рис. 14)</w:t>
      </w:r>
    </w:p>
    <w:p>
      <w:pPr>
        <w:pStyle w:val="CaptionedFigure"/>
      </w:pPr>
      <w:bookmarkStart w:id="78" w:name="fig:014"/>
      <w:r>
        <w:drawing>
          <wp:inline>
            <wp:extent cx="5334000" cy="1524000"/>
            <wp:effectExtent b="0" l="0" r="0" t="0"/>
            <wp:docPr descr="Рис. 14: Просмотр значения регистров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Просмотр значения регистров</w:t>
      </w:r>
    </w:p>
    <w:p>
      <w:pPr>
        <w:pStyle w:val="BodyText"/>
      </w:pPr>
      <w:r>
        <w:t xml:space="preserve">Для отображения содержимого памяти можно использовать команду x</w:t>
      </w:r>
      <w:r>
        <w:t xml:space="preserve"> </w:t>
      </w:r>
      <w:r>
        <w:t xml:space="preserve">, которая выдаёт содержимое ячейки памяти по указанному адресу. Формат, в котором выводятся данные, можно задать после имени команды через косую черту: x/NFU</w:t>
      </w:r>
      <w:r>
        <w:t xml:space="preserve"> </w:t>
      </w:r>
      <w:r>
        <w:t xml:space="preserve">. С помощью команды x &amp;</w:t>
      </w:r>
      <w:r>
        <w:t xml:space="preserve"> </w:t>
      </w:r>
      <w:r>
        <w:t xml:space="preserve">также можно посмотреть содержимое переменной.</w:t>
      </w:r>
    </w:p>
    <w:p>
      <w:pPr>
        <w:pStyle w:val="BodyText"/>
      </w:pPr>
      <w:r>
        <w:t xml:space="preserve">Посмотрим значение переменной msg1 по имени и значение переменной msg2 по адресу (рис. 15).</w:t>
      </w:r>
    </w:p>
    <w:p>
      <w:pPr>
        <w:pStyle w:val="CaptionedFigure"/>
      </w:pPr>
      <w:bookmarkStart w:id="82" w:name="fig:015"/>
      <w:r>
        <w:drawing>
          <wp:inline>
            <wp:extent cx="5334000" cy="690538"/>
            <wp:effectExtent b="0" l="0" r="0" t="0"/>
            <wp:docPr descr="Рис. 15: Просмотр значения переменной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Просмотр значения переменной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Изменим первый символ переменной msg1 (рис. 16)</w:t>
      </w:r>
    </w:p>
    <w:p>
      <w:pPr>
        <w:pStyle w:val="CaptionedFigure"/>
      </w:pPr>
      <w:bookmarkStart w:id="86" w:name="fig:016"/>
      <w:r>
        <w:drawing>
          <wp:inline>
            <wp:extent cx="5334000" cy="1090219"/>
            <wp:effectExtent b="0" l="0" r="0" t="0"/>
            <wp:docPr descr="Рис. 16: Изменение символа ппеременной msg1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Изменение символа ппеременной msg1</w:t>
      </w:r>
    </w:p>
    <w:p>
      <w:pPr>
        <w:pStyle w:val="BodyText"/>
      </w:pPr>
      <w:r>
        <w:t xml:space="preserve">Заменим второй символ в переменной msg2 на заглавную букву (рис. 17).</w:t>
      </w:r>
    </w:p>
    <w:p>
      <w:pPr>
        <w:pStyle w:val="CaptionedFigure"/>
      </w:pPr>
      <w:bookmarkStart w:id="90" w:name="fig:017"/>
      <w:r>
        <w:drawing>
          <wp:inline>
            <wp:extent cx="5334000" cy="556876"/>
            <wp:effectExtent b="0" l="0" r="0" t="0"/>
            <wp:docPr descr="Рис. 17: Изменение символа переменной msg2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Изменение символа переменной msg2</w:t>
      </w:r>
    </w:p>
    <w:p>
      <w:pPr>
        <w:pStyle w:val="BodyText"/>
      </w:pP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(перед именем регистра обязательно ставится префикс $) (рис. 18)</w:t>
      </w:r>
    </w:p>
    <w:p>
      <w:pPr>
        <w:pStyle w:val="CaptionedFigure"/>
      </w:pPr>
      <w:bookmarkStart w:id="94" w:name="fig:018"/>
      <w:r>
        <w:drawing>
          <wp:inline>
            <wp:extent cx="5334000" cy="665386"/>
            <wp:effectExtent b="0" l="0" r="0" t="0"/>
            <wp:docPr descr="Рис. 18: Просмотр значения регистр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Просмотр значения регистра</w:t>
      </w:r>
    </w:p>
    <w:p>
      <w:pPr>
        <w:pStyle w:val="BodyText"/>
      </w:pPr>
      <w:r>
        <w:t xml:space="preserve">Выведем в различных форматах (в шестнадцатеричном формате, в двоичном формате и в символьном виде) значение регистра edx. С помощью команды set изменим значение регистра ebx (рис. 19)</w:t>
      </w:r>
    </w:p>
    <w:p>
      <w:pPr>
        <w:pStyle w:val="CaptionedFigure"/>
      </w:pPr>
      <w:bookmarkStart w:id="98" w:name="fig:019"/>
      <w:r>
        <w:drawing>
          <wp:inline>
            <wp:extent cx="5334000" cy="944505"/>
            <wp:effectExtent b="0" l="0" r="0" t="0"/>
            <wp:docPr descr="Рис. 19: Вывод значения регистра в различных форматах и их изменение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Вывод значения регистра в различных форматах и их изменение</w:t>
      </w:r>
    </w:p>
    <w:p>
      <w:pPr>
        <w:pStyle w:val="BodyText"/>
      </w:pPr>
      <w:r>
        <w:t xml:space="preserve">Завершим выполнение программы с помощью команды continue (сокращенно c) и выйдем из GDB с помощью команды quit (сокращенно q).</w:t>
      </w:r>
    </w:p>
    <w:bookmarkEnd w:id="99"/>
    <w:bookmarkStart w:id="108" w:name="X34484a9d02dddcc072527afae661c9b27116987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Скопируем файл lab9-2.asm, созданный при выполнении лабораторной работы №9, с программой выводящей на экран аргументы командной строки в файл с именем lab10-3.asm и создадим исполняемый файл.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 Загрузим исполняемый файл в отладчик, указав аргументы 1, 2, 3.</w:t>
      </w:r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 командной строки загружаются в стек. Исследуем расположение аргументов командной строки в стеке после запуска программы с помощью gdb.</w:t>
      </w:r>
    </w:p>
    <w:p>
      <w:pPr>
        <w:pStyle w:val="BodyText"/>
      </w:pPr>
      <w:r>
        <w:t xml:space="preserve">Для начала установим точку останова перед первой инструкцией в программе и запустим ее (рис. 20)</w:t>
      </w:r>
    </w:p>
    <w:p>
      <w:pPr>
        <w:pStyle w:val="CaptionedFigure"/>
      </w:pPr>
      <w:bookmarkStart w:id="103" w:name="fig:020"/>
      <w:r>
        <w:drawing>
          <wp:inline>
            <wp:extent cx="5334000" cy="2167449"/>
            <wp:effectExtent b="0" l="0" r="0" t="0"/>
            <wp:docPr descr="Рис. 20: Работа с программой lab10-3" title="" id="101" name="Picture"/>
            <a:graphic>
              <a:graphicData uri="http://schemas.openxmlformats.org/drawingml/2006/picture">
                <pic:pic>
                  <pic:nvPicPr>
                    <pic:cNvPr descr="image/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Работа с программой lab10-3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Как видно, число аргументов равно 4 - расположение программы и три аргумента.</w:t>
      </w:r>
    </w:p>
    <w:p>
      <w:pPr>
        <w:pStyle w:val="BodyText"/>
      </w:pPr>
      <w:r>
        <w:t xml:space="preserve">Посмотрим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 (рис. 21)</w:t>
      </w:r>
    </w:p>
    <w:p>
      <w:pPr>
        <w:pStyle w:val="CaptionedFigure"/>
      </w:pPr>
      <w:bookmarkStart w:id="107" w:name="fig:021"/>
      <w:r>
        <w:drawing>
          <wp:inline>
            <wp:extent cx="5334000" cy="1795484"/>
            <wp:effectExtent b="0" l="0" r="0" t="0"/>
            <wp:docPr descr="Рис. 21: Просмотр позиций стека" title="" id="105" name="Picture"/>
            <a:graphic>
              <a:graphicData uri="http://schemas.openxmlformats.org/drawingml/2006/picture">
                <pic:pic>
                  <pic:nvPicPr>
                    <pic:cNvPr descr="image/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Просмотр позиций стека</w:t>
      </w:r>
    </w:p>
    <w:bookmarkEnd w:id="108"/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с использованием подпрограмм и изучены методы отладки при помощи GDB и его основные возможности.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5" Target="media/rId25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Уткина Алиина Дмитриевна</dc:creator>
  <dc:language>ru-RU</dc:language>
  <cp:keywords/>
  <dcterms:created xsi:type="dcterms:W3CDTF">2022-12-17T20:28:28Z</dcterms:created>
  <dcterms:modified xsi:type="dcterms:W3CDTF">2022-12-17T20:28:28Z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