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Author"/>
      </w:pPr>
      <w:r>
        <w:t xml:space="preserve">Уткина Алина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Dia, повторить схемы L1, L2, L3, а также сопутствующие им таблицы VLAN, IP-адресов и портов подключения оборудования планируемой сети 10.128.0.0/16.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сеть-10.128.0.01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Сеть 10.128.0.0/16</w:t>
      </w:r>
    </w:p>
    <w:bookmarkStart w:id="34" w:name="схемы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Схемы</w:t>
      </w:r>
    </w:p>
    <w:p>
      <w:pPr>
        <w:pStyle w:val="FirstParagraph"/>
      </w:pPr>
      <w:r>
        <w:t xml:space="preserve">Откроем графический редактор Dia и в нем построим схему сети (рис. 1), (рис. 2)? (рис. 3).</w:t>
      </w:r>
    </w:p>
    <w:bookmarkStart w:id="25" w:name="fig:001"/>
    <w:p>
      <w:pPr>
        <w:pStyle w:val="CaptionedFigure"/>
      </w:pPr>
      <w:r>
        <w:drawing>
          <wp:inline>
            <wp:extent cx="3733800" cy="2111108"/>
            <wp:effectExtent b="0" l="0" r="0" t="0"/>
            <wp:docPr descr="Рис. 1: Физические устройства сети с номерами портов (Layer 1 - L1)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Физические устройства сети с номерами портов (Layer 1 - L1)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119011"/>
            <wp:effectExtent b="0" l="0" r="0" t="0"/>
            <wp:docPr descr="Рис. 2: Схема VLAN сети (Layer 2 - L2)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VLAN сети (Layer 2 - L2)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278408"/>
            <wp:effectExtent b="0" l="0" r="0" t="0"/>
            <wp:docPr descr="Рис. 3: Схема маршрутизации сети (Layer 3 - L3)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(Layer 3 - L3)</w:t>
      </w:r>
    </w:p>
    <w:bookmarkEnd w:id="33"/>
    <w:bookmarkEnd w:id="34"/>
    <w:bookmarkStart w:id="35" w:name="таблица-vla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 VLAN</w:t>
            </w:r>
          </w:p>
        </w:tc>
        <w:tc>
          <w:tcPr/>
          <w:p>
            <w:pPr>
              <w:pStyle w:val="Compact"/>
            </w:pPr>
            <w:r>
              <w:t xml:space="preserve">Имя VLAN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management</w:t>
            </w:r>
          </w:p>
        </w:tc>
        <w:tc>
          <w:tcPr/>
          <w:p>
            <w:pPr>
              <w:pStyle w:val="Compac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servers</w:t>
            </w:r>
          </w:p>
        </w:tc>
        <w:tc>
          <w:tcPr/>
          <w:p>
            <w:pPr>
              <w:pStyle w:val="Compac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departments</w:t>
            </w:r>
          </w:p>
        </w:tc>
        <w:tc>
          <w:tcPr/>
          <w:p>
            <w:pPr>
              <w:pStyle w:val="Compac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adm</w:t>
            </w:r>
          </w:p>
        </w:tc>
        <w:tc>
          <w:tcPr/>
          <w:p>
            <w:pPr>
              <w:pStyle w:val="Compac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Для других пользователей</w:t>
            </w:r>
          </w:p>
        </w:tc>
      </w:tr>
    </w:tbl>
    <w:bookmarkEnd w:id="35"/>
    <w:bookmarkStart w:id="36" w:name="таблица-ip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10.128.0.2</w:t>
            </w:r>
          </w:p>
        </w:tc>
        <w:tc>
          <w:tcPr/>
          <w:p>
            <w:pPr>
              <w:pStyle w:val="Compac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10.128.0.3</w:t>
            </w:r>
          </w:p>
        </w:tc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10.128.0.4</w:t>
            </w:r>
          </w:p>
        </w:tc>
        <w:tc>
          <w:tcPr/>
          <w:p>
            <w:pPr>
              <w:pStyle w:val="Compac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10.128.0.5</w:t>
            </w:r>
          </w:p>
        </w:tc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10.128.1.1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10.128.1.2</w:t>
            </w:r>
          </w:p>
        </w:tc>
        <w:tc>
          <w:tcPr/>
          <w:p>
            <w:pPr>
              <w:pStyle w:val="Compact"/>
            </w:pPr>
            <w:r>
              <w:t xml:space="preserve">msk-donskaya-adutkina-sw-1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10.128.1.3</w:t>
            </w:r>
          </w:p>
        </w:tc>
        <w:tc>
          <w:tcPr/>
          <w:p>
            <w:pPr>
              <w:pStyle w:val="Compact"/>
            </w:pPr>
            <w:r>
              <w:t xml:space="preserve">msk-donskaya-adutkina-sw-2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10.128.1.4</w:t>
            </w:r>
          </w:p>
        </w:tc>
        <w:tc>
          <w:tcPr/>
          <w:p>
            <w:pPr>
              <w:pStyle w:val="Compact"/>
            </w:pPr>
            <w:r>
              <w:t xml:space="preserve">msk-donskaya-adutkina-sw-3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10.128.1.5</w:t>
            </w:r>
          </w:p>
        </w:tc>
        <w:tc>
          <w:tcPr/>
          <w:p>
            <w:pPr>
              <w:pStyle w:val="Compact"/>
            </w:pPr>
            <w:r>
              <w:t xml:space="preserve">msk-donskaya-adutkina-sw-4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10.128.1.6</w:t>
            </w:r>
          </w:p>
        </w:tc>
        <w:tc>
          <w:tcPr/>
          <w:p>
            <w:pPr>
              <w:pStyle w:val="Compact"/>
            </w:pPr>
            <w:r>
              <w:t xml:space="preserve">msk-pavlovskaya-adutkina-sw-1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10.128.3.1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10.128.4.1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10.128.5.1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10.128.6.1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bookmarkStart w:id="37" w:name="таблица-портов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9"/>
        <w:gridCol w:w="980"/>
        <w:gridCol w:w="2338"/>
        <w:gridCol w:w="980"/>
        <w:gridCol w:w="196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</w:pPr>
            <w:r>
              <w:t xml:space="preserve">Порт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Access VLAN</w:t>
            </w:r>
          </w:p>
        </w:tc>
        <w:tc>
          <w:tcPr/>
          <w:p>
            <w:pPr>
              <w:pStyle w:val="Compac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msk-donskaya-adutkina-sw-1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msk-donskaya-adutkina-gw-1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msk-donskaya-adutkina-sw-2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msk-donskaya-adutkina-sw-4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msk-pavlovskaya-adutkina-sw-1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msk-donskaya-adutkina-sw-1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msk-donskaya-adutkina-sw-3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Web-server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File-server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msk-donskaya-adutkina-sw-2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Mail-server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Dns-server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msk-donskaya-adutkina-sw-1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</w:pPr>
            <w:r>
              <w:t xml:space="preserve">departments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</w:pPr>
            <w:r>
              <w:t xml:space="preserve">adm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msk-donskaya-adutkina-sw-1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f0/20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практические навыки планирования локальной сети организации.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Уткина Алина Дмитриевна</dc:creator>
  <dc:language>ru-RU</dc:language>
  <cp:keywords/>
  <dcterms:created xsi:type="dcterms:W3CDTF">2025-06-18T10:16:04Z</dcterms:created>
  <dcterms:modified xsi:type="dcterms:W3CDTF">2025-06-18T10:16:04Z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Sans</vt:lpwstr>
  </property>
  <property fmtid="{D5CDD505-2E9C-101B-9397-08002B2CF9AE}" pid="60" name="mainfontoptions">
    <vt:lpwstr>Ligatures=TeX</vt:lpwstr>
  </property>
  <property fmtid="{D5CDD505-2E9C-101B-9397-08002B2CF9AE}" pid="61" name="monofont">
    <vt:lpwstr>PT Sans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Sans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