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№5</w:t>
      </w:r>
    </w:p>
    <w:p>
      <w:pPr>
        <w:pStyle w:val="Author"/>
      </w:pPr>
      <w:r>
        <w:t xml:space="preserve">Уткина Алина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основных навыков по настройке VLAN на коммутаторах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 коммутаторах сети настроить Trunk-порты на соответствующих интерфейсах, связывающих коммутаторы между собой.</w:t>
      </w:r>
    </w:p>
    <w:p>
      <w:pPr>
        <w:numPr>
          <w:ilvl w:val="0"/>
          <w:numId w:val="1001"/>
        </w:numPr>
      </w:pPr>
      <w:r>
        <w:t xml:space="preserve">Коммутатор msk-donskaya-sw-1 настроить как VTP-сервер и прописать на нём номера и названия VLAN.</w:t>
      </w:r>
    </w:p>
    <w:p>
      <w:pPr>
        <w:numPr>
          <w:ilvl w:val="0"/>
          <w:numId w:val="1001"/>
        </w:numPr>
      </w:pPr>
      <w:r>
        <w:t xml:space="preserve">Коммутаторы msk-donskaya-sw-2 — msk-donskaya-sw-4, msk-pavlovskaya-sw-1 настроить как VTP-клиенты, на интерфейсах указать принадлежность к соответствующему VLAN.</w:t>
      </w:r>
    </w:p>
    <w:p>
      <w:pPr>
        <w:numPr>
          <w:ilvl w:val="0"/>
          <w:numId w:val="1001"/>
        </w:numPr>
      </w:pPr>
      <w:r>
        <w:t xml:space="preserve">На серверах прописать IP-адреса.</w:t>
      </w:r>
    </w:p>
    <w:p>
      <w:pPr>
        <w:numPr>
          <w:ilvl w:val="0"/>
          <w:numId w:val="1001"/>
        </w:numPr>
      </w:pPr>
      <w:r>
        <w:t xml:space="preserve">На оконечных устройствах указать соответствующий адрес шлюза и прописать статические IP-адреса из диапазона соответствующей сети, следуя регламенту выделения ip-адресов.</w:t>
      </w:r>
    </w:p>
    <w:p>
      <w:pPr>
        <w:numPr>
          <w:ilvl w:val="0"/>
          <w:numId w:val="1001"/>
        </w:numPr>
      </w:pPr>
      <w:r>
        <w:t xml:space="preserve">Проверить доступность устройств, принадлежащих одному VLAN, и недоступность устройств, принадлежащих разным VLAN.</w:t>
      </w:r>
    </w:p>
    <w:p>
      <w:pPr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Используя последовательность команд из примера по конфигурации Trunk-порта настроим Trunk-порты на соответствующих интерфейсах всех коммутаторов:</w:t>
      </w:r>
    </w:p>
    <w:p>
      <w:pPr>
        <w:numPr>
          <w:ilvl w:val="0"/>
          <w:numId w:val="1002"/>
        </w:numPr>
      </w:pPr>
      <w:r>
        <w:t xml:space="preserve">msk-pavlovskaya-adutkina-sw-1 Fa0/24 (рис. 1),</w:t>
      </w:r>
    </w:p>
    <w:p>
      <w:pPr>
        <w:numPr>
          <w:ilvl w:val="0"/>
          <w:numId w:val="1002"/>
        </w:numPr>
      </w:pPr>
      <w:r>
        <w:t xml:space="preserve">msk-donskaya-adutkina-sw-1 Fa0/1, Gig0/1, Gig0/2 (рис. 2),</w:t>
      </w:r>
    </w:p>
    <w:p>
      <w:pPr>
        <w:numPr>
          <w:ilvl w:val="0"/>
          <w:numId w:val="1002"/>
        </w:numPr>
      </w:pPr>
      <w:r>
        <w:t xml:space="preserve">msk-donskaya-adutkina-sw-2 Gig0/1, Gig0/2 (рис. 3),</w:t>
      </w:r>
    </w:p>
    <w:p>
      <w:pPr>
        <w:numPr>
          <w:ilvl w:val="0"/>
          <w:numId w:val="1002"/>
        </w:numPr>
      </w:pPr>
      <w:r>
        <w:t xml:space="preserve">msk-donskaya-adutkina-sw-3 Gig0/1 (рис. 4),</w:t>
      </w:r>
    </w:p>
    <w:p>
      <w:pPr>
        <w:numPr>
          <w:ilvl w:val="0"/>
          <w:numId w:val="1002"/>
        </w:numPr>
      </w:pPr>
      <w:r>
        <w:t xml:space="preserve">msk-donskaya-adutkina-sw-4 Gig0/1 (рис. 5).</w:t>
      </w:r>
    </w:p>
    <w:bookmarkStart w:id="25" w:name="fig:001"/>
    <w:p>
      <w:pPr>
        <w:pStyle w:val="CaptionedFigure"/>
      </w:pPr>
      <w:r>
        <w:drawing>
          <wp:inline>
            <wp:extent cx="3733800" cy="1587398"/>
            <wp:effectExtent b="0" l="0" r="0" t="0"/>
            <wp:docPr descr="Рис. 1: Конфигурация Trunk-портов msk-pavlovskaya-adutkina-sw-1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7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Конфигурация Trunk-портов msk-pavlovskaya-adutkina-sw-1</w:t>
      </w:r>
    </w:p>
    <w:bookmarkEnd w:id="25"/>
    <w:bookmarkStart w:id="29" w:name="fig:002"/>
    <w:p>
      <w:pPr>
        <w:pStyle w:val="CaptionedFigure"/>
      </w:pPr>
      <w:r>
        <w:drawing>
          <wp:inline>
            <wp:extent cx="3733800" cy="3554577"/>
            <wp:effectExtent b="0" l="0" r="0" t="0"/>
            <wp:docPr descr="Рис. 2: Конфигурация Trunk-портов msk-donskaya-adutkina-sw-1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4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Конфигурация Trunk-портов msk-donskaya-adutkina-sw-1</w:t>
      </w:r>
    </w:p>
    <w:bookmarkEnd w:id="29"/>
    <w:bookmarkStart w:id="33" w:name="fig:003"/>
    <w:p>
      <w:pPr>
        <w:pStyle w:val="CaptionedFigure"/>
      </w:pPr>
      <w:r>
        <w:drawing>
          <wp:inline>
            <wp:extent cx="3733800" cy="2536246"/>
            <wp:effectExtent b="0" l="0" r="0" t="0"/>
            <wp:docPr descr="Рис. 3: Конфигурация Trunk-портов msk-donskaya-adutkina-sw-2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6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Конфигурация Trunk-портов msk-donskaya-adutkina-sw-2</w:t>
      </w:r>
    </w:p>
    <w:bookmarkEnd w:id="33"/>
    <w:bookmarkStart w:id="37" w:name="fig:004"/>
    <w:p>
      <w:pPr>
        <w:pStyle w:val="CaptionedFigure"/>
      </w:pPr>
      <w:r>
        <w:drawing>
          <wp:inline>
            <wp:extent cx="3733800" cy="1557528"/>
            <wp:effectExtent b="0" l="0" r="0" t="0"/>
            <wp:docPr descr="Рис. 4: Конфигурация Trunk-портов msk-donskaya-adutkina-sw-3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7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Конфигурация Trunk-портов msk-donskaya-adutkina-sw-3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266797"/>
            <wp:effectExtent b="0" l="0" r="0" t="0"/>
            <wp:docPr descr="Рис. 5: Конфигурация Trunk-портов msk-donskaya-adutkina-sw-4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6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Конфигурация Trunk-портов msk-donskaya-adutkina-sw-4</w:t>
      </w:r>
    </w:p>
    <w:bookmarkEnd w:id="41"/>
    <w:p>
      <w:pPr>
        <w:pStyle w:val="BodyText"/>
      </w:pPr>
      <w:r>
        <w:t xml:space="preserve">Используя последовательность команд по конфигурации VTP, настроим коммутатор msk-donskaya-adutkina-sw-1 как VTP-сервер и пропишем на нём номера и названия VLAN (рис. 6).</w:t>
      </w:r>
    </w:p>
    <w:bookmarkStart w:id="45" w:name="fig:006"/>
    <w:p>
      <w:pPr>
        <w:pStyle w:val="CaptionedFigure"/>
      </w:pPr>
      <w:r>
        <w:drawing>
          <wp:inline>
            <wp:extent cx="3733800" cy="3674127"/>
            <wp:effectExtent b="0" l="0" r="0" t="0"/>
            <wp:docPr descr="Рис. 6: Насторойка msk-donskaya-adutkina-sw-1 как VTP-сервер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4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Насторойка msk-donskaya-adutkina-sw-1 как VTP-сервер</w:t>
      </w:r>
    </w:p>
    <w:bookmarkEnd w:id="45"/>
    <w:p>
      <w:pPr>
        <w:pStyle w:val="BodyText"/>
      </w:pPr>
      <w:r>
        <w:t xml:space="preserve">Используя последовательность команд по конфигурации диапазонов портов, настроим остальные коммутаторы как VTP-клиенты и на интерфейсах укажем принадлежность к VLAN:</w:t>
      </w:r>
    </w:p>
    <w:p>
      <w:pPr>
        <w:numPr>
          <w:ilvl w:val="0"/>
          <w:numId w:val="1003"/>
        </w:numPr>
      </w:pPr>
      <w:r>
        <w:t xml:space="preserve">msk-pavlovskaya-adutkina-sw-1 dk-101, other-104 (рис. 7),</w:t>
      </w:r>
    </w:p>
    <w:p>
      <w:pPr>
        <w:numPr>
          <w:ilvl w:val="0"/>
          <w:numId w:val="1003"/>
        </w:numPr>
      </w:pPr>
      <w:r>
        <w:t xml:space="preserve">msk-donskaya-adutkina-sw-2 web,file-3 (рис. 8),</w:t>
      </w:r>
    </w:p>
    <w:p>
      <w:pPr>
        <w:numPr>
          <w:ilvl w:val="0"/>
          <w:numId w:val="1003"/>
        </w:numPr>
      </w:pPr>
      <w:r>
        <w:t xml:space="preserve">msk-donskaya-adutkina-sw-3 mail-3 (рис. 9),</w:t>
      </w:r>
    </w:p>
    <w:p>
      <w:pPr>
        <w:numPr>
          <w:ilvl w:val="0"/>
          <w:numId w:val="1003"/>
        </w:numPr>
      </w:pPr>
      <w:r>
        <w:t xml:space="preserve">msk-donskaya-adutkina-sw-4 dk-101, dep-102, adm-103, other-104 (рис. 10).</w:t>
      </w:r>
    </w:p>
    <w:bookmarkStart w:id="49" w:name="fig:007"/>
    <w:p>
      <w:pPr>
        <w:pStyle w:val="CaptionedFigure"/>
      </w:pPr>
      <w:r>
        <w:drawing>
          <wp:inline>
            <wp:extent cx="3733800" cy="1352702"/>
            <wp:effectExtent b="0" l="0" r="0" t="0"/>
            <wp:docPr descr="Рис. 7: Настройка msk-pavlovskaya-adutkina-sw-1 как VTP-клиент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2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msk-pavlovskaya-adutkina-sw-1 как VTP-клиент</w:t>
      </w:r>
    </w:p>
    <w:bookmarkEnd w:id="49"/>
    <w:bookmarkStart w:id="53" w:name="fig:008"/>
    <w:p>
      <w:pPr>
        <w:pStyle w:val="CaptionedFigure"/>
      </w:pPr>
      <w:r>
        <w:drawing>
          <wp:inline>
            <wp:extent cx="3733800" cy="1860499"/>
            <wp:effectExtent b="0" l="0" r="0" t="0"/>
            <wp:docPr descr="Рис. 8: Настройка msk-donskaya-adutkina-sw-2 как VTP-клиент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Настройка msk-donskaya-adutkina-sw-2 как VTP-клиент</w:t>
      </w:r>
    </w:p>
    <w:bookmarkEnd w:id="53"/>
    <w:bookmarkStart w:id="57" w:name="fig:009"/>
    <w:p>
      <w:pPr>
        <w:pStyle w:val="CaptionedFigure"/>
      </w:pPr>
      <w:r>
        <w:drawing>
          <wp:inline>
            <wp:extent cx="3733800" cy="1800758"/>
            <wp:effectExtent b="0" l="0" r="0" t="0"/>
            <wp:docPr descr="Рис. 9: Настройка msk-donskaya-adutkina-sw-3 как VTP-клиент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0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msk-donskaya-adutkina-sw-3 как VTP-клиент</w:t>
      </w:r>
    </w:p>
    <w:bookmarkEnd w:id="57"/>
    <w:bookmarkStart w:id="61" w:name="fig:010"/>
    <w:p>
      <w:pPr>
        <w:pStyle w:val="CaptionedFigure"/>
      </w:pPr>
      <w:r>
        <w:drawing>
          <wp:inline>
            <wp:extent cx="3733800" cy="3566806"/>
            <wp:effectExtent b="0" l="0" r="0" t="0"/>
            <wp:docPr descr="Рис. 10: Настройка msk-donskaya-adutkina-sw-4 как VTP-клиент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6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Настройка msk-donskaya-adutkina-sw-4 как VTP-клиент</w:t>
      </w:r>
    </w:p>
    <w:bookmarkEnd w:id="61"/>
    <w:p>
      <w:pPr>
        <w:pStyle w:val="BodyText"/>
      </w:pPr>
      <w:r>
        <w:t xml:space="preserve">После указания статических IP-адресов на оконечных устройствах проверим с помощью команды ping доступность устройств, принадлежащих одному VLAN, и недоступность устройств, принадлежащих разным VLAN (рис. 11). Мы видим, что пакеты данных передать не удалось, а значит что-то было настроено не правильно, возможно, при подключении оконечных устройств.</w:t>
      </w:r>
    </w:p>
    <w:bookmarkStart w:id="65" w:name="fig:011"/>
    <w:p>
      <w:pPr>
        <w:pStyle w:val="CaptionedFigure"/>
      </w:pPr>
      <w:r>
        <w:drawing>
          <wp:inline>
            <wp:extent cx="3733800" cy="1999271"/>
            <wp:effectExtent b="0" l="0" r="0" t="0"/>
            <wp:docPr descr="Рис. 11: Проверка соединения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9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соединения</w:t>
      </w:r>
    </w:p>
    <w:bookmarkEnd w:id="65"/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были приобретены практические навыки по настройке VLAN на коммутаторах сети.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Уткина Алина Дмитриевна</dc:creator>
  <dc:language>ru-RU</dc:language>
  <cp:keywords/>
  <dcterms:created xsi:type="dcterms:W3CDTF">2025-06-18T17:34:20Z</dcterms:created>
  <dcterms:modified xsi:type="dcterms:W3CDTF">2025-06-18T17:34:20Z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Список таблиц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PT Sans</vt:lpwstr>
  </property>
  <property fmtid="{D5CDD505-2E9C-101B-9397-08002B2CF9AE}" pid="60" name="mainfontoptions">
    <vt:lpwstr>Ligatures=TeX</vt:lpwstr>
  </property>
  <property fmtid="{D5CDD505-2E9C-101B-9397-08002B2CF9AE}" pid="61" name="monofont">
    <vt:lpwstr>PT Sans</vt:lpwstr>
  </property>
  <property fmtid="{D5CDD505-2E9C-101B-9397-08002B2CF9AE}" pid="62" name="monofontoptions">
    <vt:lpwstr>Scale=MatchLowercase,Scale=0.9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PT Sans</vt:lpwstr>
  </property>
  <property fmtid="{D5CDD505-2E9C-101B-9397-08002B2CF9AE}" pid="73" name="romanfontoptions">
    <vt:lpwstr>Ligatures=TeX</vt:lpwstr>
  </property>
  <property fmtid="{D5CDD505-2E9C-101B-9397-08002B2CF9AE}" pid="74" name="sansfont">
    <vt:lpwstr>PT Sans</vt:lpwstr>
  </property>
  <property fmtid="{D5CDD505-2E9C-101B-9397-08002B2CF9AE}" pid="75" name="sansfontoptions">
    <vt:lpwstr>Ligatures=TeX,Scale=MatchLowercase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