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e9382f7" w14:textId="3e9382f7">
      <w:pPr>
        <w15:collapsed w:val="false"/>
      </w:pPr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</w:p>
    <w:p>
      <w:r>
        <w:rPr/>
        <w:t xml:space="preserve">1</w:t>
      </w:r>
      <w:r>
        <w:rPr/>
        <w:t xml:space="preserve">0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)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)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)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ꝛ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ꝛ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ꝛ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ä</w:t>
      </w:r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ꝛ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y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5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ü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⸗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,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⸗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>“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ꝛ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rPr/>
        <w:t xml:space="preserve">“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!</w:t>
      </w:r>
      <w:r>
        <w:rPr/>
        <w:t xml:space="preserve">“</w:t>
      </w:r>
      <w:r>
        <w:rPr/>
        <w:t xml:space="preserve">)</w:t>
      </w:r>
      <w:r>
        <w:rPr/>
        <w:t xml:space="preserve"> </w:t>
      </w:r>
      <w:r>
        <w:rPr/>
        <w:t xml:space="preserve">—</w:t>
      </w:r>
      <w:r>
        <w:rPr/>
        <w:t xml:space="preserve"/>
      </w:r>
    </w:p>
    <w:p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6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“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ſ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ä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ß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ü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“</w:t>
      </w:r>
      <w:r>
        <w:rPr/>
        <w:t xml:space="preserve"/>
      </w:r>
      <w:br/>
      <w:r>
        <w:rPr/>
        <w:t xml:space="preserve">(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ä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4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/>
      </w:r>
    </w:p>
    <w:p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rPr/>
        <w:t xml:space="preserve">№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¼</w:t>
      </w:r>
      <w:r>
        <w:rPr/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ü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ἀ</w:t>
      </w:r>
      <w:r>
        <w:rPr/>
        <w:t xml:space="preserve">ρ</w:t>
      </w:r>
      <w:r>
        <w:rPr/>
        <w:t xml:space="preserve">χ</w:t>
      </w:r>
      <w:r>
        <w:rPr/>
        <w:t xml:space="preserve">α</w:t>
      </w:r>
      <w:r>
        <w:rPr/>
        <w:t xml:space="preserve">ῖ</w:t>
      </w:r>
      <w:r>
        <w:rPr/>
        <w:t xml:space="preserve">α</w:t>
      </w:r>
      <w:r>
        <w:rPr/>
        <w:t xml:space="preserve">!</w:t>
      </w:r>
      <w:r>
        <w:rPr/>
        <w:t xml:space="preserve">?</w:t>
      </w:r>
      <w:r>
        <w:rPr/>
        <w:t xml:space="preserve">)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t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ä</w:t>
      </w:r>
      <w:r>
        <w:rPr/>
        <w:t xml:space="preserve">ß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ſ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k</w:t>
      </w:r>
      <w:r>
        <w:rPr/>
        <w:t xml:space="preserve">r</w:t>
      </w:r>
      <w:r>
        <w:rPr/>
        <w:t xml:space="preserve">y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ἱ</w:t>
      </w:r>
      <w:r>
        <w:rPr/>
        <w:t xml:space="preserve">ο</w:t>
      </w:r>
      <w:r>
        <w:rPr/>
        <w:t xml:space="preserve">υ</w:t>
      </w:r>
      <w:r>
        <w:rPr/>
        <w:t xml:space="preserve">δ</w:t>
      </w:r>
      <w:r>
        <w:rPr/>
        <w:t xml:space="preserve">α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ό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!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!</w:t>
      </w:r>
      <w:r>
        <w:rPr/>
        <w:t xml:space="preserve"/>
      </w:r>
      <w:br/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/>
      </w:r>
    </w:p>
    <w:p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1</w:t>
      </w:r>
      <w:r>
        <w:rPr/>
        <w:t xml:space="preserve"/>
      </w:r>
      <w:br/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ä</w:t>
      </w:r>
      <w:r>
        <w:rPr/>
        <w:t xml:space="preserve">e</w:t>
      </w:r>
      <w:r>
        <w:rPr/>
        <w:t xml:space="preserve">r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ü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ſ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k</w:t>
      </w:r>
      <w:r>
        <w:rPr/>
        <w:t xml:space="preserve">r</w:t>
      </w:r>
      <w:r>
        <w:rPr/>
        <w:t xml:space="preserve">y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(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o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(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?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ä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ü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ꝛ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0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“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⸗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⸗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8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„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“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⸗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“</w:t>
      </w:r>
      <w:r>
        <w:rPr/>
        <w:t xml:space="preserve"/>
      </w:r>
      <w:br/>
      <w:r>
        <w:rPr/>
        <w:t xml:space="preserve">„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ü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“</w:t>
      </w:r>
      <w:r>
        <w:rPr/>
        <w:t xml:space="preserve"/>
      </w:r>
    </w:p>
    <w:p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2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“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(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y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⸗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⸗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y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/>
      </w:r>
    </w:p>
    <w:p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8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y</w:t>
      </w:r>
      <w:r>
        <w:rPr/>
        <w:t xml:space="preserve">ſ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r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ſ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ſ</w:t>
      </w:r>
      <w:r>
        <w:rPr/>
        <w:t xml:space="preserve">y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)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ſ</w:t>
      </w:r>
      <w:r>
        <w:rPr/>
        <w:t xml:space="preserve">y</w:t>
      </w:r>
      <w:r>
        <w:rPr/>
        <w:t xml:space="preserve">v</w:t>
      </w:r>
      <w:r>
        <w:rPr/>
        <w:t xml:space="preserve">o</w:t>
      </w:r>
      <w:r>
        <w:rPr/>
        <w:t xml:space="preserve">⸗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ꝛ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y</w:t>
      </w:r>
      <w:r>
        <w:rPr/>
        <w:t xml:space="preserve">r</w:t>
      </w:r>
      <w:r>
        <w:rPr/>
        <w:t xml:space="preserve">o</w:t>
      </w:r>
      <w:r>
        <w:rPr/>
        <w:t xml:space="preserve">⸗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ſ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“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ü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(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⸗</w:t>
      </w:r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(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⸗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⸗</w:t>
      </w:r>
      <w:r>
        <w:rPr/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⸗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/>
      </w:r>
    </w:p>
    <w:p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№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8</w:t>
      </w:r>
      <w:r>
        <w:rPr/>
        <w:t xml:space="preserve"> 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⅔</w:t>
      </w:r>
      <w:r>
        <w:rPr/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;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2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ꝛ</w:t>
      </w:r>
      <w:r>
        <w:rPr/>
        <w:t xml:space="preserve">c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ꝛ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ꝛ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:</w:t>
      </w:r>
      <w:r>
        <w:rPr/>
        <w:t xml:space="preserve"> </w:t>
      </w:r>
      <w:r>
        <w:rPr/>
        <w:t xml:space="preserve">§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§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§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y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§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§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ü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> </w:t>
      </w:r>
      <w:r>
        <w:rPr/>
        <w:t xml:space="preserve">§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?</w:t>
      </w:r>
      <w:r>
        <w:rPr/>
        <w:t xml:space="preserve"> </w:t>
      </w:r>
      <w:r>
        <w:rPr/>
        <w:t xml:space="preserve">§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?</w:t>
      </w:r>
      <w:r>
        <w:rPr/>
        <w:t xml:space="preserve"> </w:t>
      </w:r>
      <w:r>
        <w:rPr/>
        <w:t xml:space="preserve">§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§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§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ſ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§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§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ä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/>
      </w:r>
    </w:p>
    <w:p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6</w:t>
      </w:r>
      <w:r>
        <w:rPr/>
        <w:t xml:space="preserve">2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s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)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ü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ü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</w:p>
    <w:p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6</w:t>
      </w:r>
      <w:r>
        <w:rPr/>
        <w:t xml:space="preserve">3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)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“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(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/>
      </w:r>
      <w:br/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8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⅓</w:t>
      </w:r>
      <w:r>
        <w:rPr/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ü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: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8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½</w:t>
      </w:r>
      <w:r>
        <w:rPr/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1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ἀ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β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/>
      </w:r>
    </w:p>
    <w:p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№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ä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⸗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½</w:t>
      </w:r>
      <w:r>
        <w:rPr/>
        <w:t xml:space="preserve"> </w:t>
      </w:r>
      <w:r>
        <w:rPr/>
        <w:t xml:space="preserve">ſ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ſ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5</w:t>
      </w:r>
      <w:r>
        <w:rPr/>
        <w:t xml:space="preserve"/>
      </w:r>
    </w:p>
    <w:p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/>
        <w:t xml:space="preserve">1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⸗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“</w:t>
      </w:r>
      <w:r>
        <w:rPr/>
        <w:t xml:space="preserve">)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3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-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(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⸗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§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“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,</w:t>
      </w:r>
      <w:r>
        <w:rPr/>
        <w:t xml:space="preserve"/>
      </w:r>
    </w:p>
    <w:p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“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4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⸗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“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f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⅓</w:t>
      </w:r>
      <w:r>
        <w:rPr/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5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8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6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0</w:t>
      </w:r>
      <w:r>
        <w:rPr/>
        <w:t xml:space="preserve">8</w:t>
      </w:r>
      <w:r>
        <w:rPr/>
        <w:t xml:space="preserve">9</w:t>
      </w:r>
      <w:r>
        <w:rPr/>
        <w:t xml:space="preserve">,</w:t>
      </w:r>
      <w:r>
        <w:rPr/>
        <w:t xml:space="preserve">5</w:t>
      </w:r>
      <w:r>
        <w:rPr/>
        <w:t xml:space="preserve">2</w:t>
      </w:r>
      <w:r>
        <w:rPr/>
        <w:t xml:space="preserve">3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5</w:t>
      </w:r>
      <w:r>
        <w:rPr/>
        <w:t xml:space="preserve">9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t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№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D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¼</w:t>
      </w:r>
      <w:r>
        <w:rPr/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ä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/>
      </w:r>
      <w:br/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/>
      </w:r>
    </w:p>
    <w:p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7</w:t>
      </w:r>
      <w:r>
        <w:rPr/>
        <w:t xml:space="preserve">6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ꝛ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ä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⸗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„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“</w:t>
      </w:r>
      <w:r>
        <w:rPr/>
        <w:t xml:space="preserve"> </w:t>
      </w:r>
      <w:r>
        <w:rPr/>
        <w:t xml:space="preserve">(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!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⸗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s</w:t>
      </w:r>
      <w:r>
        <w:rPr/>
        <w:t xml:space="preserve">⸗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>s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⸗</w:t>
      </w:r>
      <w:r>
        <w:rPr/>
        <w:t xml:space="preserve"/>
      </w:r>
      <w:br/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/>
      </w:r>
    </w:p>
    <w:p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p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/>
      </w:r>
      <w:br/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/>
      </w:r>
      <w:br/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/>
      </w:r>
      <w:br/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ꝛ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9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3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5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ꝛ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5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/>
      </w:r>
      <w:br/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5</w:t>
      </w:r>
      <w:r>
        <w:rPr/>
        <w:t xml:space="preserve"/>
      </w:r>
      <w:br/>
      <w:r>
        <w:rPr/>
        <w:t xml:space="preserve">S</w:t>
      </w:r>
      <w:r>
        <w:rPr/>
        <w:t xml:space="preserve">y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/>
      </w:r>
      <w:br/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/>
      </w:r>
      <w:br/>
      <w:r>
        <w:rPr/>
        <w:t xml:space="preserve">H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rPr/>
        <w:t xml:space="preserve"/>
      </w:r>
      <w:br/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3</w:t>
      </w:r>
      <w:r>
        <w:rPr/>
        <w:t xml:space="preserve"/>
      </w:r>
      <w:br/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 </w:t>
      </w:r>
      <w:r>
        <w:rPr/>
        <w:t xml:space="preserve">ꝛ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3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5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3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3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/>
      </w:r>
      <w:br/>
      <w:r>
        <w:rPr/>
        <w:t xml:space="preserve">P</w:t>
      </w:r>
      <w:r>
        <w:rPr/>
        <w:t xml:space="preserve">ä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5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3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1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7</w:t>
      </w:r>
      <w:r>
        <w:rPr/>
        <w:t xml:space="preserve"/>
      </w:r>
    </w:p>
    <w:p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8</w:t>
      </w:r>
      <w:r>
        <w:rPr/>
        <w:t xml:space="preserve">7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/>
      </w:r>
      <w:br/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/>
      </w:r>
      <w:br/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/>
      </w:r>
      <w:br/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/>
      </w:r>
      <w:br/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l</w:t>
      </w:r>
      <w:r>
        <w:rPr/>
        <w:t xml:space="preserve">t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/>
      </w:r>
      <w:br/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/>
      </w:r>
      <w:br/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/>
      </w:r>
      <w:br/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/>
      </w:r>
      <w:br/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/>
      </w:r>
      <w:br/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8</w:t>
      </w:r>
      <w:r>
        <w:rPr/>
        <w:t xml:space="preserve"/>
      </w:r>
      <w:br/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/>
      </w:r>
      <w:br/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1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3</w:t>
      </w:r>
      <w:r>
        <w:rPr/>
        <w:t xml:space="preserve"/>
      </w:r>
      <w:br/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/>
      </w:r>
      <w:br/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/>
      </w:r>
      <w:br/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5</w:t>
      </w:r>
      <w:r>
        <w:rPr/>
        <w:t xml:space="preserve"/>
      </w:r>
      <w:br/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6</w:t>
      </w:r>
      <w:r>
        <w:rPr/>
        <w:t xml:space="preserve"/>
      </w:r>
      <w:br/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.</w:t>
      </w:r>
      <w:r>
        <w:rPr/>
        <w:t xml:space="preserve">⸗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.</w:t>
      </w:r>
      <w:r>
        <w:rPr/>
        <w:t xml:space="preserve">⸗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6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2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3</w:t>
      </w:r>
      <w:r>
        <w:rPr/>
        <w:t xml:space="preserve"/>
      </w:r>
      <w:br/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5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6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⸗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6</w:t>
      </w:r>
      <w:r>
        <w:rPr/>
        <w:t xml:space="preserve"/>
      </w:r>
      <w:br/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5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7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5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ö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/>
      </w:r>
      <w:br/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a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/>
      </w:r>
      <w:br/>
      <w:r>
        <w:rPr/>
        <w:t xml:space="preserve">M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9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9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ſ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ſ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1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1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σ</w:t>
      </w:r>
      <w:r>
        <w:rPr/>
        <w:t xml:space="preserve">ύ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/>
      </w:r>
    </w:p>
    <w:p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8</w:t>
      </w:r>
      <w:r>
        <w:rPr/>
        <w:t xml:space="preserve">8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ꝛ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3</w:t>
      </w:r>
      <w:r>
        <w:rPr/>
        <w:t xml:space="preserve"/>
      </w:r>
      <w:br/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ꝛ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4</w:t>
      </w:r>
      <w:r>
        <w:rPr/>
        <w:t xml:space="preserve"/>
      </w:r>
      <w:br/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⸗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/>
      </w:r>
      <w:br/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ꝛ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1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4</w:t>
      </w:r>
      <w:r>
        <w:rPr/>
        <w:t xml:space="preserve"/>
      </w:r>
      <w:br/>
      <w:r>
        <w:rPr/>
        <w:t xml:space="preserve">T</w:t>
      </w:r>
      <w:r>
        <w:rPr/>
        <w:t xml:space="preserve">ü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/>
      </w:r>
      <w:br/>
      <w:r>
        <w:rPr/>
        <w:t xml:space="preserve">P</w:t>
      </w:r>
      <w:r>
        <w:rPr/>
        <w:t xml:space="preserve">ö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6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6</w:t>
      </w:r>
      <w:r>
        <w:rPr/>
        <w:t xml:space="preserve"/>
      </w:r>
      <w:br/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6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7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7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7</w:t>
      </w:r>
      <w:r>
        <w:rPr/>
        <w:t xml:space="preserve"/>
      </w:r>
      <w:br/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2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3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4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4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5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8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8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9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0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2</w:t>
      </w:r>
      <w:r>
        <w:rPr/>
        <w:t xml:space="preserve">8</w:t>
      </w:r>
      <w:r>
        <w:rPr/>
        <w:t xml:space="preserve">0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1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2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2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⸗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2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2</w:t>
      </w:r>
      <w:r>
        <w:rPr/>
        <w:t xml:space="preserve"/>
      </w:r>
      <w:br/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⸗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0</w:t>
      </w:r>
      <w:r>
        <w:rPr/>
        <w:t xml:space="preserve"/>
      </w:r>
      <w:br/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Z</w:t>
      </w:r>
      <w:r>
        <w:rPr/>
        <w:t xml:space="preserve">ü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3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/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