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76afef" w14:textId="3776afef">
      <w:pPr>
        <w15:collapsed w:val="false"/>
      </w:pP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2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ͤ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v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ͤ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ͤ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ͤ</w:t>
      </w:r>
      <w:r>
        <w:rPr/>
        <w:t xml:space="preserve">m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⸗</w:t>
      </w:r>
      <w:r>
        <w:rPr/>
        <w:t xml:space="preserve"/>
      </w:r>
    </w:p>
    <w:p>
      <w:r>
        <w:rPr/>
        <w:t xml:space="preserve">4</w:t>
      </w:r>
      <w:r>
        <w:rPr/>
        <w:t xml:space="preserve"/>
      </w:r>
    </w:p>
    <w:p>
      <w:r>
        <w:rPr/>
        <w:t xml:space="preserve">—</w:t>
      </w:r>
      <w:r>
        <w:rPr/>
        <w:t xml:space="preserve"> 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ͤ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ͤ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z</w:t>
      </w:r>
      <w:r>
        <w:rPr/>
        <w:t xml:space="preserve">.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ͤ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ͤ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4</w:t>
      </w:r>
      <w:r>
        <w:rPr/>
        <w:t xml:space="preserve">*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