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11de6b" w14:textId="3111de6b">
      <w:pPr>
        <w15:collapsed w:val="false"/>
      </w:pP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'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7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'</w:t>
      </w:r>
      <w:r>
        <w:rPr/>
        <w:t xml:space="preserve">!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“</w:t>
      </w:r>
      <w:r>
        <w:rPr/>
        <w:t xml:space="preserve"/>
      </w:r>
      <w:br/>
      <w:r>
        <w:fldChar w:fldCharType="begin"/>
        <w:instrText xml:space="preserve">XE"unclear:„gewisse Vorurtheil,"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“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?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ב</w:t>
      </w:r>
      <w:r>
        <w:rPr/>
        <w:t xml:space="preserve"> </w:t>
      </w:r>
      <w:r>
        <w:rPr/>
        <w:t xml:space="preserve">ר</w:t>
      </w:r>
      <w:r>
        <w:rPr/>
        <w:t xml:space="preserve">א</w:t>
      </w:r>
      <w:r>
        <w:rPr/>
        <w:t xml:space="preserve">ש</w:t>
      </w:r>
      <w:r>
        <w:rPr/>
        <w:t xml:space="preserve">י</w:t>
      </w:r>
      <w:r>
        <w:rPr/>
        <w:t xml:space="preserve">ת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