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25d0d7" w14:textId="3625d0d7">
      <w:pPr>
        <w15:collapsed w:val="false"/>
      </w:pP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>
          <w:i w:val="true"/>
        </w:rPr>
        <w:t xml:space="preserve">C</w:t>
      </w:r>
      <w:r>
        <w:rPr>
          <w:i w:val="true"/>
        </w:rPr>
        <w:t xml:space="preserve">a</w:t>
      </w:r>
      <w:r>
        <w:rPr>
          <w:i w:val="true"/>
        </w:rPr>
        <w:t xml:space="preserve">t</w:t>
      </w:r>
      <w:r>
        <w:rPr>
          <w:i w:val="true"/>
        </w:rPr>
        <w:t xml:space="preserve">h</w:t>
      </w:r>
      <w:r>
        <w:rPr>
          <w:i w:val="true"/>
        </w:rPr>
        <w:t xml:space="preserve">o</w:t>
      </w:r>
      <w:r>
        <w:rPr>
          <w:i w:val="true"/>
        </w:rPr>
        <w:t xml:space="preserve">l</w:t>
      </w:r>
      <w:r>
        <w:rPr>
          <w:i w:val="true"/>
        </w:rPr>
        <w:t xml:space="preserve">i</w:t>
      </w:r>
      <w:r>
        <w:rPr>
          <w:i w:val="true"/>
        </w:rPr>
        <w:t xml:space="preserve">c</w:t>
      </w:r>
      <w:r>
        <w:rPr>
          <w:i w:val="true"/>
        </w:rPr>
        <w:t xml:space="preserve">u</w:t>
      </w:r>
      <w:r>
        <w:rPr>
          <w:i w:val="tru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ᴵ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ᴵ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/>
      </w:r>
    </w:p>
    <w:p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'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/>
      </w:r>
    </w:p>
    <w:p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ᴵ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ᴵ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ʳ</w:t>
      </w:r>
      <w:r>
        <w:rPr/>
        <w:t xml:space="preserve">ᵒ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C</w:t>
      </w:r>
      <w:r>
        <w:rPr>
          <w:i w:val="true"/>
        </w:rPr>
        <w:t xml:space="preserve">u</w:t>
      </w:r>
      <w:r>
        <w:rPr>
          <w:i w:val="true"/>
        </w:rPr>
        <w:t xml:space="preserve">r</w:t>
      </w:r>
      <w:r>
        <w:rPr>
          <w:i w:val="true"/>
        </w:rPr>
        <w:t xml:space="preserve">i</w:t>
      </w:r>
      <w:r>
        <w:rPr>
          <w:i w:val="true"/>
        </w:rPr>
        <w:t xml:space="preserve">o</w:t>
      </w:r>
      <w:r>
        <w:rPr>
          <w:i w:val="true"/>
        </w:rPr>
        <w:t xml:space="preserve">s</w:t>
      </w:r>
      <w:r>
        <w:rPr>
          <w:i w:val="true"/>
        </w:rPr>
        <w:t xml:space="preserve">a</w:t>
      </w:r>
      <w:r>
        <w:rPr>
          <w:i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“</w:t>
      </w:r>
      <w:r>
        <w:rPr/>
        <w:t xml:space="preserve">!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!</w:t>
      </w:r>
      <w:r>
        <w:rPr/>
        <w:t xml:space="preserve">!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?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“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°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°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n</w:t>
      </w:r>
      <w:r>
        <w:rPr/>
        <w:t xml:space="preserve">æ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o</w:t>
      </w:r>
      <w:r>
        <w:rPr/>
        <w:t xml:space="preserve">g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>
          <w:i w:val="true"/>
        </w:rPr>
        <w:t xml:space="preserve">p</w:t>
      </w:r>
      <w:r>
        <w:rPr>
          <w:i w:val="true"/>
        </w:rPr>
        <w:t xml:space="preserve">h</w:t>
      </w:r>
      <w:r>
        <w:rPr>
          <w:i w:val="true"/>
        </w:rPr>
        <w:t xml:space="preserve">i</w:t>
      </w:r>
      <w:r>
        <w:rPr>
          <w:i w:val="true"/>
        </w:rPr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</w:p>
    <w:p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;</w:t>
      </w:r>
      <w:r>
        <w:rPr/>
        <w:t xml:space="preserve"/>
      </w:r>
      <w:br/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;</w:t>
      </w:r>
      <w:r>
        <w:rPr/>
        <w:t xml:space="preserve"/>
      </w:r>
      <w:br/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“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ͤ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ʳ</w:t>
      </w:r>
      <w:r>
        <w:rPr/>
        <w:t xml:space="preserve">ᵒ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C</w:t>
      </w:r>
      <w:r>
        <w:rPr>
          <w:i w:val="true"/>
        </w:rPr>
        <w:t xml:space="preserve">u</w:t>
      </w:r>
      <w:r>
        <w:rPr>
          <w:i w:val="true"/>
        </w:rPr>
        <w:t xml:space="preserve">r</w:t>
      </w:r>
      <w:r>
        <w:rPr>
          <w:i w:val="true"/>
        </w:rPr>
        <w:t xml:space="preserve">i</w:t>
      </w:r>
      <w:r>
        <w:rPr>
          <w:i w:val="true"/>
        </w:rPr>
        <w:t xml:space="preserve">o</w:t>
      </w:r>
      <w:r>
        <w:rPr>
          <w:i w:val="true"/>
        </w:rPr>
        <w:t xml:space="preserve">s</w:t>
      </w:r>
      <w:r>
        <w:rPr>
          <w:i w:val="true"/>
        </w:rPr>
        <w:t xml:space="preserve">a</w:t>
      </w:r>
      <w:r>
        <w:rPr>
          <w:i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</w:p>
    <w:p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/>
      </w:r>
    </w:p>
    <w:p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;</w:t>
      </w:r>
      <w:r>
        <w:rPr/>
        <w:t xml:space="preserve">“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</w:p>
    <w:p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„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¼</w:t>
      </w:r>
      <w:r>
        <w:rPr/>
        <w:t xml:space="preserve"/>
      </w:r>
    </w:p>
    <w:p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¼</w:t>
      </w:r>
      <w:r>
        <w:rPr/>
        <w:t xml:space="preserve"/>
      </w:r>
      <w:br/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9</w:t>
      </w:r>
      <w:r>
        <w:rPr/>
        <w:t xml:space="preserve">9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¾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