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cdfd01" w14:textId="35cdfd01">
      <w:pPr>
        <w15:collapsed w:val="false"/>
      </w:pP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-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ä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⸗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</w:p>
    <w:p>
      <w:r>
        <w:rPr>
          <w:b w:val="true"/>
        </w:rPr>
        <w:t xml:space="preserve">G</w:t>
      </w:r>
      <w:r>
        <w:rPr/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‚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‘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⸗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w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⸗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w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k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w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y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ä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C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⸗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‘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[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>
          <w:b w:val="true"/>
        </w:rPr>
        <w:t xml:space="preserve">‚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‘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(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‘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‘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‘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‚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‘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‘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—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‘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-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‘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)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‘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‘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‚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‘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,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‘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'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—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—</w:t>
      </w:r>
      <w:r>
        <w:rPr/>
        <w:t xml:space="preserve">5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</w:p>
    <w:p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5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‚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'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–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—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'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ë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—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/>
      </w:r>
    </w:p>
    <w:p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‚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x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‚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-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z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z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„</w:t>
      </w:r>
      <w:r>
        <w:rPr/>
        <w:t xml:space="preserve">1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2</w:t>
      </w:r>
      <w:r>
        <w:rPr>
          <w:b w:val="true"/>
        </w:rPr>
        <w:t xml:space="preserve">4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2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0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’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‘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’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’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!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’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5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0</w:t>
      </w:r>
      <w:r>
        <w:rPr/>
        <w:t xml:space="preserve">,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é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–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-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3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6</w:t>
      </w:r>
      <w:r>
        <w:rPr/>
        <w:t xml:space="preserve"/>
      </w:r>
    </w:p>
    <w:p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—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y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’</w:t>
      </w:r>
      <w:r>
        <w:rPr>
          <w:b w:val="true"/>
        </w:rP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0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k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,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—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n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/>
      </w:r>
      <w:br/>
      <w:r>
        <w:rPr/>
        <w:t xml:space="preserve">W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o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⁰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8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-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–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3</w:t>
      </w:r>
      <w:r>
        <w:rPr/>
        <w:t xml:space="preserve">,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—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0</w:t>
      </w:r>
      <w:r>
        <w:rPr/>
        <w:t xml:space="preserve">,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4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ü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â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’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‚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/>
      </w:r>
      <w:br/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’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(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‚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7</w:t>
      </w:r>
      <w:r>
        <w:rPr/>
        <w:t xml:space="preserve">7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ë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‚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‚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’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‚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‚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?</w:t>
      </w:r>
      <w:r>
        <w:rPr/>
        <w:t xml:space="preserve">.</w:t>
      </w:r>
      <w:r>
        <w:rPr/>
        <w:t xml:space="preserve"> </w:t>
      </w:r>
      <w:r>
        <w:rPr/>
        <w:t xml:space="preserve">?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7</w:t>
      </w:r>
      <w:r>
        <w:rPr/>
        <w:t xml:space="preserve">8</w:t>
      </w:r>
      <w:r>
        <w:rPr/>
        <w:t xml:space="preserve"/>
      </w:r>
    </w:p>
    <w:p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.</w:t>
      </w:r>
      <w:r>
        <w:rPr/>
        <w:t xml:space="preserve"> </w:t>
      </w:r>
      <w:r>
        <w:rPr/>
        <w:t xml:space="preserve">?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⸗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y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—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/>
        <w:t xml:space="preserve">7</w:t>
      </w:r>
      <w:r>
        <w:rPr/>
        <w:t xml:space="preserve">9</w:t>
      </w:r>
      <w:r>
        <w:rPr/>
        <w:t xml:space="preserve"/>
      </w:r>
    </w:p>
    <w:p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y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j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⸗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y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</w:p>
    <w:p>
      <w:r>
        <w:rPr/>
        <w:t xml:space="preserve">8</w:t>
      </w:r>
      <w:r>
        <w:rPr/>
        <w:t xml:space="preserve">0</w:t>
      </w:r>
      <w:r>
        <w:rPr/>
        <w:t xml:space="preserve"/>
      </w:r>
    </w:p>
    <w:p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—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</w:p>
    <w:p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’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>
          <w:b w:val="true"/>
        </w:rPr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k</w:t>
      </w:r>
      <w:r>
        <w:rPr/>
        <w:t xml:space="preserve">a</w:t>
      </w:r>
      <w:r>
        <w:rPr/>
        <w:t xml:space="preserve">b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‛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</w:p>
    <w:p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,</w:t>
      </w:r>
      <w:r>
        <w:rPr/>
        <w:t xml:space="preserve"/>
      </w:r>
      <w:br/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9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/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⸗</w:t>
      </w:r>
      <w:r>
        <w:rPr/>
        <w:t xml:space="preserve"/>
      </w:r>
    </w:p>
    <w:p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;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‚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k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y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2</w:t>
      </w:r>
      <w:r>
        <w:rPr/>
        <w:t xml:space="preserve">0</w:t>
      </w:r>
      <w:r>
        <w:rPr/>
        <w:t xml:space="preserve">–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⸗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-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è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ç</w:t>
      </w:r>
      <w:r>
        <w:rPr>
          <w:b w:val="true"/>
        </w:rPr>
        <w:t xml:space="preserve">a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—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â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6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—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vertAlign w:val="superscript"/>
        </w:rPr>
        <w:t xml:space="preserve">1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vertAlign w:val="superscript"/>
        </w:rPr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>
          <w:vertAlign w:val="superscript"/>
        </w:rPr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ä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ï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>
          <w:vertAlign w:val="superscript"/>
        </w:rPr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—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’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-</w:t>
      </w:r>
      <w:r>
        <w:rPr/>
        <w:t xml:space="preserve">d</w:t>
      </w:r>
      <w:r>
        <w:rPr/>
        <w:t xml:space="preserve">’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!</w:t>
      </w:r>
      <w:r>
        <w:rPr/>
        <w:t xml:space="preserve">’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’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‚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ä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”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’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⸗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ö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⸗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–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—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–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ö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-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-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/>
      </w:r>
    </w:p>
    <w:p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x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ó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é</w:t>
      </w:r>
      <w:r>
        <w:rPr>
          <w:b w:val="true"/>
        </w:rPr>
        <w:t xml:space="preserve">n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„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C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’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‚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‚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’</w:t>
      </w:r>
      <w:r>
        <w:rPr/>
        <w:t xml:space="preserve">!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y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’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⸗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(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á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’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6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‚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’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/>
      </w:r>
    </w:p>
    <w:p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9</w:t>
      </w:r>
      <w:r>
        <w:rPr/>
        <w:t xml:space="preserve">b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é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—</w:t>
      </w:r>
      <w:r>
        <w:rPr/>
        <w:t xml:space="preserve"> 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5</w:t>
      </w:r>
      <w:r>
        <w:rPr/>
        <w:t xml:space="preserve">–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–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/>
      </w:r>
    </w:p>
    <w:p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-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ë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y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ß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—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w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?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5</w:t>
      </w:r>
      <w:r>
        <w:rPr>
          <w:b w:val="true"/>
        </w:rPr>
        <w:t xml:space="preserve">0</w:t>
      </w:r>
      <w:r>
        <w:rPr>
          <w:b w:val="true"/>
        </w:rPr>
        <w:t xml:space="preserve">j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-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ö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;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8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7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—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⸗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</w:p>
    <w:p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»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«</w:t>
      </w:r>
      <w:r>
        <w:rPr/>
        <w:t xml:space="preserve">-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‚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‚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‚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’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’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‚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/>
      </w:r>
    </w:p>
    <w:p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’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’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’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‚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!</w:t>
      </w:r>
      <w:r>
        <w:rPr/>
        <w:t xml:space="preserve">’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’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’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’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0</w:t>
      </w:r>
      <w:r>
        <w:rPr/>
        <w:t xml:space="preserve">,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</w:p>
    <w:p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;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—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—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/>
      </w:r>
    </w:p>
    <w:p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’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’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‚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rPr/>
        <w:t xml:space="preserve">’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ä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Z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-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»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!</w:t>
      </w:r>
      <w:r>
        <w:rPr/>
        <w:t xml:space="preserve">’</w:t>
      </w:r>
      <w:r>
        <w:rPr/>
        <w:t xml:space="preserve"> </w:t>
      </w:r>
      <w:r>
        <w:rPr/>
        <w:t xml:space="preserve">‚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’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—</w:t>
      </w:r>
      <w:r>
        <w:rPr/>
        <w:t xml:space="preserve">V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–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–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»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«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–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é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l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y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–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–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–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—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—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–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W</w:t>
      </w:r>
      <w:r>
        <w:rPr>
          <w:b w:val="true"/>
        </w:rPr>
        <w:t xml:space="preserve">y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-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2</w:t>
      </w:r>
      <w:r>
        <w:rPr/>
        <w:t xml:space="preserve">–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y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0</w:t>
      </w:r>
      <w:r>
        <w:rPr/>
        <w:t xml:space="preserve">—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č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½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’</w:t>
      </w:r>
      <w:r>
        <w:rPr>
          <w:b w:val="true"/>
        </w:rP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</w:p>
    <w:p/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ß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’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rPr/>
        <w:t xml:space="preserve"/>
      </w:r>
      <w:br/>
      <w:r>
        <w:rPr/>
        <w:t xml:space="preserve">‚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‚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‚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3</w:t>
      </w:r>
      <w:r>
        <w:rPr/>
        <w:t xml:space="preserve">–</w:t>
      </w:r>
      <w:r>
        <w:rPr/>
        <w:t xml:space="preserve">7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⸗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é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o</w:t>
      </w:r>
      <w:r>
        <w:rPr>
          <w:b w:val="true"/>
        </w:rPr>
        <w:t xml:space="preserve">w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d</w:t>
      </w:r>
      <w:r>
        <w:rPr/>
        <w:t xml:space="preserve">l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b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3</w:t>
      </w:r>
      <w:r>
        <w:rPr/>
        <w:t xml:space="preserve">–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.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-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‚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’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é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–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)</w:t>
      </w:r>
      <w:r>
        <w:rPr/>
        <w:t xml:space="preserve"/>
      </w:r>
      <w:br/>
      <w:r>
        <w:rPr/>
        <w:t xml:space="preserve">L</w:t>
      </w:r>
      <w:r>
        <w:rPr/>
        <w:t xml:space="preserve">f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ö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=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0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&amp;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„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‚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8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