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711B" w14:textId="77777777" w:rsidR="002E06FD" w:rsidRDefault="00000000">
      <w:pPr>
        <w:pStyle w:val="af8"/>
        <w:spacing w:before="480" w:after="200" w:line="460" w:lineRule="exact"/>
      </w:pPr>
      <w:r>
        <w:rPr>
          <w:b/>
          <w:color w:val="000000"/>
          <w:sz w:val="32"/>
        </w:rPr>
        <w:t>基于颜色统计与方向梯度特征的图像无监督聚类比较研究</w:t>
      </w:r>
    </w:p>
    <w:p w14:paraId="631CF724" w14:textId="5BD0E7A0" w:rsidR="002E06FD" w:rsidRDefault="001F2710">
      <w:pPr>
        <w:spacing w:after="100"/>
      </w:pPr>
      <w:r w:rsidRPr="00F66BCB">
        <w:rPr>
          <w:rFonts w:ascii="仿宋_GB2312" w:eastAsia="仿宋_GB2312" w:hint="eastAsia"/>
          <w:color w:val="000000"/>
          <w:sz w:val="28"/>
          <w:szCs w:val="28"/>
        </w:rPr>
        <w:t>范绍博</w:t>
      </w:r>
      <w:r w:rsidR="00F66BCB" w:rsidRPr="001A5F60">
        <w:rPr>
          <w:rFonts w:ascii="仿宋_GB2312" w:eastAsia="仿宋_GB2312" w:hint="eastAsia"/>
          <w:color w:val="000000"/>
          <w:sz w:val="28"/>
          <w:szCs w:val="28"/>
          <w:vertAlign w:val="superscript"/>
        </w:rPr>
        <w:t>1</w:t>
      </w:r>
      <w:r>
        <w:rPr>
          <w:color w:val="000000"/>
          <w:sz w:val="28"/>
        </w:rPr>
        <w:t xml:space="preserve">   </w:t>
      </w:r>
      <w:r w:rsidRPr="00F66BCB">
        <w:rPr>
          <w:rFonts w:ascii="仿宋_GB2312" w:eastAsia="仿宋_GB2312" w:hint="eastAsia"/>
          <w:color w:val="000000"/>
          <w:sz w:val="28"/>
          <w:szCs w:val="28"/>
        </w:rPr>
        <w:t>李子恒</w:t>
      </w:r>
      <w:r w:rsidR="00F66BCB" w:rsidRPr="001A5F60">
        <w:rPr>
          <w:rFonts w:ascii="仿宋_GB2312" w:eastAsia="仿宋_GB2312" w:hint="eastAsia"/>
          <w:color w:val="000000"/>
          <w:sz w:val="28"/>
          <w:szCs w:val="28"/>
          <w:vertAlign w:val="superscript"/>
        </w:rPr>
        <w:t>1</w:t>
      </w:r>
      <w:r>
        <w:rPr>
          <w:color w:val="000000"/>
          <w:sz w:val="28"/>
        </w:rPr>
        <w:t xml:space="preserve">   </w:t>
      </w:r>
      <w:r w:rsidRPr="00F66BCB">
        <w:rPr>
          <w:rFonts w:ascii="仿宋_GB2312" w:eastAsia="仿宋_GB2312" w:hint="eastAsia"/>
          <w:color w:val="000000"/>
          <w:sz w:val="28"/>
          <w:szCs w:val="28"/>
        </w:rPr>
        <w:t>胡昱</w:t>
      </w:r>
      <w:r w:rsidR="00F66BCB" w:rsidRPr="00F66BCB">
        <w:rPr>
          <w:rFonts w:ascii="仿宋_GB2312" w:eastAsia="仿宋_GB2312" w:hint="eastAsia"/>
          <w:color w:val="000000"/>
          <w:sz w:val="28"/>
          <w:szCs w:val="28"/>
        </w:rPr>
        <w:t>纬</w:t>
      </w:r>
      <w:r w:rsidR="00F66BCB" w:rsidRPr="001A5F60">
        <w:rPr>
          <w:rFonts w:ascii="仿宋_GB2312" w:eastAsia="仿宋_GB2312" w:hint="eastAsia"/>
          <w:color w:val="000000"/>
          <w:sz w:val="28"/>
          <w:szCs w:val="28"/>
          <w:vertAlign w:val="superscript"/>
        </w:rPr>
        <w:t>1</w:t>
      </w:r>
      <w:r>
        <w:rPr>
          <w:color w:val="000000"/>
          <w:sz w:val="28"/>
        </w:rPr>
        <w:t xml:space="preserve">    </w:t>
      </w:r>
    </w:p>
    <w:p w14:paraId="69421437" w14:textId="2C460001" w:rsidR="002E06FD" w:rsidRDefault="00F66BCB" w:rsidP="005015C0">
      <w:pPr>
        <w:pStyle w:val="a3"/>
        <w:widowControl/>
        <w:spacing w:after="40" w:line="240" w:lineRule="exact"/>
        <w:ind w:firstLineChars="0" w:firstLine="0"/>
        <w:rPr>
          <w:color w:val="000000"/>
          <w:sz w:val="18"/>
        </w:rPr>
      </w:pPr>
      <w:r w:rsidRPr="00F66BCB">
        <w:rPr>
          <w:rFonts w:hint="eastAsia"/>
          <w:color w:val="000000"/>
          <w:sz w:val="18"/>
          <w:vertAlign w:val="superscript"/>
        </w:rPr>
        <w:t>1</w:t>
      </w:r>
      <w:r w:rsidRPr="00F66BCB">
        <w:rPr>
          <w:color w:val="000000"/>
          <w:sz w:val="18"/>
        </w:rPr>
        <w:t>（北京航空航天大学</w:t>
      </w:r>
      <w:r w:rsidRPr="00F66BCB">
        <w:rPr>
          <w:color w:val="000000"/>
          <w:sz w:val="18"/>
        </w:rPr>
        <w:t xml:space="preserve"> </w:t>
      </w:r>
      <w:r w:rsidRPr="00F66BCB">
        <w:rPr>
          <w:color w:val="000000"/>
          <w:sz w:val="18"/>
        </w:rPr>
        <w:t>北京</w:t>
      </w:r>
      <w:r w:rsidRPr="00F66BCB">
        <w:rPr>
          <w:color w:val="000000"/>
          <w:sz w:val="18"/>
        </w:rPr>
        <w:t xml:space="preserve"> 10006</w:t>
      </w:r>
      <w:r w:rsidRPr="00F66BCB">
        <w:rPr>
          <w:color w:val="000000"/>
          <w:sz w:val="18"/>
        </w:rPr>
        <w:t>）</w:t>
      </w:r>
    </w:p>
    <w:p w14:paraId="63650135" w14:textId="78D22910" w:rsidR="00F66BCB" w:rsidRDefault="00F66BCB" w:rsidP="005015C0">
      <w:pPr>
        <w:rPr>
          <w:color w:val="000000"/>
          <w:sz w:val="18"/>
        </w:rPr>
      </w:pPr>
      <w:r w:rsidRPr="00F66BCB">
        <w:rPr>
          <w:color w:val="000000"/>
          <w:sz w:val="18"/>
        </w:rPr>
        <w:t>（</w:t>
      </w:r>
      <w:hyperlink r:id="rId7" w:history="1">
        <w:r w:rsidRPr="005015C0">
          <w:rPr>
            <w:color w:val="000000"/>
            <w:sz w:val="18"/>
          </w:rPr>
          <w:t>24182105@buaa.edu.cn</w:t>
        </w:r>
      </w:hyperlink>
      <w:r w:rsidRPr="005015C0">
        <w:rPr>
          <w:color w:val="000000"/>
          <w:sz w:val="18"/>
        </w:rPr>
        <w:t>）</w:t>
      </w:r>
    </w:p>
    <w:p w14:paraId="20243467" w14:textId="77777777" w:rsidR="00F66BCB" w:rsidRPr="00F66BCB" w:rsidRDefault="00F66BCB" w:rsidP="00F66BCB">
      <w:pPr>
        <w:pStyle w:val="a3"/>
        <w:widowControl/>
        <w:spacing w:after="40" w:line="240" w:lineRule="exact"/>
        <w:ind w:firstLine="308"/>
        <w:rPr>
          <w:color w:val="000000"/>
          <w:sz w:val="18"/>
        </w:rPr>
      </w:pPr>
    </w:p>
    <w:p w14:paraId="7609AC5C" w14:textId="77777777" w:rsidR="002E06FD" w:rsidRDefault="00000000" w:rsidP="00F66BCB">
      <w:pPr>
        <w:pStyle w:val="4"/>
        <w:jc w:val="both"/>
        <w:rPr>
          <w:color w:val="000000"/>
          <w:sz w:val="28"/>
        </w:rPr>
      </w:pPr>
      <w:r>
        <w:rPr>
          <w:color w:val="000000"/>
          <w:sz w:val="28"/>
        </w:rPr>
        <w:t>A Comparative Study of Unsupervised Image Clustering Using Color Statistics and Histograms of Oriented Gradients</w:t>
      </w:r>
    </w:p>
    <w:p w14:paraId="10DED829" w14:textId="77777777" w:rsidR="00F66BCB" w:rsidRPr="007928E0" w:rsidRDefault="00F66BCB" w:rsidP="00F66BCB">
      <w:pPr>
        <w:rPr>
          <w:color w:val="000000"/>
        </w:rPr>
      </w:pPr>
    </w:p>
    <w:p w14:paraId="50174AD3" w14:textId="77777777" w:rsidR="00F66BCB" w:rsidRPr="007928E0" w:rsidRDefault="00F66BCB" w:rsidP="00F66BCB">
      <w:pPr>
        <w:rPr>
          <w:color w:val="000000"/>
        </w:rPr>
      </w:pPr>
      <w:r w:rsidRPr="007928E0">
        <w:rPr>
          <w:rFonts w:hint="eastAsia"/>
          <w:color w:val="000000"/>
        </w:rPr>
        <w:t>Fan Shaobo</w:t>
      </w:r>
      <w:proofErr w:type="gramStart"/>
      <w:r w:rsidRPr="007928E0">
        <w:rPr>
          <w:rFonts w:hint="eastAsia"/>
          <w:color w:val="000000"/>
          <w:vertAlign w:val="superscript"/>
        </w:rPr>
        <w:t xml:space="preserve">1 </w:t>
      </w:r>
      <w:r w:rsidRPr="007928E0">
        <w:rPr>
          <w:color w:val="000000"/>
        </w:rPr>
        <w:t>,</w:t>
      </w:r>
      <w:proofErr w:type="gramEnd"/>
      <w:r w:rsidRPr="007928E0">
        <w:rPr>
          <w:color w:val="000000"/>
        </w:rPr>
        <w:t xml:space="preserve"> </w:t>
      </w:r>
      <w:r w:rsidRPr="007928E0">
        <w:rPr>
          <w:rFonts w:hint="eastAsia"/>
          <w:color w:val="000000"/>
        </w:rPr>
        <w:t>Hu</w:t>
      </w:r>
      <w:r w:rsidRPr="007928E0">
        <w:rPr>
          <w:color w:val="000000"/>
        </w:rPr>
        <w:t xml:space="preserve"> </w:t>
      </w:r>
      <w:r w:rsidRPr="007928E0">
        <w:rPr>
          <w:rFonts w:hint="eastAsia"/>
          <w:color w:val="000000"/>
        </w:rPr>
        <w:t>Yuwei</w:t>
      </w:r>
      <w:proofErr w:type="gramStart"/>
      <w:r w:rsidRPr="007928E0">
        <w:rPr>
          <w:rFonts w:hint="eastAsia"/>
          <w:color w:val="000000"/>
          <w:vertAlign w:val="superscript"/>
        </w:rPr>
        <w:t xml:space="preserve">1 </w:t>
      </w:r>
      <w:r w:rsidRPr="007928E0">
        <w:rPr>
          <w:color w:val="000000"/>
        </w:rPr>
        <w:t>,</w:t>
      </w:r>
      <w:proofErr w:type="gramEnd"/>
      <w:r w:rsidRPr="007928E0">
        <w:rPr>
          <w:color w:val="000000"/>
        </w:rPr>
        <w:t xml:space="preserve"> and </w:t>
      </w:r>
      <w:r w:rsidRPr="007928E0">
        <w:rPr>
          <w:rFonts w:hint="eastAsia"/>
          <w:color w:val="000000"/>
        </w:rPr>
        <w:t>Li</w:t>
      </w:r>
      <w:r w:rsidRPr="007928E0">
        <w:rPr>
          <w:color w:val="000000"/>
        </w:rPr>
        <w:t xml:space="preserve"> </w:t>
      </w:r>
      <w:r w:rsidRPr="007928E0">
        <w:rPr>
          <w:rFonts w:hint="eastAsia"/>
          <w:color w:val="000000"/>
        </w:rPr>
        <w:t>Ziheng</w:t>
      </w:r>
      <w:r w:rsidRPr="007928E0">
        <w:rPr>
          <w:rFonts w:hint="eastAsia"/>
          <w:color w:val="000000"/>
          <w:vertAlign w:val="superscript"/>
        </w:rPr>
        <w:t>1</w:t>
      </w:r>
    </w:p>
    <w:p w14:paraId="289E67C1" w14:textId="77777777" w:rsidR="00F66BCB" w:rsidRPr="007928E0" w:rsidRDefault="00F66BCB" w:rsidP="00F66BCB">
      <w:pPr>
        <w:pStyle w:val="DepartCorrespond"/>
        <w:ind w:left="106" w:hanging="106"/>
        <w:rPr>
          <w:color w:val="000000"/>
          <w:sz w:val="18"/>
        </w:rPr>
      </w:pPr>
      <w:r w:rsidRPr="007928E0">
        <w:rPr>
          <w:rFonts w:hint="eastAsia"/>
          <w:color w:val="000000"/>
          <w:vertAlign w:val="superscript"/>
        </w:rPr>
        <w:t>1</w:t>
      </w:r>
      <w:r w:rsidRPr="007928E0">
        <w:rPr>
          <w:rFonts w:hint="eastAsia"/>
          <w:color w:val="000000"/>
          <w:sz w:val="18"/>
        </w:rPr>
        <w:t>（</w:t>
      </w:r>
      <w:proofErr w:type="spellStart"/>
      <w:r w:rsidRPr="007928E0">
        <w:rPr>
          <w:rFonts w:hint="eastAsia"/>
          <w:i/>
          <w:color w:val="000000"/>
          <w:sz w:val="18"/>
        </w:rPr>
        <w:t>Beihang</w:t>
      </w:r>
      <w:proofErr w:type="spellEnd"/>
      <w:r w:rsidRPr="007928E0">
        <w:rPr>
          <w:rFonts w:hint="eastAsia"/>
          <w:i/>
          <w:color w:val="000000"/>
          <w:sz w:val="18"/>
        </w:rPr>
        <w:t xml:space="preserve"> U</w:t>
      </w:r>
      <w:r w:rsidRPr="007928E0">
        <w:rPr>
          <w:i/>
          <w:color w:val="000000"/>
          <w:sz w:val="18"/>
        </w:rPr>
        <w:t>niversity</w:t>
      </w:r>
      <w:r w:rsidRPr="007928E0">
        <w:rPr>
          <w:rFonts w:hint="eastAsia"/>
          <w:color w:val="000000"/>
          <w:sz w:val="18"/>
        </w:rPr>
        <w:t xml:space="preserve">, </w:t>
      </w:r>
      <w:r w:rsidRPr="007928E0">
        <w:rPr>
          <w:rFonts w:hint="eastAsia"/>
          <w:i/>
          <w:color w:val="000000"/>
          <w:sz w:val="18"/>
        </w:rPr>
        <w:t>Beijing 10006</w:t>
      </w:r>
      <w:r w:rsidRPr="007928E0">
        <w:rPr>
          <w:rFonts w:hint="eastAsia"/>
          <w:color w:val="000000"/>
          <w:sz w:val="18"/>
        </w:rPr>
        <w:t>）</w:t>
      </w:r>
    </w:p>
    <w:p w14:paraId="6FC6BE8C" w14:textId="0B97A5C0" w:rsidR="00F66BCB" w:rsidRDefault="00F66BCB" w:rsidP="00F66BCB">
      <w:pPr>
        <w:pStyle w:val="a3"/>
        <w:widowControl/>
        <w:spacing w:before="140" w:line="312" w:lineRule="exact"/>
        <w:ind w:firstLineChars="0" w:firstLine="0"/>
        <w:rPr>
          <w:color w:val="000000"/>
        </w:rPr>
      </w:pPr>
      <w:r w:rsidRPr="007928E0">
        <w:rPr>
          <w:rFonts w:hint="eastAsia"/>
          <w:b/>
          <w:bCs/>
          <w:color w:val="000000"/>
          <w:szCs w:val="21"/>
        </w:rPr>
        <w:t>Abstract</w:t>
      </w:r>
      <w:r>
        <w:rPr>
          <w:color w:val="000000"/>
        </w:rPr>
        <w:t xml:space="preserve"> Feature representation determines which visual similarities can be recovered by an unsupervised clustering algorithm. This study compares two reproducible image clustering pipelines on a course dataset containing 600 images from six equally sized categories. The baseline represents each image by its mean red, green, and blue channel intensities. The second pipeline converts each image to grayscale, resizes it to 128 by 128 pixels, and extracts a 1764-dimensional histogram of oriented gradients descriptor. Both representations are clustered using the same K-Means configuration with six clusters, k-means++ initialization, and ten initialization attempts per random seed. Ground-truth category labels are loaded only after all clustering models have been fitted. Evaluation combines optimally matched clustering accuracy, the adjusted Rand index, normalized mutual information, and the silhouette coefficient. The primary experiment uses a fixed random seed of 42, and stability is examined using five predefined seeds. The mean-color baseline achieves an accuracy of 77.83 percent, whereas the HOG pipeline achieves 100.00 percent on the supplied images. The color baseline nevertheless has a higher silhouette coefficient, showing that geometric separation in a selected feature space does not necessarily recover semantic categories. The results support the suitability of the HOG pipeline for this dataset but do not isolate the effect of an individual preprocessing operation. Because no independent test set is used, these results describe the clustering of the supplied images and should not be interpreted as classification accuracy on unseen images.</w:t>
      </w:r>
    </w:p>
    <w:p w14:paraId="4C7F3369" w14:textId="77777777" w:rsidR="00335598" w:rsidRDefault="00335598" w:rsidP="00F66BCB">
      <w:pPr>
        <w:pStyle w:val="a3"/>
        <w:widowControl/>
        <w:spacing w:before="140" w:line="312" w:lineRule="exact"/>
        <w:ind w:firstLineChars="0" w:firstLine="0"/>
        <w:rPr>
          <w:color w:val="000000"/>
        </w:rPr>
      </w:pPr>
    </w:p>
    <w:p w14:paraId="4D0CE4A8" w14:textId="53E55013" w:rsidR="002E06FD" w:rsidRDefault="00F66BCB" w:rsidP="00F66BCB">
      <w:pPr>
        <w:pStyle w:val="a3"/>
        <w:widowControl/>
        <w:spacing w:before="60" w:line="312" w:lineRule="exact"/>
        <w:ind w:firstLineChars="0" w:firstLine="0"/>
        <w:rPr>
          <w:color w:val="000000"/>
        </w:rPr>
      </w:pPr>
      <w:r w:rsidRPr="007928E0">
        <w:rPr>
          <w:rFonts w:hint="eastAsia"/>
          <w:b/>
          <w:bCs/>
          <w:color w:val="000000"/>
          <w:szCs w:val="21"/>
        </w:rPr>
        <w:t>Key words</w:t>
      </w:r>
      <w:r>
        <w:rPr>
          <w:color w:val="000000"/>
        </w:rPr>
        <w:t xml:space="preserve"> unsupervised learning; image clustering; color statistics; histogram of oriented gradients; K-Means</w:t>
      </w:r>
    </w:p>
    <w:p w14:paraId="3BA299E7" w14:textId="77777777" w:rsidR="00335598" w:rsidRDefault="00335598" w:rsidP="00F66BCB">
      <w:pPr>
        <w:pStyle w:val="a3"/>
        <w:widowControl/>
        <w:spacing w:before="60" w:line="312" w:lineRule="exact"/>
        <w:ind w:firstLineChars="0" w:firstLine="0"/>
        <w:rPr>
          <w:color w:val="000000"/>
        </w:rPr>
      </w:pPr>
    </w:p>
    <w:p w14:paraId="02ACDDB9" w14:textId="32EA40FB" w:rsidR="002E06FD" w:rsidRDefault="00335598" w:rsidP="00335598">
      <w:pPr>
        <w:pStyle w:val="a3"/>
        <w:widowControl/>
        <w:spacing w:before="80" w:line="312" w:lineRule="exact"/>
        <w:ind w:firstLineChars="0" w:firstLine="0"/>
        <w:rPr>
          <w:rFonts w:eastAsia="楷体"/>
          <w:color w:val="000000"/>
        </w:rPr>
      </w:pPr>
      <w:proofErr w:type="gramStart"/>
      <w:r w:rsidRPr="009F1D09">
        <w:rPr>
          <w:rFonts w:eastAsia="黑体" w:hint="eastAsia"/>
          <w:color w:val="000000"/>
        </w:rPr>
        <w:t>摘要</w:t>
      </w:r>
      <w:r>
        <w:rPr>
          <w:rFonts w:eastAsia="楷体"/>
          <w:color w:val="000000"/>
        </w:rPr>
        <w:t xml:space="preserve">  </w:t>
      </w:r>
      <w:r>
        <w:rPr>
          <w:rFonts w:eastAsia="楷体"/>
          <w:color w:val="000000"/>
        </w:rPr>
        <w:t>针对课程提供的</w:t>
      </w:r>
      <w:proofErr w:type="gramEnd"/>
      <w:r>
        <w:rPr>
          <w:rFonts w:eastAsia="楷体"/>
          <w:color w:val="000000"/>
        </w:rPr>
        <w:t>600</w:t>
      </w:r>
      <w:r>
        <w:rPr>
          <w:rFonts w:eastAsia="楷体"/>
          <w:color w:val="000000"/>
        </w:rPr>
        <w:t>张、</w:t>
      </w:r>
      <w:r>
        <w:rPr>
          <w:rFonts w:eastAsia="楷体"/>
          <w:color w:val="000000"/>
        </w:rPr>
        <w:t>6</w:t>
      </w:r>
      <w:r>
        <w:rPr>
          <w:rFonts w:eastAsia="楷体"/>
          <w:color w:val="000000"/>
        </w:rPr>
        <w:t>个类别的图像，比较平均颜色统计与方向梯度直方图两种表示下的无监督聚类效果。基线方法以原始</w:t>
      </w:r>
      <w:r>
        <w:rPr>
          <w:rFonts w:eastAsia="楷体"/>
          <w:color w:val="000000"/>
        </w:rPr>
        <w:t>RGB</w:t>
      </w:r>
      <w:r>
        <w:rPr>
          <w:rFonts w:eastAsia="楷体"/>
          <w:color w:val="000000"/>
        </w:rPr>
        <w:t>三通道均值构造</w:t>
      </w:r>
      <w:r>
        <w:rPr>
          <w:rFonts w:eastAsia="楷体"/>
          <w:color w:val="000000"/>
        </w:rPr>
        <w:t>3</w:t>
      </w:r>
      <w:r>
        <w:rPr>
          <w:rFonts w:eastAsia="楷体"/>
          <w:color w:val="000000"/>
        </w:rPr>
        <w:t>维特征，主方法将图像转为</w:t>
      </w:r>
      <w:r>
        <w:rPr>
          <w:rFonts w:eastAsia="楷体"/>
          <w:color w:val="000000"/>
        </w:rPr>
        <w:t>128×128</w:t>
      </w:r>
      <w:r>
        <w:rPr>
          <w:rFonts w:eastAsia="楷体"/>
          <w:color w:val="000000"/>
        </w:rPr>
        <w:t>灰度图并提取</w:t>
      </w:r>
      <w:r>
        <w:rPr>
          <w:rFonts w:eastAsia="楷体"/>
          <w:color w:val="000000"/>
        </w:rPr>
        <w:t>1764</w:t>
      </w:r>
      <w:r>
        <w:rPr>
          <w:rFonts w:eastAsia="楷体"/>
          <w:color w:val="000000"/>
        </w:rPr>
        <w:t>维</w:t>
      </w:r>
      <w:r>
        <w:rPr>
          <w:rFonts w:eastAsia="楷体"/>
          <w:color w:val="000000"/>
        </w:rPr>
        <w:t>HOG</w:t>
      </w:r>
      <w:r>
        <w:rPr>
          <w:rFonts w:eastAsia="楷体"/>
          <w:color w:val="000000"/>
        </w:rPr>
        <w:t>特征。两种方法采用相同</w:t>
      </w:r>
      <w:r>
        <w:rPr>
          <w:rFonts w:eastAsia="楷体"/>
          <w:color w:val="000000"/>
        </w:rPr>
        <w:t>K-Means</w:t>
      </w:r>
      <w:r>
        <w:rPr>
          <w:rFonts w:eastAsia="楷体"/>
          <w:color w:val="000000"/>
        </w:rPr>
        <w:t>配置，训练完成后才读取真实类别，结合最佳一对一匹配准确率、调整兰德指数、归一化互信息和轮廓系数进行评价。主实验固定随机种子为</w:t>
      </w:r>
      <w:r>
        <w:rPr>
          <w:rFonts w:eastAsia="楷体"/>
          <w:color w:val="000000"/>
        </w:rPr>
        <w:t>42</w:t>
      </w:r>
      <w:r>
        <w:rPr>
          <w:rFonts w:eastAsia="楷体"/>
          <w:color w:val="000000"/>
        </w:rPr>
        <w:t>，并报告五个预设种子的重复结果。颜色方案的</w:t>
      </w:r>
      <w:r>
        <w:rPr>
          <w:rFonts w:eastAsia="楷体"/>
          <w:color w:val="000000"/>
        </w:rPr>
        <w:t>ACC</w:t>
      </w:r>
      <w:r>
        <w:rPr>
          <w:rFonts w:eastAsia="楷体"/>
          <w:color w:val="000000"/>
        </w:rPr>
        <w:t>为</w:t>
      </w:r>
      <w:r>
        <w:rPr>
          <w:rFonts w:eastAsia="楷体"/>
          <w:color w:val="000000"/>
        </w:rPr>
        <w:t>77.83%</w:t>
      </w:r>
      <w:r>
        <w:rPr>
          <w:rFonts w:eastAsia="楷体"/>
          <w:color w:val="000000"/>
        </w:rPr>
        <w:t>，</w:t>
      </w:r>
      <w:r>
        <w:rPr>
          <w:rFonts w:eastAsia="楷体"/>
          <w:color w:val="000000"/>
        </w:rPr>
        <w:t>HOG</w:t>
      </w:r>
      <w:r>
        <w:rPr>
          <w:rFonts w:eastAsia="楷体"/>
          <w:color w:val="000000"/>
        </w:rPr>
        <w:t>方案为</w:t>
      </w:r>
      <w:r>
        <w:rPr>
          <w:rFonts w:eastAsia="楷体"/>
          <w:color w:val="000000"/>
        </w:rPr>
        <w:t>100.00%</w:t>
      </w:r>
      <w:r>
        <w:rPr>
          <w:rFonts w:eastAsia="楷体"/>
          <w:color w:val="000000"/>
        </w:rPr>
        <w:t>，且两者在所列种子上的</w:t>
      </w:r>
      <w:r>
        <w:rPr>
          <w:rFonts w:eastAsia="楷体"/>
          <w:color w:val="000000"/>
        </w:rPr>
        <w:t>ACC</w:t>
      </w:r>
      <w:r>
        <w:rPr>
          <w:rFonts w:eastAsia="楷体"/>
          <w:color w:val="000000"/>
        </w:rPr>
        <w:t>均保持不变。颜色方案的轮廓系数较高而语义一致性较低，说明内部几何结构不能替代类别核对。结果支持</w:t>
      </w:r>
      <w:r>
        <w:rPr>
          <w:rFonts w:eastAsia="楷体"/>
          <w:color w:val="000000"/>
        </w:rPr>
        <w:t>HOG</w:t>
      </w:r>
      <w:r>
        <w:rPr>
          <w:rFonts w:eastAsia="楷体"/>
          <w:color w:val="000000"/>
        </w:rPr>
        <w:t>方案对当前数据的适用性，但未验证独立新样本上的泛化性能。</w:t>
      </w:r>
    </w:p>
    <w:p w14:paraId="0D99EA2B" w14:textId="77777777" w:rsidR="00335598" w:rsidRDefault="00335598" w:rsidP="00335598">
      <w:pPr>
        <w:pStyle w:val="a3"/>
        <w:widowControl/>
        <w:spacing w:before="80" w:line="312" w:lineRule="exact"/>
        <w:ind w:firstLineChars="0" w:firstLine="0"/>
        <w:rPr>
          <w:color w:val="000000"/>
        </w:rPr>
      </w:pPr>
    </w:p>
    <w:p w14:paraId="3CC2A9C5" w14:textId="77777777" w:rsidR="002E06FD" w:rsidRDefault="00000000" w:rsidP="00335598">
      <w:pPr>
        <w:pStyle w:val="a3"/>
        <w:widowControl/>
        <w:spacing w:line="312" w:lineRule="exact"/>
        <w:ind w:firstLineChars="0" w:firstLine="0"/>
        <w:rPr>
          <w:color w:val="000000"/>
        </w:rPr>
      </w:pPr>
      <w:proofErr w:type="gramStart"/>
      <w:r w:rsidRPr="00335598">
        <w:rPr>
          <w:rFonts w:eastAsia="黑体"/>
          <w:color w:val="000000"/>
        </w:rPr>
        <w:t>关键词</w:t>
      </w:r>
      <w:r>
        <w:rPr>
          <w:rFonts w:eastAsia="楷体"/>
          <w:color w:val="000000"/>
        </w:rPr>
        <w:t xml:space="preserve">  </w:t>
      </w:r>
      <w:r>
        <w:rPr>
          <w:rFonts w:eastAsia="楷体"/>
          <w:color w:val="000000"/>
        </w:rPr>
        <w:t>无监督学习</w:t>
      </w:r>
      <w:proofErr w:type="gramEnd"/>
      <w:r>
        <w:rPr>
          <w:rFonts w:eastAsia="楷体"/>
          <w:color w:val="000000"/>
        </w:rPr>
        <w:t>；图像聚类；颜色统计；方向梯度直方图；</w:t>
      </w:r>
      <w:r>
        <w:rPr>
          <w:rFonts w:eastAsia="楷体"/>
          <w:color w:val="000000"/>
        </w:rPr>
        <w:t>K-Means</w:t>
      </w:r>
    </w:p>
    <w:p w14:paraId="45ACB8AA" w14:textId="77777777" w:rsidR="002E06FD" w:rsidRDefault="002E06FD">
      <w:pPr>
        <w:sectPr w:rsidR="002E06FD">
          <w:headerReference w:type="even" r:id="rId8"/>
          <w:headerReference w:type="default" r:id="rId9"/>
          <w:footerReference w:type="even" r:id="rId10"/>
          <w:footerReference w:type="default" r:id="rId11"/>
          <w:headerReference w:type="first" r:id="rId12"/>
          <w:footerReference w:type="first" r:id="rId13"/>
          <w:pgSz w:w="11906" w:h="16838" w:code="9"/>
          <w:pgMar w:top="1021" w:right="964" w:bottom="851" w:left="964" w:header="851" w:footer="992" w:gutter="0"/>
          <w:cols w:space="425"/>
          <w:titlePg/>
          <w:docGrid w:type="linesAndChars" w:linePitch="312"/>
        </w:sectPr>
      </w:pPr>
    </w:p>
    <w:p w14:paraId="0E352814" w14:textId="77777777" w:rsidR="002E06FD" w:rsidRDefault="00000000">
      <w:pPr>
        <w:pStyle w:val="a3"/>
        <w:widowControl/>
        <w:spacing w:line="312" w:lineRule="exact"/>
        <w:rPr>
          <w:color w:val="000000"/>
        </w:rPr>
      </w:pPr>
      <w:r>
        <w:rPr>
          <w:color w:val="000000"/>
        </w:rPr>
        <w:lastRenderedPageBreak/>
        <w:t>图像聚类要求在不使用样本类别标注的条件下，根据视觉特征自动形成分组。对同一组图像，不同特征映射可能改变距离关系，使算法得到不同的类别结构。因而，评价图像聚类方案时，需要同时说明特征的定义、聚类目标与结果核对方式。</w:t>
      </w:r>
    </w:p>
    <w:p w14:paraId="284F4455" w14:textId="77777777" w:rsidR="002E06FD" w:rsidRDefault="00000000">
      <w:pPr>
        <w:pStyle w:val="a3"/>
        <w:widowControl/>
        <w:spacing w:line="312" w:lineRule="exact"/>
        <w:rPr>
          <w:color w:val="000000"/>
        </w:rPr>
      </w:pPr>
      <w:r>
        <w:rPr>
          <w:color w:val="000000"/>
        </w:rPr>
        <w:t>本实验使用课程数据</w:t>
      </w:r>
      <w:r>
        <w:rPr>
          <w:color w:val="000000"/>
        </w:rPr>
        <w:t>Cluster</w:t>
      </w:r>
      <w:r>
        <w:rPr>
          <w:color w:val="000000"/>
        </w:rPr>
        <w:t>，固定簇数为</w:t>
      </w:r>
      <w:r>
        <w:rPr>
          <w:color w:val="000000"/>
        </w:rPr>
        <w:t>6</w:t>
      </w:r>
      <w:r>
        <w:rPr>
          <w:color w:val="000000"/>
        </w:rPr>
        <w:t>，比较平均</w:t>
      </w:r>
      <w:r>
        <w:rPr>
          <w:color w:val="000000"/>
        </w:rPr>
        <w:t>RGB</w:t>
      </w:r>
      <w:r>
        <w:rPr>
          <w:color w:val="000000"/>
        </w:rPr>
        <w:t>统计与</w:t>
      </w:r>
      <w:r>
        <w:rPr>
          <w:color w:val="000000"/>
        </w:rPr>
        <w:t>HOG</w:t>
      </w:r>
      <w:r>
        <w:rPr>
          <w:color w:val="000000"/>
        </w:rPr>
        <w:t>两条处理流程。两种方法均采用</w:t>
      </w:r>
      <w:r>
        <w:rPr>
          <w:color w:val="000000"/>
        </w:rPr>
        <w:t>K-Means</w:t>
      </w:r>
      <w:r>
        <w:rPr>
          <w:color w:val="000000"/>
        </w:rPr>
        <w:t>的交替优化思想</w:t>
      </w:r>
      <w:r>
        <w:rPr>
          <w:color w:val="000000"/>
          <w:vertAlign w:val="superscript"/>
        </w:rPr>
        <w:t>[1]</w:t>
      </w:r>
      <w:r>
        <w:rPr>
          <w:color w:val="000000"/>
        </w:rPr>
        <w:t>；</w:t>
      </w:r>
      <w:r>
        <w:rPr>
          <w:color w:val="000000"/>
        </w:rPr>
        <w:t>HOG</w:t>
      </w:r>
      <w:r>
        <w:rPr>
          <w:color w:val="000000"/>
        </w:rPr>
        <w:t>依据局部梯度方向构造图像描述符</w:t>
      </w:r>
      <w:r>
        <w:rPr>
          <w:color w:val="000000"/>
          <w:vertAlign w:val="superscript"/>
        </w:rPr>
        <w:t>[2]</w:t>
      </w:r>
      <w:r>
        <w:rPr>
          <w:color w:val="000000"/>
        </w:rPr>
        <w:t>。实验重点是考察整体颜色与局部结构两种表示对当前语义类别划分的适用性，而非提出新的聚类算法。</w:t>
      </w:r>
    </w:p>
    <w:p w14:paraId="03FD4C25" w14:textId="77777777" w:rsidR="002E06FD" w:rsidRDefault="00000000">
      <w:pPr>
        <w:pStyle w:val="a3"/>
        <w:widowControl/>
        <w:spacing w:line="312" w:lineRule="exact"/>
        <w:rPr>
          <w:color w:val="000000"/>
        </w:rPr>
      </w:pPr>
      <w:r>
        <w:rPr>
          <w:color w:val="000000"/>
        </w:rPr>
        <w:t>本文依次给出问题形式化与公共协议，分别阐述两种方法的预处理、特征提取和训练过程，再统一报告外部评价、内部评价、类别混淆和随机初始化稳定性。代码、参数及逐张分组结果与报告中的数据对应。</w:t>
      </w:r>
    </w:p>
    <w:p w14:paraId="275EE40F"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t xml:space="preserve">1 </w:t>
      </w:r>
      <w:r>
        <w:rPr>
          <w:rFonts w:ascii="Times New Roman" w:hAnsi="Times New Roman"/>
          <w:color w:val="000000"/>
          <w:sz w:val="24"/>
        </w:rPr>
        <w:t>相关工作</w:t>
      </w:r>
    </w:p>
    <w:p w14:paraId="7E5FEB43" w14:textId="77777777" w:rsidR="002E06FD" w:rsidRDefault="00000000">
      <w:pPr>
        <w:pStyle w:val="a3"/>
        <w:widowControl/>
        <w:spacing w:line="312" w:lineRule="exact"/>
        <w:rPr>
          <w:color w:val="000000"/>
        </w:rPr>
      </w:pPr>
      <w:r>
        <w:rPr>
          <w:color w:val="000000"/>
        </w:rPr>
        <w:t>K-Means</w:t>
      </w:r>
      <w:r>
        <w:rPr>
          <w:color w:val="000000"/>
        </w:rPr>
        <w:t>将样本指派至最近中心，并以簇内均值更新中心，是适用于数值向量的常用聚类方法。其结果依赖特征空间中的欧氏距离，因此特征的尺度和表达能力会影响分组。本文采用</w:t>
      </w:r>
      <w:r>
        <w:rPr>
          <w:color w:val="000000"/>
        </w:rPr>
        <w:t>scikit-learn</w:t>
      </w:r>
      <w:r>
        <w:rPr>
          <w:color w:val="000000"/>
        </w:rPr>
        <w:t>实现，固定主要超参数，并通过多次初始化和固定种子的重复运行检查初始化影响</w:t>
      </w:r>
      <w:r>
        <w:rPr>
          <w:color w:val="000000"/>
          <w:vertAlign w:val="superscript"/>
        </w:rPr>
        <w:t>[3]</w:t>
      </w:r>
      <w:r>
        <w:rPr>
          <w:color w:val="000000"/>
        </w:rPr>
        <w:t>。</w:t>
      </w:r>
    </w:p>
    <w:p w14:paraId="40D1650C" w14:textId="77777777" w:rsidR="002E06FD" w:rsidRDefault="00000000">
      <w:pPr>
        <w:pStyle w:val="a3"/>
        <w:widowControl/>
        <w:spacing w:line="312" w:lineRule="exact"/>
        <w:rPr>
          <w:color w:val="000000"/>
        </w:rPr>
      </w:pPr>
      <w:r>
        <w:rPr>
          <w:color w:val="000000"/>
        </w:rPr>
        <w:t>全局颜色统计能够以低维向量概括图像，但空间位置在求均值时被消除。</w:t>
      </w:r>
      <w:r>
        <w:rPr>
          <w:color w:val="000000"/>
        </w:rPr>
        <w:t>HOG</w:t>
      </w:r>
      <w:r>
        <w:rPr>
          <w:color w:val="000000"/>
        </w:rPr>
        <w:t>通过局部方向统计与</w:t>
      </w:r>
      <w:r>
        <w:rPr>
          <w:color w:val="000000"/>
        </w:rPr>
        <w:t>块归一化保留更多结构信息；其原始研究面向目标检测，本文只将该描述符作为无监督聚类的输入，不使用原研究中的监督分类器</w:t>
      </w:r>
      <w:r>
        <w:rPr>
          <w:color w:val="000000"/>
          <w:vertAlign w:val="superscript"/>
        </w:rPr>
        <w:t>[2]</w:t>
      </w:r>
      <w:r>
        <w:rPr>
          <w:color w:val="000000"/>
        </w:rPr>
        <w:t>。两种表示构成同一聚类算法下的对照。</w:t>
      </w:r>
    </w:p>
    <w:p w14:paraId="3C1E5301"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t xml:space="preserve">2 </w:t>
      </w:r>
      <w:r>
        <w:rPr>
          <w:rFonts w:ascii="Times New Roman" w:hAnsi="Times New Roman"/>
          <w:color w:val="000000"/>
          <w:sz w:val="24"/>
        </w:rPr>
        <w:t>问题定义与公共实验协议</w:t>
      </w:r>
    </w:p>
    <w:p w14:paraId="72631870" w14:textId="77777777" w:rsidR="002E06FD" w:rsidRDefault="00000000">
      <w:pPr>
        <w:keepNext/>
        <w:spacing w:before="100" w:after="40" w:line="312" w:lineRule="exact"/>
        <w:jc w:val="left"/>
        <w:outlineLvl w:val="1"/>
        <w:rPr>
          <w:color w:val="000000"/>
        </w:rPr>
      </w:pPr>
      <w:r>
        <w:rPr>
          <w:rFonts w:eastAsia="黑体"/>
          <w:b/>
          <w:color w:val="000000"/>
        </w:rPr>
        <w:t xml:space="preserve">2.1 </w:t>
      </w:r>
      <w:r>
        <w:rPr>
          <w:rFonts w:eastAsia="黑体"/>
          <w:b/>
          <w:color w:val="000000"/>
        </w:rPr>
        <w:t>问题形式化</w:t>
      </w:r>
    </w:p>
    <w:p w14:paraId="5EAD810A" w14:textId="17C94173" w:rsidR="002E06FD" w:rsidRDefault="00000000">
      <w:pPr>
        <w:pStyle w:val="a3"/>
        <w:widowControl/>
        <w:spacing w:line="312" w:lineRule="exact"/>
        <w:rPr>
          <w:color w:val="000000"/>
        </w:rPr>
      </w:pPr>
      <w:r>
        <w:rPr>
          <w:color w:val="000000"/>
        </w:rPr>
        <w:t>设图像集合为</w:t>
      </w:r>
      <w:r w:rsidR="00335598" w:rsidRPr="00335598">
        <w:rPr>
          <w:color w:val="000000"/>
        </w:rPr>
        <w:fldChar w:fldCharType="begin"/>
      </w:r>
      <w:r w:rsidR="00335598" w:rsidRPr="00335598">
        <w:rPr>
          <w:color w:val="000000"/>
        </w:rPr>
        <w:instrText xml:space="preserve"> QUOTE </w:instrText>
      </w:r>
      <w:r w:rsidR="00716DB6">
        <w:rPr>
          <w:position w:val="-8"/>
        </w:rPr>
        <w:pict w14:anchorId="686B4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86783&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E86783&quot; wsp:rsidRDefault=&quot;00E86783&quot; wsp:rsidP=&quot;00E86783&quot;&gt;&lt;m:oMathPara&gt;&lt;m:oMath&gt;&lt;m:r&gt;&lt;m:rPr&gt;&lt;m:scr m:val=&quot;script&quot;/&gt;&lt;/m:rPr&gt;&lt;w:rPr&gt;&lt;w:rFonts w:ascii=&quot;Cambria Math&quot; w:h-ansi=&quot;Cambria Math&quot;/&gt;&lt;wx:font wx:val=&quot;Cambria Math&quot;/&gt;&lt;w:i/&gt;&lt;/w:rPr&gt;&lt;m:t&gt;I={&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鈥? &lt;/m:t&gt;&lt;/m:r&gt;&lt;m:sSub&gt;&lt;m:sSubPr&gt;&lt;m:ctrlPr&gt;&lt;w:rPr&gt;&lt;w:rFontnt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335598" w:rsidRPr="00335598">
        <w:rPr>
          <w:color w:val="000000"/>
        </w:rPr>
        <w:instrText xml:space="preserve"> </w:instrText>
      </w:r>
      <w:r w:rsidR="00335598" w:rsidRPr="00335598">
        <w:rPr>
          <w:color w:val="000000"/>
        </w:rPr>
        <w:fldChar w:fldCharType="separate"/>
      </w:r>
      <w:r w:rsidR="00716DB6">
        <w:rPr>
          <w:position w:val="-8"/>
        </w:rPr>
        <w:pict w14:anchorId="5711E38F">
          <v:shape id="_x0000_i1026" type="#_x0000_t75" style="width:61.9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86783&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E86783&quot; wsp:rsidRDefault=&quot;00E86783&quot; wsp:rsidP=&quot;00E86783&quot;&gt;&lt;m:oMathPara&gt;&lt;m:oMath&gt;&lt;m:r&gt;&lt;m:rPr&gt;&lt;m:scr m:val=&quot;script&quot;/&gt;&lt;/m:rPr&gt;&lt;w:rPr&gt;&lt;w:rFonts w:ascii=&quot;Cambria Math&quot; w:h-ansi=&quot;Cambria Math&quot;/&gt;&lt;wx:font wx:val=&quot;Cambria Math&quot;/&gt;&lt;w:i/&gt;&lt;/w:rPr&gt;&lt;m:t&gt;I={&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鈥? &lt;/m:t&gt;&lt;/m:r&gt;&lt;m:sSub&gt;&lt;m:sSubPr&gt;&lt;m:ctrlPr&gt;&lt;w:rPr&gt;&lt;w:rFontnt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00335598" w:rsidRPr="00335598">
        <w:rPr>
          <w:color w:val="000000"/>
        </w:rPr>
        <w:fldChar w:fldCharType="end"/>
      </w:r>
      <w:r>
        <w:rPr>
          <w:color w:val="000000"/>
        </w:rPr>
        <w:t>，</w:t>
      </w:r>
      <w:r>
        <w:rPr>
          <w:color w:val="000000"/>
        </w:rPr>
        <w:t>N=600</w:t>
      </w:r>
      <w:r>
        <w:rPr>
          <w:color w:val="000000"/>
        </w:rPr>
        <w:t>。方法</w:t>
      </w:r>
      <w:r>
        <w:rPr>
          <w:color w:val="000000"/>
        </w:rPr>
        <w:t>m</w:t>
      </w:r>
      <w:r>
        <w:rPr>
          <w:color w:val="000000"/>
        </w:rPr>
        <w:t>将图像映射为特征向量</w:t>
      </w:r>
      <w:r w:rsidR="00335598" w:rsidRPr="00335598">
        <w:rPr>
          <w:color w:val="000000"/>
        </w:rPr>
        <w:fldChar w:fldCharType="begin"/>
      </w:r>
      <w:r w:rsidR="00335598" w:rsidRPr="00335598">
        <w:rPr>
          <w:color w:val="000000"/>
        </w:rPr>
        <w:instrText xml:space="preserve"> QUOTE </w:instrText>
      </w:r>
      <w:r w:rsidR="00716DB6">
        <w:rPr>
          <w:position w:val="-7"/>
        </w:rPr>
        <w:pict w14:anchorId="527A4770">
          <v:shape id="_x0000_i1027" type="#_x0000_t75" style="width:22.9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17D1C&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117D1C&quot; wsp:rsidRDefault=&quot;00117D1C&quot; wsp:rsidP=&quot;00117D1C&quot;&gt;&lt;m:oMathPara&gt;&lt;m:oMath&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x&lt;/m:t&gt;&lt;/m:r&gt;&lt;/m:e&gt;&lt;m:sub&gt;&lt;m:r&gt;&lt;w:rPr&gt;&lt;w:rFonts w:ascii=&quot;Cambria Math&quot; w:h-ansi=&quot;Cambria Math&quot;/&gt;&lt;wx:font wx:val=&quot;Cambria Math&quot;/&gt;&lt;w:i/&gt;&lt;/w:rPr&gt;&lt;m:t&gt;i&lt;/m:t&gt;&lt;/m:r&gt;&lt;/m:sub&gt;&lt;/m:sSub&gt;&lt;/m:e&gt;&lt;m:sup&gt;&lt;m:r&gt;&lt;w:rPr&gt;&lt;w:rFonts w:ascii=&quot;Cambria Math&quot; w:h-ansi=&quot;Cambria Math&quot;/&gt;&lt;wx:font wx:val=&quot;Cambria Math&quot;/&gt;&lt;w:i/&gt;&lt;/w:rPr&gt;&lt;m:t&gt;(m)&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335598" w:rsidRPr="00335598">
        <w:rPr>
          <w:color w:val="000000"/>
        </w:rPr>
        <w:instrText xml:space="preserve"> </w:instrText>
      </w:r>
      <w:r w:rsidR="00335598" w:rsidRPr="00335598">
        <w:rPr>
          <w:color w:val="000000"/>
        </w:rPr>
        <w:fldChar w:fldCharType="separate"/>
      </w:r>
      <w:r w:rsidR="00716DB6">
        <w:rPr>
          <w:position w:val="-7"/>
        </w:rPr>
        <w:pict w14:anchorId="56DF26A3">
          <v:shape id="_x0000_i1028" type="#_x0000_t75" style="width:22.9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17D1C&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117D1C&quot; wsp:rsidRDefault=&quot;00117D1C&quot; wsp:rsidP=&quot;00117D1C&quot;&gt;&lt;m:oMathPara&gt;&lt;m:oMath&gt;&lt;m:sSup&gt;&lt;m:sSupPr&gt;&lt;m:ctrlPr&gt;&lt;w:rPr&gt;&lt;w:rFonts w:ascii=&quot;Cambria Math&quot; w:h-ansi=&quot;Cambria Math&quot;/&gt;&lt;wx:font wx:val=&quot;Cambria Math&quot;/&gt;&lt;/w:rPr&gt;&lt;/m:ctrlPr&gt;&lt;/m:sSupPr&gt;&lt;m:e&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x&lt;/m:t&gt;&lt;/m:r&gt;&lt;/m:e&gt;&lt;m:sub&gt;&lt;m:r&gt;&lt;w:rPr&gt;&lt;w:rFonts w:ascii=&quot;Cambria Math&quot; w:h-ansi=&quot;Cambria Math&quot;/&gt;&lt;wx:font wx:val=&quot;Cambria Math&quot;/&gt;&lt;w:i/&gt;&lt;/w:rPr&gt;&lt;m:t&gt;i&lt;/m:t&gt;&lt;/m:r&gt;&lt;/m:sub&gt;&lt;/m:sSub&gt;&lt;/m:e&gt;&lt;m:sup&gt;&lt;m:r&gt;&lt;w:rPr&gt;&lt;w:rFonts w:ascii=&quot;Cambria Math&quot; w:h-ansi=&quot;Cambria Math&quot;/&gt;&lt;wx:font wx:val=&quot;Cambria Math&quot;/&gt;&lt;w:i/&gt;&lt;/w:rPr&gt;&lt;m:t&gt;(m)&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00335598" w:rsidRPr="00335598">
        <w:rPr>
          <w:color w:val="000000"/>
        </w:rPr>
        <w:fldChar w:fldCharType="end"/>
      </w:r>
      <w:r>
        <w:rPr>
          <w:color w:val="000000"/>
        </w:rPr>
        <w:t>，组成特征矩阵</w:t>
      </w:r>
      <w:r w:rsidR="00335598" w:rsidRPr="00335598">
        <w:rPr>
          <w:color w:val="000000"/>
        </w:rPr>
        <w:fldChar w:fldCharType="begin"/>
      </w:r>
      <w:r w:rsidR="00335598" w:rsidRPr="00335598">
        <w:rPr>
          <w:color w:val="000000"/>
        </w:rPr>
        <w:instrText xml:space="preserve"> QUOTE </w:instrText>
      </w:r>
      <w:r w:rsidR="00716DB6">
        <w:rPr>
          <w:position w:val="-7"/>
        </w:rPr>
        <w:pict w14:anchorId="1611B3F1">
          <v:shape id="_x0000_i1029" type="#_x0000_t75" style="width:21.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31C64&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731C64&quot; wsp:rsidRDefault=&quot;00731C64&quot; wsp:rsidP=&quot;00731C64&quot;&gt;&lt;m:oMathPara&gt;&lt;m:oMath&gt;&lt;m:sSup&gt;&lt;m:sSupPr&gt;&lt;m:ctrlPr&gt;&lt;w:rPr&gt;&lt;w:rFonts w:ascii=&quot;Cambria Math&quot; w:h-ansi=&quot;Cambria Math&quot;/&gt;&lt;wx:font wx:val=&quot;Cambria Math&quot;/&gt;&lt;/w:rPr&gt;&lt;/m:ctrlPr&gt;&lt;/m:sSupPr&gt;&lt;m:e&gt;&lt;m:r&gt;&lt;m:rPr&gt;&lt;m:sty m:val=&quot;bi&quot;/&gt;&lt;/m:rPr&gt;&lt;w:rPr&gt;&lt;w:rFonts w:ascii=&quot;Cambria Math&quot; w:h-ansi=&quot;Cambria Math&quot;/&gt;&lt;wx:font wx:val=&quot;Cambria Math&quot;/&gt;&lt;w:b/&gt;&lt;w:i/&gt;&lt;/w:rPr&gt;&lt;m:t&gt;X&lt;/m:t&gt;&lt;/m:r&gt;&lt;/m:e&gt;&lt;m:sup&gt;&lt;m:r&gt;&lt;w:rPr&gt;&lt;w:rFonts w:ascii=&quot;Cambria Math&quot; w:h-ansi=&quot;Cambria Math&quot;/&gt;&lt;wx:font wx:val=&quot;Cambria Math&quot;/&gt;&lt;w:i/&gt;&lt;/w:rPr&gt;&lt;m:t&gt;(m)&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00335598" w:rsidRPr="00335598">
        <w:rPr>
          <w:color w:val="000000"/>
        </w:rPr>
        <w:instrText xml:space="preserve"> </w:instrText>
      </w:r>
      <w:r w:rsidR="00335598" w:rsidRPr="00335598">
        <w:rPr>
          <w:color w:val="000000"/>
        </w:rPr>
        <w:fldChar w:fldCharType="separate"/>
      </w:r>
      <w:r w:rsidR="00716DB6">
        <w:rPr>
          <w:position w:val="-7"/>
        </w:rPr>
        <w:pict w14:anchorId="1C5D6607">
          <v:shape id="_x0000_i1030" type="#_x0000_t75" style="width:21.2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31C64&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731C64&quot; wsp:rsidRDefault=&quot;00731C64&quot; wsp:rsidP=&quot;00731C64&quot;&gt;&lt;m:oMathPara&gt;&lt;m:oMath&gt;&lt;m:sSup&gt;&lt;m:sSupPr&gt;&lt;m:ctrlPr&gt;&lt;w:rPr&gt;&lt;w:rFonts w:ascii=&quot;Cambria Math&quot; w:h-ansi=&quot;Cambria Math&quot;/&gt;&lt;wx:font wx:val=&quot;Cambria Math&quot;/&gt;&lt;/w:rPr&gt;&lt;/m:ctrlPr&gt;&lt;/m:sSupPr&gt;&lt;m:e&gt;&lt;m:r&gt;&lt;m:rPr&gt;&lt;m:sty m:val=&quot;bi&quot;/&gt;&lt;/m:rPr&gt;&lt;w:rPr&gt;&lt;w:rFonts w:ascii=&quot;Cambria Math&quot; w:h-ansi=&quot;Cambria Math&quot;/&gt;&lt;wx:font wx:val=&quot;Cambria Math&quot;/&gt;&lt;w:b/&gt;&lt;w:i/&gt;&lt;/w:rPr&gt;&lt;m:t&gt;X&lt;/m:t&gt;&lt;/m:r&gt;&lt;/m:e&gt;&lt;m:sup&gt;&lt;m:r&gt;&lt;w:rPr&gt;&lt;w:rFonts w:ascii=&quot;Cambria Math&quot; w:h-ansi=&quot;Cambria Math&quot;/&gt;&lt;wx:font wx:val=&quot;Cambria Math&quot;/&gt;&lt;w:i/&gt;&lt;/w:rPr&gt;&lt;m:t&gt;(m)&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00335598" w:rsidRPr="00335598">
        <w:rPr>
          <w:color w:val="000000"/>
        </w:rPr>
        <w:fldChar w:fldCharType="end"/>
      </w:r>
      <w:r>
        <w:rPr>
          <w:color w:val="000000"/>
        </w:rPr>
        <w:t>。给定</w:t>
      </w:r>
      <w:r>
        <w:rPr>
          <w:color w:val="000000"/>
        </w:rPr>
        <w:t>K=6</w:t>
      </w:r>
      <w:r>
        <w:rPr>
          <w:color w:val="000000"/>
        </w:rPr>
        <w:t>，求取簇编号</w:t>
      </w:r>
      <w:r w:rsidR="00335598" w:rsidRPr="00335598">
        <w:rPr>
          <w:color w:val="000000"/>
        </w:rPr>
        <w:fldChar w:fldCharType="begin"/>
      </w:r>
      <w:r w:rsidR="00335598" w:rsidRPr="00335598">
        <w:rPr>
          <w:color w:val="000000"/>
        </w:rPr>
        <w:instrText xml:space="preserve"> QUOTE </w:instrText>
      </w:r>
      <w:r w:rsidR="00716DB6">
        <w:rPr>
          <w:position w:val="-8"/>
        </w:rPr>
        <w:pict w14:anchorId="1C412107">
          <v:shape id="_x0000_i1031" type="#_x0000_t75" style="width:7.8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23F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C23F1&quot; wsp:rsidRDefault=&quot;00CC23F1&quot; wsp:rsidP=&quot;00CC23F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335598" w:rsidRPr="00335598">
        <w:rPr>
          <w:color w:val="000000"/>
        </w:rPr>
        <w:instrText xml:space="preserve"> </w:instrText>
      </w:r>
      <w:r w:rsidR="00335598" w:rsidRPr="00335598">
        <w:rPr>
          <w:color w:val="000000"/>
        </w:rPr>
        <w:fldChar w:fldCharType="separate"/>
      </w:r>
      <w:r w:rsidR="00716DB6">
        <w:rPr>
          <w:position w:val="-8"/>
        </w:rPr>
        <w:pict w14:anchorId="0A83E9E6">
          <v:shape id="_x0000_i1032" type="#_x0000_t75" style="width:7.8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23F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C23F1&quot; wsp:rsidRDefault=&quot;00CC23F1&quot; wsp:rsidP=&quot;00CC23F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00335598" w:rsidRPr="00335598">
        <w:rPr>
          <w:color w:val="000000"/>
        </w:rPr>
        <w:fldChar w:fldCharType="end"/>
      </w:r>
      <w:r>
        <w:rPr>
          <w:color w:val="000000"/>
        </w:rPr>
        <w:t>和中心</w:t>
      </w:r>
      <w:r w:rsidR="00335598" w:rsidRPr="00335598">
        <w:rPr>
          <w:color w:val="000000"/>
        </w:rPr>
        <w:fldChar w:fldCharType="begin"/>
      </w:r>
      <w:r w:rsidR="00335598" w:rsidRPr="00335598">
        <w:rPr>
          <w:color w:val="000000"/>
        </w:rPr>
        <w:instrText xml:space="preserve"> QUOTE </w:instrText>
      </w:r>
      <w:r w:rsidR="00716DB6">
        <w:rPr>
          <w:position w:val="-8"/>
        </w:rPr>
        <w:pict w14:anchorId="25CE0B9E">
          <v:shape id="_x0000_i1033" type="#_x0000_t75" style="width:12.3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DF7662&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DF7662&quot; wsp:rsidRDefault=&quot;00DF7662&quot; wsp:rsidP=&quot;00DF7662&quot;&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渭&lt;/m:t&gt;&lt;/m:r&gt;&lt;/m:e&gt;&lt;m:sub&gt;&lt;m:r&gt;&lt;w:rPr&gt;&lt;w:rFonts w:ascii=&quot;Cambria Math&quot; w:h-ansi=&quot;Cambria Math&quot;/&gt;&lt;wx:font wx:val=&quot;Cambria Math&quot;/&gt;&lt;w:i/&gt;&lt;/w:rPr&gt;&lt;m:t&gt;k&lt;/m:t&gt;&lt;/m:r&gt;&lt;/m:sub&gt;&lt;/m:sSub&gt;&lt;/m:oMath&gt;&lt;/m:oMathPara&gt;&lt;/w:p&gt;&lt;w:sectPr wsp:rsidR=&quot;00000000&quot;ww&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00335598" w:rsidRPr="00335598">
        <w:rPr>
          <w:color w:val="000000"/>
        </w:rPr>
        <w:instrText xml:space="preserve"> </w:instrText>
      </w:r>
      <w:r w:rsidR="00335598" w:rsidRPr="00335598">
        <w:rPr>
          <w:color w:val="000000"/>
        </w:rPr>
        <w:fldChar w:fldCharType="separate"/>
      </w:r>
      <w:r w:rsidR="00716DB6">
        <w:rPr>
          <w:position w:val="-8"/>
        </w:rPr>
        <w:pict w14:anchorId="125D13B2">
          <v:shape id="_x0000_i1034" type="#_x0000_t75" style="width:12.3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DF7662&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DF7662&quot; wsp:rsidRDefault=&quot;00DF7662&quot; wsp:rsidP=&quot;00DF7662&quot;&gt;&lt;m:oMathPara&gt;&lt;m:oMath&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rPr&gt;&lt;m:t&gt;渭&lt;/m:t&gt;&lt;/m:r&gt;&lt;/m:e&gt;&lt;m:sub&gt;&lt;m:r&gt;&lt;w:rPr&gt;&lt;w:rFonts w:ascii=&quot;Cambria Math&quot; w:h-ansi=&quot;Cambria Math&quot;/&gt;&lt;wx:font wx:val=&quot;Cambria Math&quot;/&gt;&lt;w:i/&gt;&lt;/w:rPr&gt;&lt;m:t&gt;k&lt;/m:t&gt;&lt;/m:r&gt;&lt;/m:sub&gt;&lt;/m:sSub&gt;&lt;/m:oMath&gt;&lt;/m:oMathPara&gt;&lt;/w:p&gt;&lt;w:sectPr wsp:rsidR=&quot;00000000&quot;ww&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00335598" w:rsidRPr="00335598">
        <w:rPr>
          <w:color w:val="000000"/>
        </w:rPr>
        <w:fldChar w:fldCharType="end"/>
      </w:r>
      <w:r>
        <w:rPr>
          <w:color w:val="000000"/>
        </w:rPr>
        <w:t>，使式</w:t>
      </w:r>
      <w:proofErr w:type="gramStart"/>
      <w:r>
        <w:rPr>
          <w:color w:val="000000"/>
        </w:rPr>
        <w:t>(1)</w:t>
      </w:r>
      <w:proofErr w:type="gramEnd"/>
      <w:r>
        <w:rPr>
          <w:color w:val="000000"/>
        </w:rPr>
        <w:t>中的组内平方距离和最小。簇编号不预先绑定类别名称，也不强制各簇恰有</w:t>
      </w:r>
      <w:r>
        <w:rPr>
          <w:color w:val="000000"/>
        </w:rPr>
        <w:t>100</w:t>
      </w:r>
      <w:r>
        <w:rPr>
          <w:color w:val="000000"/>
        </w:rPr>
        <w:t>个样本。</w:t>
      </w:r>
    </w:p>
    <w:p w14:paraId="413C3C51" w14:textId="40080BA6" w:rsidR="002E06FD" w:rsidRDefault="00335598">
      <w:pPr>
        <w:spacing w:before="80" w:after="80"/>
        <w:jc w:val="center"/>
      </w:pPr>
      <w:r w:rsidRPr="00335598">
        <w:rPr>
          <w:color w:val="000000"/>
          <w:sz w:val="18"/>
        </w:rPr>
        <w:fldChar w:fldCharType="begin"/>
      </w:r>
      <w:r w:rsidRPr="00335598">
        <w:rPr>
          <w:color w:val="000000"/>
          <w:sz w:val="18"/>
        </w:rPr>
        <w:instrText xml:space="preserve"> QUOTE </w:instrText>
      </w:r>
      <w:r w:rsidR="00716DB6">
        <w:rPr>
          <w:position w:val="-10"/>
        </w:rPr>
        <w:pict w14:anchorId="24E74BE0">
          <v:shape id="_x0000_i1035" type="#_x0000_t75" style="width:8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1DAB&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E11DAB&quot; wsp:rsidRDefault=&quot;00E11DAB&quot; wsp:rsidP=&quot;00E11DAB&quot;&gt;&lt;m:oMathPara&gt;&lt;m:oMath&gt;&lt;m:r&gt;&lt;w:rPr&gt;&lt;w:rFonts w:ascii=&quot;Cambria Math&quot; w:h-ansi=&quot;Cambria Math&quot;/&gt;&lt;wx:font wx:val=&quot;Cambria Math&quot;/&gt;&lt;w:i/&gt;&lt;w:sz w:val=&quot;19&quot;/&gt;&lt;/w:rPr&gt;&lt;m:t&gt;J=&lt;/m:t&gt;&lt;/m:r&gt;&lt;m:nary&gt;&lt;m:naryPr&gt;&lt;m:chr m:val=&quot;鈭?/&gt;&lt;m:limLoc m:val=&quot;subSup&quot;/&gt;&lt;m:ctrlPr&gt;&lt;w:rPr&gt;&lt;w:rFonts w:ascii=&quot;Cambria Math&quot; w:h-ansi=&quot;Cambria Math&quot;/&gt;&lt;wx:font wx:h--val=&quot;Cambria Math&quot;/&gt;&lt;/w:rPr&gt;&lt;/m:ctrlPr&gt;&lt;/m:naryPr&gt;&lt;m:sub&gt;&lt;m:r&gt;&lt;w:rPr&gt;&lt;w:rFonts w:ascii=&quot;Cambria Math&quot; w:h-ansi=&quot;Cambria Math&quot;/&gt;&lt;wx:font wx:val=&quot;Cambria Math&quot;/&gt;&lt;w:i/&gt;&lt;w:sz w:val=&quot;19&quot;/&gt;&lt;/w:rPr&gt;&lt;m:t&gt;i=1&lt;/m:t&gt;&lt;/m:r&gt;&lt;/m:sub&gt;&lt;m:sup&gt;&lt;m:r&gt;&lt;w:rPr&gt;&lt;w:rFonts w:ascii=&quot;Cambria Math&quot; w:h-ansi=&quot;Cambria Math&quot;/&gt;&lt;wx:font wx:val=&quot;Cambria Math&quot;/&gt;&lt;w:i/&gt;&lt;w:sz w:val=&quot;19&quot;/&gt;&lt;/w:rPr&gt;&lt;m:t&gt;N&lt;/m:t&gt;&lt;/m:r&gt;&lt;/m:sup&gt;&lt;m:e&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sz w:val=&quot;19&quot;/&gt;&lt;/w:rPr&gt;&lt;m:t&gt;鈥?/m:t&gt;&lt;/m:r&gt;&lt;m:sSub&gt;&lt;m:sSubPr&gt;&lt;m:ctrlPr&gt;&lt;w:rPr&gt;&lt;w:rFonts w:ascii=&quot;Cambri  M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sz w:val=&quot;19&quot;/&gt;&lt;/w:rPr&gt;&lt;m:t&gt;x&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lt;/m:t&gt;&lt;/m:r&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sz w:val=&quot;19&quot;/&gt;&lt;/w:rPr&gt;&lt;m:t&gt;渭&lt;/m:t&gt;&lt;/m:r&gt;&lt;/m:e&gt;&lt;m:sub&gt;&lt;m:sSub&gt;&lt;m:sSubPr&gt;&lt;m:ctrlP:r&gt;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z&lt;/m:t&gt;&lt;/m:r&gt;&lt;/m:e&gt;&lt;m:sub&gt;&lt;m:r&gt;&lt;w:rPr&gt;&lt;w:rFonts w:ascii=&quot;Cambria Math&quot; w:h-ansi=&quot;Cambria Math&quot;/&gt;&lt;wx:font wx:val=&quot;Cambria Math&quot;/&gt;&lt;w:i/&gt;&lt;w:sz w:val=&quot;19&quot;/&gt;&lt;/w:rPr&gt;&lt;m:t&gt;i&lt;/m:t&gt;&lt;/m:r&gt;&lt;/m:sub&gt;&lt;/m:sSub&gt;&lt;/m:sub&gt;&lt;/m:sSub&gt;&lt;m:r&gt;&lt;w:rPr&gt;&lt;w:rFonts w:ascii=&quot;Cambria Math&quot; w:h-ansi=&quot;Cambria Math&quot;/&gt;&lt;wx:font wx:val=&quot;Cambria Math&quot;/&gt;&lt;w:i/&gt;&lt;w:sz w:val=&quot;19&quot;/&gt;&lt;/w:rPr&gt;&lt;m:t&gt;鈥?/m:t&gt;&lt;/m:r&gt;&lt;/m:e&gt;&lt;m:sup&gt;&lt;m:r&gt;&lt;w:rPr&gt;&lt;w:rFonts w:ascii=&quot;Cambria Math&quot; w:h-ansi=&quot;Cambria Math&quot;/&gt;&lt;wx:font wx:val=&quot;Cambria Math&quot;/&gt;&lt;w:i/&gt;&lt;w:sz: wsc:val=&quot;19&quot;/&gt;&lt;/w:rPr&gt;&lt;m:t&gt;2&lt;/m:t&gt;&lt;/m:r&gt;&lt;/m:sup&gt;&lt;/m:sSup&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335598">
        <w:rPr>
          <w:color w:val="000000"/>
          <w:sz w:val="18"/>
        </w:rPr>
        <w:instrText xml:space="preserve"> </w:instrText>
      </w:r>
      <w:r w:rsidRPr="00335598">
        <w:rPr>
          <w:color w:val="000000"/>
          <w:sz w:val="18"/>
        </w:rPr>
        <w:fldChar w:fldCharType="separate"/>
      </w:r>
      <w:r w:rsidR="00716DB6">
        <w:rPr>
          <w:position w:val="-10"/>
        </w:rPr>
        <w:pict w14:anchorId="3F9E895A">
          <v:shape id="_x0000_i1036" type="#_x0000_t75" style="width:81.5pt;height:15.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1DAB&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E11DAB&quot; wsp:rsidRDefault=&quot;00E11DAB&quot; wsp:rsidP=&quot;00E11DAB&quot;&gt;&lt;m:oMathPara&gt;&lt;m:oMath&gt;&lt;m:r&gt;&lt;w:rPr&gt;&lt;w:rFonts w:ascii=&quot;Cambria Math&quot; w:h-ansi=&quot;Cambria Math&quot;/&gt;&lt;wx:font wx:val=&quot;Cambria Math&quot;/&gt;&lt;w:i/&gt;&lt;w:sz w:val=&quot;19&quot;/&gt;&lt;/w:rPr&gt;&lt;m:t&gt;J=&lt;/m:t&gt;&lt;/m:r&gt;&lt;m:nary&gt;&lt;m:naryPr&gt;&lt;m:chr m:val=&quot;鈭?/&gt;&lt;m:limLoc m:val=&quot;subSup&quot;/&gt;&lt;m:ctrlPr&gt;&lt;w:rPr&gt;&lt;w:rFonts w:ascii=&quot;Cambria Math&quot; w:h-ansi=&quot;Cambria Math&quot;/&gt;&lt;wx:font wx:h--val=&quot;Cambria Math&quot;/&gt;&lt;/w:rPr&gt;&lt;/m:ctrlPr&gt;&lt;/m:naryPr&gt;&lt;m:sub&gt;&lt;m:r&gt;&lt;w:rPr&gt;&lt;w:rFonts w:ascii=&quot;Cambria Math&quot; w:h-ansi=&quot;Cambria Math&quot;/&gt;&lt;wx:font wx:val=&quot;Cambria Math&quot;/&gt;&lt;w:i/&gt;&lt;w:sz w:val=&quot;19&quot;/&gt;&lt;/w:rPr&gt;&lt;m:t&gt;i=1&lt;/m:t&gt;&lt;/m:r&gt;&lt;/m:sub&gt;&lt;m:sup&gt;&lt;m:r&gt;&lt;w:rPr&gt;&lt;w:rFonts w:ascii=&quot;Cambria Math&quot; w:h-ansi=&quot;Cambria Math&quot;/&gt;&lt;wx:font wx:val=&quot;Cambria Math&quot;/&gt;&lt;w:i/&gt;&lt;w:sz w:val=&quot;19&quot;/&gt;&lt;/w:rPr&gt;&lt;m:t&gt;N&lt;/m:t&gt;&lt;/m:r&gt;&lt;/m:sup&gt;&lt;m:e&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sz w:val=&quot;19&quot;/&gt;&lt;/w:rPr&gt;&lt;m:t&gt;鈥?/m:t&gt;&lt;/m:r&gt;&lt;m:sSub&gt;&lt;m:sSubPr&gt;&lt;m:ctrlPr&gt;&lt;w:rPr&gt;&lt;w:rFonts w:ascii=&quot;Cambri  M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sz w:val=&quot;19&quot;/&gt;&lt;/w:rPr&gt;&lt;m:t&gt;x&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lt;/m:t&gt;&lt;/m:r&gt;&lt;m:sSub&gt;&lt;m:sSubPr&gt;&lt;m:ctrlPr&gt;&lt;w:rPr&gt;&lt;w:rFonts w:ascii=&quot;Cambria Math&quot; w:h-ansi=&quot;Cambria Math&quot;/&gt;&lt;wx:font wx:val=&quot;Cambria Math&quot;/&gt;&lt;/w:rPr&gt;&lt;/m:ctrlPr&gt;&lt;/m:sSubPr&gt;&lt;m:e&gt;&lt;m:r&gt;&lt;m:rPr&gt;&lt;m:sty m:val=&quot;bi&quot;/&gt;&lt;/m:rPr&gt;&lt;w:rPr&gt;&lt;w:rFonts w:ascii=&quot;Cambria Math&quot; w:h-ansi=&quot;Cambria Math&quot;/&gt;&lt;wx:font wx:val=&quot;Cambria Math&quot;/&gt;&lt;w:b/&gt;&lt;w:i/&gt;&lt;w:sz w:val=&quot;19&quot;/&gt;&lt;/w:rPr&gt;&lt;m:t&gt;渭&lt;/m:t&gt;&lt;/m:r&gt;&lt;/m:e&gt;&lt;m:sub&gt;&lt;m:sSub&gt;&lt;m:sSubPr&gt;&lt;m:ctrlP:r&gt;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z&lt;/m:t&gt;&lt;/m:r&gt;&lt;/m:e&gt;&lt;m:sub&gt;&lt;m:r&gt;&lt;w:rPr&gt;&lt;w:rFonts w:ascii=&quot;Cambria Math&quot; w:h-ansi=&quot;Cambria Math&quot;/&gt;&lt;wx:font wx:val=&quot;Cambria Math&quot;/&gt;&lt;w:i/&gt;&lt;w:sz w:val=&quot;19&quot;/&gt;&lt;/w:rPr&gt;&lt;m:t&gt;i&lt;/m:t&gt;&lt;/m:r&gt;&lt;/m:sub&gt;&lt;/m:sSub&gt;&lt;/m:sub&gt;&lt;/m:sSub&gt;&lt;m:r&gt;&lt;w:rPr&gt;&lt;w:rFonts w:ascii=&quot;Cambria Math&quot; w:h-ansi=&quot;Cambria Math&quot;/&gt;&lt;wx:font wx:val=&quot;Cambria Math&quot;/&gt;&lt;w:i/&gt;&lt;w:sz w:val=&quot;19&quot;/&gt;&lt;/w:rPr&gt;&lt;m:t&gt;鈥?/m:t&gt;&lt;/m:r&gt;&lt;/m:e&gt;&lt;m:sup&gt;&lt;m:r&gt;&lt;w:rPr&gt;&lt;w:rFonts w:ascii=&quot;Cambria Math&quot; w:h-ansi=&quot;Cambria Math&quot;/&gt;&lt;wx:font wx:val=&quot;Cambria Math&quot;/&gt;&lt;w:i/&gt;&lt;w:sz: wsc:val=&quot;19&quot;/&gt;&lt;/w:rPr&gt;&lt;m:t&gt;2&lt;/m:t&gt;&lt;/m:r&gt;&lt;/m:sup&gt;&lt;/m:sSup&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335598">
        <w:rPr>
          <w:color w:val="000000"/>
          <w:sz w:val="18"/>
        </w:rPr>
        <w:fldChar w:fldCharType="end"/>
      </w:r>
      <w:r>
        <w:rPr>
          <w:color w:val="000000"/>
          <w:sz w:val="18"/>
        </w:rPr>
        <w:t xml:space="preserve">  (1)</w:t>
      </w:r>
    </w:p>
    <w:p w14:paraId="3EE2C78B" w14:textId="77777777" w:rsidR="002E06FD" w:rsidRDefault="00000000">
      <w:pPr>
        <w:keepNext/>
        <w:spacing w:before="100" w:after="40" w:line="312" w:lineRule="exact"/>
        <w:jc w:val="left"/>
        <w:outlineLvl w:val="1"/>
        <w:rPr>
          <w:color w:val="000000"/>
        </w:rPr>
      </w:pPr>
      <w:r>
        <w:rPr>
          <w:rFonts w:eastAsia="黑体"/>
          <w:b/>
          <w:color w:val="000000"/>
        </w:rPr>
        <w:t xml:space="preserve">2.2 </w:t>
      </w:r>
      <w:r>
        <w:rPr>
          <w:rFonts w:eastAsia="黑体"/>
          <w:b/>
          <w:color w:val="000000"/>
        </w:rPr>
        <w:t>数据组织与完整性检查</w:t>
      </w:r>
    </w:p>
    <w:p w14:paraId="1D0DEA5A" w14:textId="77777777" w:rsidR="002E06FD" w:rsidRDefault="00000000">
      <w:pPr>
        <w:pStyle w:val="a3"/>
        <w:widowControl/>
        <w:spacing w:line="312" w:lineRule="exact"/>
        <w:rPr>
          <w:color w:val="000000"/>
        </w:rPr>
      </w:pPr>
      <w:r>
        <w:rPr>
          <w:color w:val="000000"/>
        </w:rPr>
        <w:t>数据集包含</w:t>
      </w:r>
      <w:r>
        <w:rPr>
          <w:color w:val="000000"/>
        </w:rPr>
        <w:t>bottle</w:t>
      </w:r>
      <w:r>
        <w:rPr>
          <w:color w:val="000000"/>
        </w:rPr>
        <w:t>、</w:t>
      </w:r>
      <w:r>
        <w:rPr>
          <w:color w:val="000000"/>
        </w:rPr>
        <w:t>cable</w:t>
      </w:r>
      <w:r>
        <w:rPr>
          <w:color w:val="000000"/>
        </w:rPr>
        <w:t>、</w:t>
      </w:r>
      <w:r>
        <w:rPr>
          <w:color w:val="000000"/>
        </w:rPr>
        <w:t>leather</w:t>
      </w:r>
      <w:r>
        <w:rPr>
          <w:color w:val="000000"/>
        </w:rPr>
        <w:t>、</w:t>
      </w:r>
      <w:r>
        <w:rPr>
          <w:color w:val="000000"/>
        </w:rPr>
        <w:t>pill</w:t>
      </w:r>
      <w:r>
        <w:rPr>
          <w:color w:val="000000"/>
        </w:rPr>
        <w:t>、</w:t>
      </w:r>
      <w:r>
        <w:rPr>
          <w:color w:val="000000"/>
        </w:rPr>
        <w:t>tile</w:t>
      </w:r>
      <w:r>
        <w:rPr>
          <w:color w:val="000000"/>
        </w:rPr>
        <w:t>、</w:t>
      </w:r>
      <w:r>
        <w:rPr>
          <w:color w:val="000000"/>
        </w:rPr>
        <w:t>transistor</w:t>
      </w:r>
      <w:r>
        <w:rPr>
          <w:color w:val="000000"/>
        </w:rPr>
        <w:t>六类，每类</w:t>
      </w:r>
      <w:r>
        <w:rPr>
          <w:color w:val="000000"/>
        </w:rPr>
        <w:t>100</w:t>
      </w:r>
      <w:r>
        <w:rPr>
          <w:color w:val="000000"/>
        </w:rPr>
        <w:t>张。图片按文件名排序建立统一索引，检查数量、文件名唯一性及特征有限性；两种方法使用相同索引。真实类别文件仅在全部模型训练完成后加载，并按文件名对齐，防止评价错位。</w:t>
      </w:r>
    </w:p>
    <w:p w14:paraId="39E443C8" w14:textId="16D9D6A1" w:rsidR="002E06FD" w:rsidRDefault="00000000">
      <w:pPr>
        <w:pStyle w:val="a3"/>
        <w:widowControl/>
        <w:spacing w:line="312" w:lineRule="exact"/>
        <w:rPr>
          <w:color w:val="000000"/>
        </w:rPr>
      </w:pPr>
      <w:r>
        <w:rPr>
          <w:color w:val="000000"/>
        </w:rPr>
        <w:t>图像均为</w:t>
      </w:r>
      <w:r>
        <w:rPr>
          <w:color w:val="000000"/>
        </w:rPr>
        <w:t>RGB</w:t>
      </w:r>
      <w:r>
        <w:rPr>
          <w:color w:val="000000"/>
        </w:rPr>
        <w:t>格式，原始尺寸包括</w:t>
      </w:r>
      <w:r>
        <w:rPr>
          <w:color w:val="000000"/>
        </w:rPr>
        <w:t>1024×1024</w:t>
      </w:r>
      <w:r>
        <w:rPr>
          <w:color w:val="000000"/>
        </w:rPr>
        <w:t>（</w:t>
      </w:r>
      <w:r>
        <w:rPr>
          <w:color w:val="000000"/>
        </w:rPr>
        <w:t>300</w:t>
      </w:r>
      <w:r>
        <w:rPr>
          <w:color w:val="000000"/>
        </w:rPr>
        <w:t>张），以及</w:t>
      </w:r>
      <w:r>
        <w:rPr>
          <w:color w:val="000000"/>
        </w:rPr>
        <w:t>800×800</w:t>
      </w:r>
      <w:r>
        <w:rPr>
          <w:color w:val="000000"/>
        </w:rPr>
        <w:t>、</w:t>
      </w:r>
      <w:r>
        <w:rPr>
          <w:color w:val="000000"/>
        </w:rPr>
        <w:t>900×900</w:t>
      </w:r>
      <w:r>
        <w:rPr>
          <w:color w:val="000000"/>
        </w:rPr>
        <w:t>和</w:t>
      </w:r>
      <w:r>
        <w:rPr>
          <w:color w:val="000000"/>
        </w:rPr>
        <w:t>840×840</w:t>
      </w:r>
      <w:r>
        <w:rPr>
          <w:color w:val="000000"/>
        </w:rPr>
        <w:t>（后三者各</w:t>
      </w:r>
      <w:r>
        <w:rPr>
          <w:color w:val="000000"/>
        </w:rPr>
        <w:t>100</w:t>
      </w:r>
      <w:r>
        <w:rPr>
          <w:color w:val="000000"/>
        </w:rPr>
        <w:t>张）四种规格。图</w:t>
      </w:r>
      <w:r>
        <w:rPr>
          <w:color w:val="000000"/>
        </w:rPr>
        <w:t>1</w:t>
      </w:r>
      <w:r>
        <w:rPr>
          <w:color w:val="000000"/>
        </w:rPr>
        <w:t>展示六类图像的代表样本。</w:t>
      </w:r>
    </w:p>
    <w:p w14:paraId="05091545" w14:textId="77777777" w:rsidR="002E06FD" w:rsidRDefault="002E06FD">
      <w:pPr>
        <w:sectPr w:rsidR="002E06FD">
          <w:footerReference w:type="default" r:id="rId20"/>
          <w:pgSz w:w="11906" w:h="16838" w:code="9"/>
          <w:pgMar w:top="1246" w:right="964" w:bottom="851" w:left="964" w:header="851" w:footer="992" w:gutter="0"/>
          <w:cols w:num="2" w:space="425"/>
          <w:docGrid w:type="lines" w:linePitch="312"/>
        </w:sectPr>
      </w:pPr>
    </w:p>
    <w:p w14:paraId="4881A1BA" w14:textId="03525389" w:rsidR="002E06FD" w:rsidRDefault="00716DB6">
      <w:pPr>
        <w:keepNext/>
        <w:spacing w:before="80"/>
        <w:jc w:val="center"/>
      </w:pPr>
      <w:r>
        <w:rPr>
          <w:noProof/>
        </w:rPr>
        <w:pict w14:anchorId="479684AC">
          <v:shape id="Picture 1" o:spid="_x0000_i1037" type="#_x0000_t75" style="width:481.65pt;height:91.55pt;visibility:visible;mso-wrap-style:square">
            <v:imagedata r:id="rId21" o:title=""/>
          </v:shape>
        </w:pict>
      </w:r>
    </w:p>
    <w:p w14:paraId="3026361C" w14:textId="77777777" w:rsidR="002E06FD" w:rsidRDefault="00000000">
      <w:pPr>
        <w:keepNext/>
        <w:spacing w:before="40" w:after="40" w:line="240" w:lineRule="exact"/>
        <w:jc w:val="center"/>
      </w:pPr>
      <w:r>
        <w:rPr>
          <w:color w:val="000000"/>
          <w:sz w:val="18"/>
        </w:rPr>
        <w:t>Fig. 1 Representative images from the six categories.</w:t>
      </w:r>
    </w:p>
    <w:p w14:paraId="44F6AC55" w14:textId="77777777" w:rsidR="002E06FD" w:rsidRDefault="00000000">
      <w:pPr>
        <w:spacing w:before="40" w:after="40" w:line="240" w:lineRule="exact"/>
        <w:jc w:val="center"/>
      </w:pPr>
      <w:r>
        <w:rPr>
          <w:color w:val="000000"/>
          <w:sz w:val="18"/>
        </w:rPr>
        <w:t>图</w:t>
      </w:r>
      <w:r>
        <w:rPr>
          <w:color w:val="000000"/>
          <w:sz w:val="18"/>
        </w:rPr>
        <w:t xml:space="preserve">1 </w:t>
      </w:r>
      <w:r>
        <w:rPr>
          <w:color w:val="000000"/>
          <w:sz w:val="18"/>
        </w:rPr>
        <w:t>六个类别的代表图像</w:t>
      </w:r>
    </w:p>
    <w:p w14:paraId="463E22C1" w14:textId="77777777" w:rsidR="002E06FD" w:rsidRDefault="002E06FD">
      <w:pPr>
        <w:sectPr w:rsidR="002E06FD">
          <w:type w:val="continuous"/>
          <w:pgSz w:w="11906" w:h="16838" w:code="9"/>
          <w:pgMar w:top="1246" w:right="964" w:bottom="851" w:left="964" w:header="851" w:footer="992" w:gutter="0"/>
          <w:cols w:space="720"/>
          <w:docGrid w:type="lines" w:linePitch="312"/>
        </w:sectPr>
      </w:pPr>
    </w:p>
    <w:p w14:paraId="58C812D7" w14:textId="77777777" w:rsidR="002E06FD" w:rsidRDefault="00000000">
      <w:pPr>
        <w:keepNext/>
        <w:spacing w:before="100" w:after="40" w:line="312" w:lineRule="exact"/>
        <w:jc w:val="left"/>
        <w:outlineLvl w:val="1"/>
        <w:rPr>
          <w:color w:val="000000"/>
        </w:rPr>
      </w:pPr>
      <w:r>
        <w:rPr>
          <w:rFonts w:eastAsia="黑体"/>
          <w:b/>
          <w:color w:val="000000"/>
        </w:rPr>
        <w:t xml:space="preserve">2.3 </w:t>
      </w:r>
      <w:r>
        <w:rPr>
          <w:rFonts w:eastAsia="黑体"/>
          <w:b/>
          <w:color w:val="000000"/>
        </w:rPr>
        <w:t>公共训练配置与复现环境</w:t>
      </w:r>
    </w:p>
    <w:p w14:paraId="0E879BF3" w14:textId="77777777" w:rsidR="002E06FD" w:rsidRDefault="00000000">
      <w:pPr>
        <w:pStyle w:val="a3"/>
        <w:widowControl/>
        <w:spacing w:line="312" w:lineRule="exact"/>
        <w:rPr>
          <w:color w:val="000000"/>
        </w:rPr>
      </w:pPr>
      <w:r>
        <w:rPr>
          <w:color w:val="000000"/>
        </w:rPr>
        <w:t>两种方法均采用欧氏距离、</w:t>
      </w:r>
      <w:r>
        <w:rPr>
          <w:color w:val="000000"/>
        </w:rPr>
        <w:t>k-means++</w:t>
      </w:r>
      <w:r>
        <w:rPr>
          <w:color w:val="000000"/>
        </w:rPr>
        <w:t>初始化、</w:t>
      </w:r>
      <w:proofErr w:type="spellStart"/>
      <w:r>
        <w:rPr>
          <w:color w:val="000000"/>
        </w:rPr>
        <w:t>n_init</w:t>
      </w:r>
      <w:proofErr w:type="spellEnd"/>
      <w:r>
        <w:rPr>
          <w:color w:val="000000"/>
        </w:rPr>
        <w:t>=10</w:t>
      </w:r>
      <w:r>
        <w:rPr>
          <w:color w:val="000000"/>
        </w:rPr>
        <w:t>、</w:t>
      </w:r>
      <w:proofErr w:type="spellStart"/>
      <w:r>
        <w:rPr>
          <w:color w:val="000000"/>
        </w:rPr>
        <w:t>max_iter</w:t>
      </w:r>
      <w:proofErr w:type="spellEnd"/>
      <w:r>
        <w:rPr>
          <w:color w:val="000000"/>
        </w:rPr>
        <w:t>=300</w:t>
      </w:r>
      <w:r>
        <w:rPr>
          <w:color w:val="000000"/>
        </w:rPr>
        <w:t>、</w:t>
      </w:r>
      <w:proofErr w:type="spellStart"/>
      <w:r>
        <w:rPr>
          <w:color w:val="000000"/>
        </w:rPr>
        <w:t>tol</w:t>
      </w:r>
      <w:proofErr w:type="spellEnd"/>
      <w:r>
        <w:rPr>
          <w:color w:val="000000"/>
        </w:rPr>
        <w:t>=10⁻⁴</w:t>
      </w:r>
      <w:r>
        <w:rPr>
          <w:color w:val="000000"/>
        </w:rPr>
        <w:t>及</w:t>
      </w:r>
      <w:r>
        <w:rPr>
          <w:color w:val="000000"/>
        </w:rPr>
        <w:t>Lloyd</w:t>
      </w:r>
      <w:r>
        <w:rPr>
          <w:color w:val="000000"/>
        </w:rPr>
        <w:t>更新。主要结果固定使用</w:t>
      </w:r>
      <w:proofErr w:type="spellStart"/>
      <w:r>
        <w:rPr>
          <w:color w:val="000000"/>
        </w:rPr>
        <w:t>random_state</w:t>
      </w:r>
      <w:proofErr w:type="spellEnd"/>
      <w:r>
        <w:rPr>
          <w:color w:val="000000"/>
        </w:rPr>
        <w:t>=42</w:t>
      </w:r>
      <w:r>
        <w:rPr>
          <w:color w:val="000000"/>
        </w:rPr>
        <w:t>，稳定性实验使用</w:t>
      </w:r>
      <w:r>
        <w:rPr>
          <w:color w:val="000000"/>
        </w:rPr>
        <w:t>0</w:t>
      </w:r>
      <w:r>
        <w:rPr>
          <w:color w:val="000000"/>
        </w:rPr>
        <w:t>、</w:t>
      </w:r>
      <w:r>
        <w:rPr>
          <w:color w:val="000000"/>
        </w:rPr>
        <w:t>1</w:t>
      </w:r>
      <w:r>
        <w:rPr>
          <w:color w:val="000000"/>
        </w:rPr>
        <w:t>、</w:t>
      </w:r>
      <w:r>
        <w:rPr>
          <w:color w:val="000000"/>
        </w:rPr>
        <w:t>7</w:t>
      </w:r>
      <w:r>
        <w:rPr>
          <w:color w:val="000000"/>
        </w:rPr>
        <w:t>、</w:t>
      </w:r>
      <w:r>
        <w:rPr>
          <w:color w:val="000000"/>
        </w:rPr>
        <w:t>21</w:t>
      </w:r>
      <w:r>
        <w:rPr>
          <w:color w:val="000000"/>
        </w:rPr>
        <w:t>、</w:t>
      </w:r>
      <w:r>
        <w:rPr>
          <w:color w:val="000000"/>
        </w:rPr>
        <w:t>42</w:t>
      </w:r>
      <w:r>
        <w:rPr>
          <w:color w:val="000000"/>
        </w:rPr>
        <w:t>。每个种子内部的十次初始化依据组内平方距离和选择结果，不根据真实标签或评价指标选择主要模型。</w:t>
      </w:r>
    </w:p>
    <w:p w14:paraId="6FFDA7E1"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t xml:space="preserve">3 </w:t>
      </w:r>
      <w:r>
        <w:rPr>
          <w:rFonts w:ascii="Times New Roman" w:hAnsi="Times New Roman"/>
          <w:color w:val="000000"/>
          <w:sz w:val="24"/>
        </w:rPr>
        <w:t>平均颜色统计聚类方法</w:t>
      </w:r>
    </w:p>
    <w:p w14:paraId="711E5753" w14:textId="77777777" w:rsidR="002E06FD" w:rsidRDefault="00000000">
      <w:pPr>
        <w:keepNext/>
        <w:spacing w:before="100" w:after="40" w:line="312" w:lineRule="exact"/>
        <w:jc w:val="left"/>
        <w:outlineLvl w:val="1"/>
        <w:rPr>
          <w:color w:val="000000"/>
        </w:rPr>
      </w:pPr>
      <w:r>
        <w:rPr>
          <w:rFonts w:eastAsia="黑体"/>
          <w:b/>
          <w:color w:val="000000"/>
        </w:rPr>
        <w:t xml:space="preserve">3.1 </w:t>
      </w:r>
      <w:r>
        <w:rPr>
          <w:rFonts w:eastAsia="黑体"/>
          <w:b/>
          <w:color w:val="000000"/>
        </w:rPr>
        <w:t>特征定义与预处理</w:t>
      </w:r>
    </w:p>
    <w:p w14:paraId="3408FD45" w14:textId="77777777" w:rsidR="002E06FD" w:rsidRDefault="00000000">
      <w:pPr>
        <w:pStyle w:val="a3"/>
        <w:widowControl/>
        <w:spacing w:line="312" w:lineRule="exact"/>
        <w:rPr>
          <w:color w:val="000000"/>
        </w:rPr>
      </w:pPr>
      <w:r>
        <w:rPr>
          <w:color w:val="000000"/>
        </w:rPr>
        <w:t>方法</w:t>
      </w:r>
      <w:r>
        <w:rPr>
          <w:color w:val="000000"/>
        </w:rPr>
        <w:t>A</w:t>
      </w:r>
      <w:r>
        <w:rPr>
          <w:color w:val="000000"/>
        </w:rPr>
        <w:t>将图像转换为</w:t>
      </w:r>
      <w:r>
        <w:rPr>
          <w:color w:val="000000"/>
        </w:rPr>
        <w:t>RGB</w:t>
      </w:r>
      <w:r>
        <w:rPr>
          <w:color w:val="000000"/>
        </w:rPr>
        <w:t>，并对原始分辨率的三个通道分别计算全局均值。式</w:t>
      </w:r>
      <w:proofErr w:type="gramStart"/>
      <w:r>
        <w:rPr>
          <w:color w:val="000000"/>
        </w:rPr>
        <w:t>(2)</w:t>
      </w:r>
      <w:proofErr w:type="gramEnd"/>
      <w:r>
        <w:rPr>
          <w:color w:val="000000"/>
        </w:rPr>
        <w:t>中的</w:t>
      </w:r>
      <w:r>
        <w:rPr>
          <w:color w:val="000000"/>
        </w:rPr>
        <w:t>R̄</w:t>
      </w:r>
      <w:r>
        <w:rPr>
          <w:color w:val="000000"/>
        </w:rPr>
        <w:t>、</w:t>
      </w:r>
      <w:r>
        <w:rPr>
          <w:color w:val="000000"/>
        </w:rPr>
        <w:t>Ḡ</w:t>
      </w:r>
      <w:r>
        <w:rPr>
          <w:color w:val="000000"/>
        </w:rPr>
        <w:t>、</w:t>
      </w:r>
      <w:r>
        <w:rPr>
          <w:color w:val="000000"/>
        </w:rPr>
        <w:t>B̄</w:t>
      </w:r>
      <w:r>
        <w:rPr>
          <w:color w:val="000000"/>
        </w:rPr>
        <w:t>表示</w:t>
      </w:r>
      <w:r>
        <w:rPr>
          <w:color w:val="000000"/>
        </w:rPr>
        <w:t>通道平均强度，获得</w:t>
      </w:r>
      <w:r>
        <w:rPr>
          <w:color w:val="000000"/>
        </w:rPr>
        <w:t>600×3</w:t>
      </w:r>
      <w:r>
        <w:rPr>
          <w:color w:val="000000"/>
        </w:rPr>
        <w:t>的特征矩阵。三个分量均处于</w:t>
      </w:r>
      <w:r>
        <w:rPr>
          <w:color w:val="000000"/>
        </w:rPr>
        <w:t>0</w:t>
      </w:r>
      <w:r>
        <w:rPr>
          <w:color w:val="000000"/>
        </w:rPr>
        <w:t>～</w:t>
      </w:r>
      <w:r>
        <w:rPr>
          <w:color w:val="000000"/>
        </w:rPr>
        <w:t>255</w:t>
      </w:r>
      <w:r>
        <w:rPr>
          <w:color w:val="000000"/>
        </w:rPr>
        <w:t>范围，本基线不进行额外缩放，以保留简单颜色统计的定义。</w:t>
      </w:r>
    </w:p>
    <w:p w14:paraId="57E90C1E" w14:textId="3BB28605" w:rsidR="002E06FD" w:rsidRDefault="00335598">
      <w:pPr>
        <w:spacing w:before="80" w:after="80"/>
        <w:jc w:val="center"/>
      </w:pPr>
      <w:r w:rsidRPr="00335598">
        <w:rPr>
          <w:color w:val="000000"/>
          <w:sz w:val="18"/>
        </w:rPr>
        <w:fldChar w:fldCharType="begin"/>
      </w:r>
      <w:r w:rsidRPr="00335598">
        <w:rPr>
          <w:color w:val="000000"/>
          <w:sz w:val="18"/>
        </w:rPr>
        <w:instrText xml:space="preserve"> QUOTE </w:instrText>
      </w:r>
      <w:r w:rsidR="00716DB6">
        <w:rPr>
          <w:position w:val="-21"/>
        </w:rPr>
        <w:pict w14:anchorId="331743D2">
          <v:shape id="_x0000_i1038" type="#_x0000_t75" style="width:1in;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45096&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45096&quot; wsp:rsidRDefault=&quot;00C45096&quot; wsp:rsidP=&quot;00C4509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蠁&lt;/mss:t&gt;&lt;/m:r&gt;&lt;/m:e&gt;&lt;m:sub&gt;&lt;m:r&gt;&lt;w:rPr&gt;&lt;w:rFonts w:ascii=&quot;Cambria Math&quot; w:h-ansi=&quot;Cambria Math&quot;/&gt;&lt;wx:font wx:val=&quot;Cambria Math&quot;/&gt;&lt;w:i/&gt;&lt;w:sz w:val=&quot;19&quot;/&gt;&lt;/w:rPr&gt;&lt;m:t&gt;A&lt;/m:t&gt;&lt;/m:r&gt;&lt;/m:sub&gt;&lt;/m:sSub&gt;&lt;m:r&gt;&lt;w:rPr&gt;&lt;w:rFonts w:ascii=&quot;Cambria Math&quot; w:h-ansi=&quot;Cambria Math&quot;/&gt;&lt;wx:font wx:val=&quot;Cambria Math&quot;/&gt;&lt;w:i/&gt;&lt;w:sz w:val=&quot;19&quot;/&gt;&lt;/w:rPr&gt;&lt;m:t&gt;(I)=&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R&lt;/m:t&gt;&lt;/m:r&gt;&lt;/m:e&gt;&lt;/m:bar&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G&lt;/m:t&gt;&lt;/m:r&gt;&lt;/m:e&gt;&lt;/m:bar&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B&lt;/m:t&gt;&lt;/m:r&gt;&lt;/m:e&gt;&lt;/m:bar&gt;&lt;m:r&gt;&lt;w:rPr&gt;&lt;w:rFonts w:ascii=&quot;Cambria Math&quot; w:h-ansi=&quot;Cambria Math&quot;/&gt;&lt;wx:font wx:val=&quot;Cambria Math&quot;/&gt;&lt;w:i/&gt;&lt;w:sz w:val=&quot;19&quot;/&gt;&lt;/w:rPr&gt;&lt;m:t&gt;]&lt;/m:t&gt;&lt;/m:r&gt;&lt;/m:e&gt;&lt;m:sup&gt;&lt;m:r&gt;&lt;w:rPr&gt;&lt;w:rFonts w:ascii=&quot;Cambria Math&quot; w:h-ansi=&quot;Cambria Math&quot;/&gt;&lt;wx:font wx:val=&quot;Cambria Math&quot;/&gt;&lt;w:i/&gt;&lt;w:sz w:val=&quot;19&quot;/&gt;&lt;/w:rPr&gt;&lt;m:t&gt;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335598">
        <w:rPr>
          <w:color w:val="000000"/>
          <w:sz w:val="18"/>
        </w:rPr>
        <w:instrText xml:space="preserve"> </w:instrText>
      </w:r>
      <w:r w:rsidRPr="00335598">
        <w:rPr>
          <w:color w:val="000000"/>
          <w:sz w:val="18"/>
        </w:rPr>
        <w:fldChar w:fldCharType="separate"/>
      </w:r>
      <w:r w:rsidR="00716DB6">
        <w:rPr>
          <w:position w:val="-21"/>
        </w:rPr>
        <w:pict w14:anchorId="4626059F">
          <v:shape id="_x0000_i1039" type="#_x0000_t75" style="width:1in;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45096&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45096&quot; wsp:rsidRDefault=&quot;00C45096&quot; wsp:rsidP=&quot;00C4509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蠁&lt;/mss:t&gt;&lt;/m:r&gt;&lt;/m:e&gt;&lt;m:sub&gt;&lt;m:r&gt;&lt;w:rPr&gt;&lt;w:rFonts w:ascii=&quot;Cambria Math&quot; w:h-ansi=&quot;Cambria Math&quot;/&gt;&lt;wx:font wx:val=&quot;Cambria Math&quot;/&gt;&lt;w:i/&gt;&lt;w:sz w:val=&quot;19&quot;/&gt;&lt;/w:rPr&gt;&lt;m:t&gt;A&lt;/m:t&gt;&lt;/m:r&gt;&lt;/m:sub&gt;&lt;/m:sSub&gt;&lt;m:r&gt;&lt;w:rPr&gt;&lt;w:rFonts w:ascii=&quot;Cambria Math&quot; w:h-ansi=&quot;Cambria Math&quot;/&gt;&lt;wx:font wx:val=&quot;Cambria Math&quot;/&gt;&lt;w:i/&gt;&lt;w:sz w:val=&quot;19&quot;/&gt;&lt;/w:rPr&gt;&lt;m:t&gt;(I)=&lt;/m:t&gt;&lt;/m:r&gt;&lt;m:sSup&gt;&lt;m:sSupPr&gt;&lt;m:ctrlPr&gt;&lt;w:rPr&gt;&lt;w:rFonts w:ascii=&quot;Cambria Math&quot; w:h-ansi=&quot;Cambria Math&quot;/&gt;&lt;wx:font wx:val=&quot;Cambria Math&quot;/&gt;&lt;/w:rPr&gt;&lt;/m:ctrlPr&gt;&lt;/m:sSupPr&gt;&lt;m:e&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R&lt;/m:t&gt;&lt;/m:r&gt;&lt;/m:e&gt;&lt;/m:bar&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G&lt;/m:t&gt;&lt;/m:r&gt;&lt;/m:e&gt;&lt;/m:bar&gt;&lt;m:r&gt;&lt;w:rPr&gt;&lt;w:rFonts w:ascii=&quot;Cambria Math&quot; w:h-ansi=&quot;Cambria Math&quot;/&gt;&lt;wx:font wx:val=&quot;Cambria Math&quot;/&gt;&lt;w:i/&gt;&lt;w:sz w:val=&quot;19&quot;/&gt;&lt;/w:rPr&gt;&lt;m:t&gt;,&lt;/m:t&gt;&lt;/m:r&gt;&lt;m:bar&gt;&lt;m:barPr&gt;&lt;m:pos m:val=&quot;top&quot;/&gt;&lt;m:ctrlPr&gt;&lt;w:rPr&gt;&lt;w:rFonts w:ascii=&quot;Cambria Math&quot; w:h-ansi=&quot;Cambria Math&quot;/&gt;&lt;wx:font wx:val=&quot;Cambria Math&quot;/&gt;&lt;/w:rPr&gt;&lt;/m:ctrlPr&gt;&lt;/m:barPr&gt;&lt;m:e&gt;&lt;m:r&gt;&lt;w:rPr&gt;&lt;w:rFonts w:ascii=&quot;Cambria Math&quot; w:h-ansi=&quot;Cambria Math&quot;/&gt;&lt;wx:font wx:val=&quot;Cambria Math&quot;/&gt;&lt;w:i/&gt;&lt;w:sz w:val=&quot;19&quot;/&gt;&lt;/w:rPr&gt;&lt;m:t&gt;B&lt;/m:t&gt;&lt;/m:r&gt;&lt;/m:e&gt;&lt;/m:bar&gt;&lt;m:r&gt;&lt;w:rPr&gt;&lt;w:rFonts w:ascii=&quot;Cambria Math&quot; w:h-ansi=&quot;Cambria Math&quot;/&gt;&lt;wx:font wx:val=&quot;Cambria Math&quot;/&gt;&lt;w:i/&gt;&lt;w:sz w:val=&quot;19&quot;/&gt;&lt;/w:rPr&gt;&lt;m:t&gt;]&lt;/m:t&gt;&lt;/m:r&gt;&lt;/m:e&gt;&lt;m:sup&gt;&lt;m:r&gt;&lt;w:rPr&gt;&lt;w:rFonts w:ascii=&quot;Cambria Math&quot; w:h-ansi=&quot;Cambria Math&quot;/&gt;&lt;wx:font wx:val=&quot;Cambria Math&quot;/&gt;&lt;w:i/&gt;&lt;w:sz w:val=&quot;19&quot;/&gt;&lt;/w:rPr&gt;&lt;m:t&gt;T&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335598">
        <w:rPr>
          <w:color w:val="000000"/>
          <w:sz w:val="18"/>
        </w:rPr>
        <w:fldChar w:fldCharType="end"/>
      </w:r>
      <w:r>
        <w:rPr>
          <w:color w:val="000000"/>
          <w:sz w:val="18"/>
        </w:rPr>
        <w:t xml:space="preserve">  (2)</w:t>
      </w:r>
    </w:p>
    <w:p w14:paraId="2282C2C0" w14:textId="77777777" w:rsidR="002E06FD" w:rsidRDefault="00000000">
      <w:pPr>
        <w:pStyle w:val="a3"/>
        <w:widowControl/>
        <w:spacing w:line="312" w:lineRule="exact"/>
        <w:rPr>
          <w:color w:val="000000"/>
        </w:rPr>
      </w:pPr>
      <w:r>
        <w:rPr>
          <w:color w:val="000000"/>
        </w:rPr>
        <w:t>这种表达计算量较小，但相同颜色直方分布在不同空间布局下仍可能得到相近的均值。物体轮廓、引脚或局部纹理不会被明确表示，因此颜色接近的不同物体可能被合并；同类图像的整体亮度变化也可能引起分裂。</w:t>
      </w:r>
    </w:p>
    <w:p w14:paraId="0D761027" w14:textId="77777777" w:rsidR="002E06FD" w:rsidRDefault="00000000">
      <w:pPr>
        <w:keepNext/>
        <w:spacing w:before="100" w:after="40" w:line="312" w:lineRule="exact"/>
        <w:jc w:val="left"/>
        <w:outlineLvl w:val="1"/>
        <w:rPr>
          <w:color w:val="000000"/>
        </w:rPr>
      </w:pPr>
      <w:r>
        <w:rPr>
          <w:rFonts w:eastAsia="黑体"/>
          <w:b/>
          <w:color w:val="000000"/>
        </w:rPr>
        <w:lastRenderedPageBreak/>
        <w:t xml:space="preserve">3.2 </w:t>
      </w:r>
      <w:r>
        <w:rPr>
          <w:rFonts w:eastAsia="黑体"/>
          <w:b/>
          <w:color w:val="000000"/>
        </w:rPr>
        <w:t>模型训练与输出</w:t>
      </w:r>
    </w:p>
    <w:p w14:paraId="055657D4" w14:textId="3E0B8AD9" w:rsidR="002E06FD" w:rsidRDefault="00000000">
      <w:pPr>
        <w:pStyle w:val="a3"/>
        <w:widowControl/>
        <w:spacing w:line="312" w:lineRule="exact"/>
        <w:rPr>
          <w:color w:val="000000"/>
        </w:rPr>
      </w:pPr>
      <w:r>
        <w:rPr>
          <w:color w:val="000000"/>
        </w:rPr>
        <w:t>将</w:t>
      </w:r>
      <w:proofErr w:type="spellStart"/>
      <w:r>
        <w:rPr>
          <w:color w:val="000000"/>
        </w:rPr>
        <w:t>X_rgb</w:t>
      </w:r>
      <w:proofErr w:type="spellEnd"/>
      <w:r>
        <w:rPr>
          <w:color w:val="000000"/>
        </w:rPr>
        <w:t>输入公共</w:t>
      </w:r>
      <w:r>
        <w:rPr>
          <w:color w:val="000000"/>
        </w:rPr>
        <w:t>K-Means</w:t>
      </w:r>
      <w:r>
        <w:rPr>
          <w:color w:val="000000"/>
        </w:rPr>
        <w:t>训练函数，分别执行五个指定种子的模型拟合。主模型保留六个</w:t>
      </w:r>
      <w:r>
        <w:rPr>
          <w:color w:val="000000"/>
        </w:rPr>
        <w:t>3</w:t>
      </w:r>
      <w:r>
        <w:rPr>
          <w:color w:val="000000"/>
        </w:rPr>
        <w:t>维中心，输出每张图像的簇编号。</w:t>
      </w:r>
    </w:p>
    <w:p w14:paraId="5C740135" w14:textId="77777777" w:rsidR="002E06FD" w:rsidRDefault="00000000">
      <w:pPr>
        <w:pStyle w:val="a3"/>
        <w:widowControl/>
        <w:spacing w:line="312" w:lineRule="exact"/>
        <w:rPr>
          <w:color w:val="000000"/>
        </w:rPr>
      </w:pPr>
      <w:r>
        <w:rPr>
          <w:color w:val="000000"/>
        </w:rPr>
        <w:t>样本展示按各簇内到中心的距离排序，等距选取最多六张图像。该抽样规则与方法</w:t>
      </w:r>
      <w:r>
        <w:rPr>
          <w:color w:val="000000"/>
        </w:rPr>
        <w:t>B</w:t>
      </w:r>
      <w:r>
        <w:rPr>
          <w:color w:val="000000"/>
        </w:rPr>
        <w:t>相同，其用途是解释结构；最终正确性由全部样本的评价决定，不能由少量代表图或簇规模单独判断。</w:t>
      </w:r>
    </w:p>
    <w:p w14:paraId="695F3A00"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t xml:space="preserve">4 </w:t>
      </w:r>
      <w:r>
        <w:rPr>
          <w:rFonts w:ascii="Times New Roman" w:hAnsi="Times New Roman"/>
          <w:color w:val="000000"/>
          <w:sz w:val="24"/>
        </w:rPr>
        <w:t>方向梯度直方图聚类方法</w:t>
      </w:r>
    </w:p>
    <w:p w14:paraId="0540F37C" w14:textId="77777777" w:rsidR="002E06FD" w:rsidRDefault="00000000">
      <w:pPr>
        <w:keepNext/>
        <w:spacing w:before="100" w:after="40" w:line="312" w:lineRule="exact"/>
        <w:jc w:val="left"/>
        <w:outlineLvl w:val="1"/>
        <w:rPr>
          <w:color w:val="000000"/>
        </w:rPr>
      </w:pPr>
      <w:r>
        <w:rPr>
          <w:rFonts w:eastAsia="黑体"/>
          <w:b/>
          <w:color w:val="000000"/>
        </w:rPr>
        <w:t xml:space="preserve">4.1 </w:t>
      </w:r>
      <w:r>
        <w:rPr>
          <w:rFonts w:eastAsia="黑体"/>
          <w:b/>
          <w:color w:val="000000"/>
        </w:rPr>
        <w:t>特征定义与预处理</w:t>
      </w:r>
    </w:p>
    <w:p w14:paraId="27C99B96" w14:textId="77777777" w:rsidR="002E06FD" w:rsidRDefault="00000000">
      <w:pPr>
        <w:pStyle w:val="a3"/>
        <w:widowControl/>
        <w:spacing w:line="312" w:lineRule="exact"/>
        <w:rPr>
          <w:color w:val="000000"/>
        </w:rPr>
      </w:pPr>
      <w:r>
        <w:rPr>
          <w:color w:val="000000"/>
        </w:rPr>
        <w:t>方法</w:t>
      </w:r>
      <w:r>
        <w:rPr>
          <w:color w:val="000000"/>
        </w:rPr>
        <w:t>B</w:t>
      </w:r>
      <w:r>
        <w:rPr>
          <w:color w:val="000000"/>
        </w:rPr>
        <w:t>将图像转为灰度，采用</w:t>
      </w:r>
      <w:r>
        <w:rPr>
          <w:color w:val="000000"/>
        </w:rPr>
        <w:t>Lanczos</w:t>
      </w:r>
      <w:r>
        <w:rPr>
          <w:color w:val="000000"/>
        </w:rPr>
        <w:t>重采样统一为</w:t>
      </w:r>
      <w:r>
        <w:rPr>
          <w:color w:val="000000"/>
        </w:rPr>
        <w:t>128×128</w:t>
      </w:r>
      <w:r>
        <w:rPr>
          <w:color w:val="000000"/>
        </w:rPr>
        <w:t>，并将像素除以</w:t>
      </w:r>
      <w:r>
        <w:rPr>
          <w:color w:val="000000"/>
        </w:rPr>
        <w:t>255</w:t>
      </w:r>
      <w:r>
        <w:rPr>
          <w:color w:val="000000"/>
        </w:rPr>
        <w:t>转为浮点数。每个</w:t>
      </w:r>
      <w:r>
        <w:rPr>
          <w:color w:val="000000"/>
        </w:rPr>
        <w:t>16×16</w:t>
      </w:r>
      <w:r>
        <w:rPr>
          <w:color w:val="000000"/>
        </w:rPr>
        <w:t>像素单元统计</w:t>
      </w:r>
      <w:r>
        <w:rPr>
          <w:color w:val="000000"/>
        </w:rPr>
        <w:t>9</w:t>
      </w:r>
      <w:r>
        <w:rPr>
          <w:color w:val="000000"/>
        </w:rPr>
        <w:t>个梯度方向区间，相邻</w:t>
      </w:r>
      <w:r>
        <w:rPr>
          <w:color w:val="000000"/>
        </w:rPr>
        <w:t>2×2</w:t>
      </w:r>
      <w:r>
        <w:rPr>
          <w:color w:val="000000"/>
        </w:rPr>
        <w:t>单元组成块，采用</w:t>
      </w:r>
      <w:r>
        <w:rPr>
          <w:color w:val="000000"/>
        </w:rPr>
        <w:t>L2-Hys</w:t>
      </w:r>
      <w:r>
        <w:rPr>
          <w:color w:val="000000"/>
        </w:rPr>
        <w:t>归一化。实现采用</w:t>
      </w:r>
      <w:r>
        <w:rPr>
          <w:color w:val="000000"/>
        </w:rPr>
        <w:t>scikit-image</w:t>
      </w:r>
      <w:r>
        <w:rPr>
          <w:color w:val="000000"/>
        </w:rPr>
        <w:t>的</w:t>
      </w:r>
      <w:r>
        <w:rPr>
          <w:color w:val="000000"/>
        </w:rPr>
        <w:t>hog</w:t>
      </w:r>
      <w:r>
        <w:rPr>
          <w:color w:val="000000"/>
        </w:rPr>
        <w:t>接口，不启用平方根变换，也不追加特征列标准化</w:t>
      </w:r>
      <w:r>
        <w:rPr>
          <w:color w:val="000000"/>
          <w:vertAlign w:val="superscript"/>
        </w:rPr>
        <w:t>[4]</w:t>
      </w:r>
      <w:r>
        <w:rPr>
          <w:color w:val="000000"/>
        </w:rPr>
        <w:t>。</w:t>
      </w:r>
    </w:p>
    <w:p w14:paraId="7C62A487" w14:textId="77777777" w:rsidR="002E06FD" w:rsidRDefault="00000000">
      <w:pPr>
        <w:pStyle w:val="a3"/>
        <w:widowControl/>
        <w:spacing w:line="312" w:lineRule="exact"/>
        <w:rPr>
          <w:color w:val="000000"/>
        </w:rPr>
      </w:pPr>
      <w:r>
        <w:rPr>
          <w:color w:val="000000"/>
        </w:rPr>
        <w:t>每个方向包含</w:t>
      </w:r>
      <w:r>
        <w:rPr>
          <w:color w:val="000000"/>
        </w:rPr>
        <w:t>8</w:t>
      </w:r>
      <w:r>
        <w:rPr>
          <w:color w:val="000000"/>
        </w:rPr>
        <w:t>个单元，重叠块的有效位置为</w:t>
      </w:r>
      <w:r>
        <w:rPr>
          <w:color w:val="000000"/>
        </w:rPr>
        <w:t>8−2+1=7</w:t>
      </w:r>
      <w:r>
        <w:rPr>
          <w:color w:val="000000"/>
        </w:rPr>
        <w:t>，因此特征维度为</w:t>
      </w:r>
      <w:r>
        <w:rPr>
          <w:color w:val="000000"/>
        </w:rPr>
        <w:t>7×7×2×2×9=1764</w:t>
      </w:r>
      <w:r>
        <w:rPr>
          <w:color w:val="000000"/>
        </w:rPr>
        <w:t>，形成</w:t>
      </w:r>
      <w:r>
        <w:rPr>
          <w:color w:val="000000"/>
        </w:rPr>
        <w:t>600×1764</w:t>
      </w:r>
      <w:r>
        <w:rPr>
          <w:color w:val="000000"/>
        </w:rPr>
        <w:t>矩阵。局部方向统计保留了轮廓与纹理的空间分布，但也可能编码背景模式；它不等同于只提取目标边界或执行物体分割。</w:t>
      </w:r>
    </w:p>
    <w:p w14:paraId="6F4EC37B" w14:textId="77777777" w:rsidR="002E06FD" w:rsidRDefault="00000000">
      <w:pPr>
        <w:keepNext/>
        <w:spacing w:before="100" w:after="40" w:line="312" w:lineRule="exact"/>
        <w:jc w:val="left"/>
        <w:outlineLvl w:val="1"/>
        <w:rPr>
          <w:color w:val="000000"/>
        </w:rPr>
      </w:pPr>
      <w:r>
        <w:rPr>
          <w:rFonts w:eastAsia="黑体"/>
          <w:b/>
          <w:color w:val="000000"/>
        </w:rPr>
        <w:t xml:space="preserve">4.2 </w:t>
      </w:r>
      <w:r>
        <w:rPr>
          <w:rFonts w:eastAsia="黑体"/>
          <w:b/>
          <w:color w:val="000000"/>
        </w:rPr>
        <w:t>模型训练与对照条件</w:t>
      </w:r>
    </w:p>
    <w:p w14:paraId="3BAE2A03" w14:textId="77777777" w:rsidR="002E06FD" w:rsidRDefault="00000000">
      <w:pPr>
        <w:pStyle w:val="a3"/>
        <w:widowControl/>
        <w:spacing w:line="312" w:lineRule="exact"/>
        <w:rPr>
          <w:color w:val="000000"/>
        </w:rPr>
      </w:pPr>
      <w:r>
        <w:rPr>
          <w:color w:val="000000"/>
        </w:rPr>
        <w:t>将</w:t>
      </w:r>
      <w:proofErr w:type="spellStart"/>
      <w:r>
        <w:rPr>
          <w:color w:val="000000"/>
        </w:rPr>
        <w:t>X_hog</w:t>
      </w:r>
      <w:proofErr w:type="spellEnd"/>
      <w:r>
        <w:rPr>
          <w:color w:val="000000"/>
        </w:rPr>
        <w:t>输入与方法</w:t>
      </w:r>
      <w:r>
        <w:rPr>
          <w:color w:val="000000"/>
        </w:rPr>
        <w:t>A</w:t>
      </w:r>
      <w:r>
        <w:rPr>
          <w:color w:val="000000"/>
        </w:rPr>
        <w:t>相同的训练函数，独立生成</w:t>
      </w:r>
      <w:proofErr w:type="spellStart"/>
      <w:r>
        <w:rPr>
          <w:color w:val="000000"/>
        </w:rPr>
        <w:t>hog_runs</w:t>
      </w:r>
      <w:proofErr w:type="spellEnd"/>
      <w:r>
        <w:rPr>
          <w:color w:val="000000"/>
        </w:rPr>
        <w:t>并固定种子</w:t>
      </w:r>
      <w:r>
        <w:rPr>
          <w:color w:val="000000"/>
        </w:rPr>
        <w:t>42</w:t>
      </w:r>
      <w:r>
        <w:rPr>
          <w:color w:val="000000"/>
        </w:rPr>
        <w:t>为主模型。模型含六个</w:t>
      </w:r>
      <w:r>
        <w:rPr>
          <w:color w:val="000000"/>
        </w:rPr>
        <w:t>1764</w:t>
      </w:r>
      <w:r>
        <w:rPr>
          <w:color w:val="000000"/>
        </w:rPr>
        <w:t>维中心。所有参数和种子集合保持相同，输出保存于</w:t>
      </w:r>
      <w:r>
        <w:rPr>
          <w:color w:val="000000"/>
        </w:rPr>
        <w:t>results/</w:t>
      </w:r>
      <w:proofErr w:type="spellStart"/>
      <w:r>
        <w:rPr>
          <w:color w:val="000000"/>
        </w:rPr>
        <w:t>method_b_hog</w:t>
      </w:r>
      <w:proofErr w:type="spellEnd"/>
      <w:r>
        <w:rPr>
          <w:color w:val="000000"/>
        </w:rPr>
        <w:t>。两种特征空间的尺度与维度不同，因此不直接比较其</w:t>
      </w:r>
      <w:r>
        <w:rPr>
          <w:color w:val="000000"/>
        </w:rPr>
        <w:t>K-Means</w:t>
      </w:r>
      <w:r>
        <w:rPr>
          <w:color w:val="000000"/>
        </w:rPr>
        <w:t>目标函数值。</w:t>
      </w:r>
    </w:p>
    <w:p w14:paraId="238E9753" w14:textId="77777777" w:rsidR="002E06FD" w:rsidRDefault="00000000">
      <w:pPr>
        <w:pStyle w:val="a3"/>
        <w:widowControl/>
        <w:spacing w:line="312" w:lineRule="exact"/>
        <w:rPr>
          <w:color w:val="000000"/>
        </w:rPr>
      </w:pPr>
      <w:r>
        <w:rPr>
          <w:color w:val="000000"/>
        </w:rPr>
        <w:t>该设计比较两条表示流程的整体效果。灰度化、尺寸、描述符维度及归一化也随方案改变，因此它不是仅改变一个</w:t>
      </w:r>
      <w:r>
        <w:rPr>
          <w:color w:val="000000"/>
        </w:rPr>
        <w:t>HOG</w:t>
      </w:r>
      <w:r>
        <w:rPr>
          <w:color w:val="000000"/>
        </w:rPr>
        <w:t>计算环节的消融实验；结果差异不能全部归因于某一个独立操作。</w:t>
      </w:r>
    </w:p>
    <w:p w14:paraId="305003A6"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t xml:space="preserve">5 </w:t>
      </w:r>
      <w:r>
        <w:rPr>
          <w:rFonts w:ascii="Times New Roman" w:hAnsi="Times New Roman"/>
          <w:color w:val="000000"/>
          <w:sz w:val="24"/>
        </w:rPr>
        <w:t>实验与结果</w:t>
      </w:r>
    </w:p>
    <w:p w14:paraId="08A8CF80" w14:textId="77777777" w:rsidR="002E06FD" w:rsidRDefault="00000000">
      <w:pPr>
        <w:keepNext/>
        <w:spacing w:before="100" w:after="40" w:line="312" w:lineRule="exact"/>
        <w:jc w:val="left"/>
        <w:outlineLvl w:val="1"/>
        <w:rPr>
          <w:color w:val="000000"/>
        </w:rPr>
      </w:pPr>
      <w:r>
        <w:rPr>
          <w:rFonts w:eastAsia="黑体"/>
          <w:b/>
          <w:color w:val="000000"/>
        </w:rPr>
        <w:t xml:space="preserve">5.1 </w:t>
      </w:r>
      <w:r>
        <w:rPr>
          <w:rFonts w:eastAsia="黑体"/>
          <w:b/>
          <w:color w:val="000000"/>
        </w:rPr>
        <w:t>评价指标</w:t>
      </w:r>
    </w:p>
    <w:p w14:paraId="4F2D0CF5" w14:textId="77777777" w:rsidR="002E06FD" w:rsidRDefault="00000000">
      <w:pPr>
        <w:pStyle w:val="a3"/>
        <w:widowControl/>
        <w:spacing w:line="312" w:lineRule="exact"/>
        <w:rPr>
          <w:color w:val="000000"/>
        </w:rPr>
      </w:pPr>
      <w:r>
        <w:rPr>
          <w:color w:val="000000"/>
        </w:rPr>
        <w:t>外部评价采用最佳一对一匹配后的</w:t>
      </w:r>
      <w:r>
        <w:rPr>
          <w:color w:val="000000"/>
        </w:rPr>
        <w:t>ACC</w:t>
      </w:r>
      <w:r>
        <w:rPr>
          <w:color w:val="000000"/>
        </w:rPr>
        <w:t>、调整兰德指数</w:t>
      </w:r>
      <w:r>
        <w:rPr>
          <w:color w:val="000000"/>
        </w:rPr>
        <w:t>ARI</w:t>
      </w:r>
      <w:r>
        <w:rPr>
          <w:color w:val="000000"/>
        </w:rPr>
        <w:t>和归一化互信息</w:t>
      </w:r>
      <w:r>
        <w:rPr>
          <w:color w:val="000000"/>
        </w:rPr>
        <w:t>NMI</w:t>
      </w:r>
      <w:r>
        <w:rPr>
          <w:color w:val="000000"/>
        </w:rPr>
        <w:t>。</w:t>
      </w:r>
      <w:r>
        <w:rPr>
          <w:color w:val="000000"/>
        </w:rPr>
        <w:t>ARI</w:t>
      </w:r>
      <w:r>
        <w:rPr>
          <w:color w:val="000000"/>
        </w:rPr>
        <w:t>修正随机分组造成的机会一致性，</w:t>
      </w:r>
      <w:r>
        <w:rPr>
          <w:color w:val="000000"/>
        </w:rPr>
        <w:t>1</w:t>
      </w:r>
      <w:r>
        <w:rPr>
          <w:color w:val="000000"/>
        </w:rPr>
        <w:t>表示完全一致，随机分组的期望约为</w:t>
      </w:r>
      <w:r>
        <w:rPr>
          <w:color w:val="000000"/>
        </w:rPr>
        <w:t>0</w:t>
      </w:r>
      <w:r>
        <w:rPr>
          <w:color w:val="000000"/>
        </w:rPr>
        <w:t>，也可能为负</w:t>
      </w:r>
      <w:r>
        <w:rPr>
          <w:color w:val="000000"/>
          <w:vertAlign w:val="superscript"/>
        </w:rPr>
        <w:t>[5]</w:t>
      </w:r>
      <w:r>
        <w:rPr>
          <w:color w:val="000000"/>
        </w:rPr>
        <w:t>。</w:t>
      </w:r>
      <w:r>
        <w:rPr>
          <w:color w:val="000000"/>
        </w:rPr>
        <w:t>NMI</w:t>
      </w:r>
      <w:r>
        <w:rPr>
          <w:color w:val="000000"/>
        </w:rPr>
        <w:t>采用熵的算术平均作归一化，具体定义见式</w:t>
      </w:r>
      <w:proofErr w:type="gramStart"/>
      <w:r>
        <w:rPr>
          <w:color w:val="000000"/>
        </w:rPr>
        <w:t>(3)</w:t>
      </w:r>
      <w:proofErr w:type="gramEnd"/>
      <w:r>
        <w:rPr>
          <w:color w:val="000000"/>
        </w:rPr>
        <w:t>。</w:t>
      </w:r>
    </w:p>
    <w:p w14:paraId="0E56FA55" w14:textId="6B017E58" w:rsidR="002E06FD" w:rsidRDefault="00335598">
      <w:pPr>
        <w:spacing w:before="80" w:after="80"/>
        <w:jc w:val="center"/>
      </w:pPr>
      <w:r w:rsidRPr="00335598">
        <w:rPr>
          <w:color w:val="000000"/>
          <w:sz w:val="18"/>
        </w:rPr>
        <w:fldChar w:fldCharType="begin"/>
      </w:r>
      <w:r w:rsidRPr="00335598">
        <w:rPr>
          <w:color w:val="000000"/>
          <w:sz w:val="18"/>
        </w:rPr>
        <w:instrText xml:space="preserve"> QUOTE </w:instrText>
      </w:r>
      <w:r w:rsidR="00716DB6">
        <w:rPr>
          <w:position w:val="-25"/>
        </w:rPr>
        <w:pict w14:anchorId="5B7251CE">
          <v:shape id="_x0000_i1040" type="#_x0000_t75" style="width:63.05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3F7A78&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3F7A78&quot; wsp:rsidRDefault=&quot;003F7A78&quot; wsp:rsidP=&quot;003F7A78&quot;&gt;&lt;m:oMathPara&gt;&lt;m:oMath&gt;&lt;m:r&gt;&lt;m:rPr&gt;&lt;m:sty m:val=&quot;p&quot;/&gt;&lt;/m:rPr&gt;&lt;w:rPr&gt;&lt;w:rFonts w:ascii=&quot;Cambria Math&quot; w:h-ansi=&quot;Cambria Math&quot;/&gt;&lt;wx:font wx:val=&quot;Cambria Math&quot;/&gt;&lt;w:sz w:val=&quot;19&quot;/&gt;&lt;/w:rPr&gt;&lt;m:t&gt;NMI=&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sz w:val=&quot;19&quot;/&gt;&lt;/w:rPr&gt;&lt;m:t&gt;2MI(Y,Z)&lt;/m:t&gt;&lt;/m:r&gt;&lt;/m:num&gt;&lt;m:den&gt;&lt;m:r&gt;&lt;m:rPr&gt;&lt;m:sty m:val=&quot;p&quot;/&gt;&lt;/m:rPr&gt;&lt;w:rPr&gt;&lt;w:rFonts w:ascii=&quot;Cambria Math&quot; w:h-ansi=&quot;Cambria Math&quot;/&gt;&lt;wx:font wx:val=&quot;Cambria Math&quot;/&gt;&lt;w:sz w:val=&quot;19&quot;/&gt;&lt;/w:rPr&gt;&lt;m:t&gt;H(Y)+H(Z)&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335598">
        <w:rPr>
          <w:color w:val="000000"/>
          <w:sz w:val="18"/>
        </w:rPr>
        <w:instrText xml:space="preserve"> </w:instrText>
      </w:r>
      <w:r w:rsidRPr="00335598">
        <w:rPr>
          <w:color w:val="000000"/>
          <w:sz w:val="18"/>
        </w:rPr>
        <w:fldChar w:fldCharType="separate"/>
      </w:r>
      <w:r w:rsidR="00716DB6">
        <w:rPr>
          <w:position w:val="-25"/>
        </w:rPr>
        <w:pict w14:anchorId="7AA36FB5">
          <v:shape id="_x0000_i1041" type="#_x0000_t75" style="width:63.05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3F7A78&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3F7A78&quot; wsp:rsidRDefault=&quot;003F7A78&quot; wsp:rsidP=&quot;003F7A78&quot;&gt;&lt;m:oMathPara&gt;&lt;m:oMath&gt;&lt;m:r&gt;&lt;m:rPr&gt;&lt;m:sty m:val=&quot;p&quot;/&gt;&lt;/m:rPr&gt;&lt;w:rPr&gt;&lt;w:rFonts w:ascii=&quot;Cambria Math&quot; w:h-ansi=&quot;Cambria Math&quot;/&gt;&lt;wx:font wx:val=&quot;Cambria Math&quot;/&gt;&lt;w:sz w:val=&quot;19&quot;/&gt;&lt;/w:rPr&gt;&lt;m:t&gt;NMI=&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sz w:val=&quot;19&quot;/&gt;&lt;/w:rPr&gt;&lt;m:t&gt;2MI(Y,Z)&lt;/m:t&gt;&lt;/m:r&gt;&lt;/m:num&gt;&lt;m:den&gt;&lt;m:r&gt;&lt;m:rPr&gt;&lt;m:sty m:val=&quot;p&quot;/&gt;&lt;/m:rPr&gt;&lt;w:rPr&gt;&lt;w:rFonts w:ascii=&quot;Cambria Math&quot; w:h-ansi=&quot;Cambria Math&quot;/&gt;&lt;wx:font wx:val=&quot;Cambria Math&quot;/&gt;&lt;w:sz w:val=&quot;19&quot;/&gt;&lt;/w:rPr&gt;&lt;m:t&gt;H(Y)+H(Z)&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335598">
        <w:rPr>
          <w:color w:val="000000"/>
          <w:sz w:val="18"/>
        </w:rPr>
        <w:fldChar w:fldCharType="end"/>
      </w:r>
      <w:r>
        <w:rPr>
          <w:color w:val="000000"/>
          <w:sz w:val="18"/>
        </w:rPr>
        <w:t xml:space="preserve">  (3)</w:t>
      </w:r>
    </w:p>
    <w:p w14:paraId="39CE54DD" w14:textId="77777777" w:rsidR="002E06FD" w:rsidRDefault="00000000">
      <w:pPr>
        <w:pStyle w:val="a3"/>
        <w:widowControl/>
        <w:spacing w:line="312" w:lineRule="exact"/>
        <w:rPr>
          <w:color w:val="000000"/>
        </w:rPr>
      </w:pPr>
      <w:r>
        <w:rPr>
          <w:color w:val="000000"/>
        </w:rPr>
        <w:t>内部评价采用轮廓系数。设</w:t>
      </w:r>
      <w:r>
        <w:rPr>
          <w:color w:val="000000"/>
        </w:rPr>
        <w:t>a</w:t>
      </w:r>
      <w:proofErr w:type="gramStart"/>
      <w:r>
        <w:rPr>
          <w:color w:val="000000"/>
        </w:rPr>
        <w:t>(</w:t>
      </w:r>
      <w:proofErr w:type="spellStart"/>
      <w:r>
        <w:rPr>
          <w:color w:val="000000"/>
        </w:rPr>
        <w:t>i</w:t>
      </w:r>
      <w:proofErr w:type="spellEnd"/>
      <w:r>
        <w:rPr>
          <w:color w:val="000000"/>
        </w:rPr>
        <w:t>)</w:t>
      </w:r>
      <w:proofErr w:type="gramEnd"/>
      <w:r>
        <w:rPr>
          <w:color w:val="000000"/>
        </w:rPr>
        <w:t>为样本与同簇其他样本的平均距离，</w:t>
      </w:r>
      <w:r>
        <w:rPr>
          <w:color w:val="000000"/>
        </w:rPr>
        <w:t>b</w:t>
      </w:r>
      <w:proofErr w:type="gramStart"/>
      <w:r>
        <w:rPr>
          <w:color w:val="000000"/>
        </w:rPr>
        <w:t>(</w:t>
      </w:r>
      <w:proofErr w:type="spellStart"/>
      <w:r>
        <w:rPr>
          <w:color w:val="000000"/>
        </w:rPr>
        <w:t>i</w:t>
      </w:r>
      <w:proofErr w:type="spellEnd"/>
      <w:r>
        <w:rPr>
          <w:color w:val="000000"/>
        </w:rPr>
        <w:t>)</w:t>
      </w:r>
      <w:proofErr w:type="gramEnd"/>
      <w:r>
        <w:rPr>
          <w:color w:val="000000"/>
        </w:rPr>
        <w:t>为其到最近其他簇的平均距离，按式</w:t>
      </w:r>
      <w:proofErr w:type="gramStart"/>
      <w:r>
        <w:rPr>
          <w:color w:val="000000"/>
        </w:rPr>
        <w:t>(4)</w:t>
      </w:r>
      <w:proofErr w:type="gramEnd"/>
      <w:r>
        <w:rPr>
          <w:color w:val="000000"/>
        </w:rPr>
        <w:t>计算样本分数并取整体均值</w:t>
      </w:r>
      <w:r>
        <w:rPr>
          <w:color w:val="000000"/>
          <w:vertAlign w:val="superscript"/>
        </w:rPr>
        <w:t>[6]</w:t>
      </w:r>
      <w:r>
        <w:rPr>
          <w:color w:val="000000"/>
        </w:rPr>
        <w:t>。该指标体现所选特征空间中的几何分离，不能替代真实类别核对。</w:t>
      </w:r>
    </w:p>
    <w:p w14:paraId="3B9A6ECA" w14:textId="4D4AEA82" w:rsidR="002E06FD" w:rsidRDefault="00335598">
      <w:pPr>
        <w:spacing w:before="80" w:after="80"/>
        <w:jc w:val="center"/>
      </w:pPr>
      <w:r w:rsidRPr="00335598">
        <w:rPr>
          <w:color w:val="000000"/>
          <w:sz w:val="18"/>
        </w:rPr>
        <w:fldChar w:fldCharType="begin"/>
      </w:r>
      <w:r w:rsidRPr="00335598">
        <w:rPr>
          <w:color w:val="000000"/>
          <w:sz w:val="18"/>
        </w:rPr>
        <w:instrText xml:space="preserve"> QUOTE </w:instrText>
      </w:r>
      <w:r w:rsidR="00716DB6">
        <w:rPr>
          <w:position w:val="-25"/>
        </w:rPr>
        <w:pict w14:anchorId="76DD59BB">
          <v:shape id="_x0000_i1042" type="#_x0000_t75" style="width:73.1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1536F&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1536F&quot; wsp:rsidRDefault=&quot;00C1536F&quot; wsp:rsidP=&quot;00C1536F&quot;&gt;&lt;m:oMathPara&gt;&lt;m:oMath&gt;&lt;m:r&gt;&lt;w:rPr&gt;&lt;w:rFonts w:ascii=&quot;Cambria Math&quot; w:h-ansi=&quot;Cambria Math&quot;/&gt;&lt;wx:font wx:val=&quot;Cambria Math&quot;/&gt;&lt;w:i/&gt;&lt;w:sz w:val=&quot;19&quot;/&gt;&lt;/w:rPr&gt;&lt;m:t&gt;s(i)=&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sz w:val=&quot;19&quot;/&gt;&lt;/w:rPr&gt;&lt;m:t&gt;b(i)-a(i)&lt;/m:t&gt;&lt;/m:r&gt;&lt;/m:num&gt;&lt;m:den&gt;&lt;m:r&gt;&lt;w:rPr&gt;&lt;w:rFonts w:ascii=&quot;Cambria Math&quot; w:h-ansi=&quot;Cambria Math&quot;/&gt;&lt;wx:font wx:val=&quot;Cambria Math&quot;/&gt;&lt;w:i/&gt;&lt;w:sz w:val=&quot;19&quot;/&gt;&lt;/w:rPr&gt;&lt;m:t&gt;max{a(i),b(i)}&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335598">
        <w:rPr>
          <w:color w:val="000000"/>
          <w:sz w:val="18"/>
        </w:rPr>
        <w:instrText xml:space="preserve"> </w:instrText>
      </w:r>
      <w:r w:rsidRPr="00335598">
        <w:rPr>
          <w:color w:val="000000"/>
          <w:sz w:val="18"/>
        </w:rPr>
        <w:fldChar w:fldCharType="separate"/>
      </w:r>
      <w:r w:rsidR="00716DB6">
        <w:rPr>
          <w:position w:val="-25"/>
        </w:rPr>
        <w:pict w14:anchorId="4240DC29">
          <v:shape id="_x0000_i1043" type="#_x0000_t75" style="width:73.1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1536F&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C1536F&quot; wsp:rsidRDefault=&quot;00C1536F&quot; wsp:rsidP=&quot;00C1536F&quot;&gt;&lt;m:oMathPara&gt;&lt;m:oMath&gt;&lt;m:r&gt;&lt;w:rPr&gt;&lt;w:rFonts w:ascii=&quot;Cambria Math&quot; w:h-ansi=&quot;Cambria Math&quot;/&gt;&lt;wx:font wx:val=&quot;Cambria Math&quot;/&gt;&lt;w:i/&gt;&lt;w:sz w:val=&quot;19&quot;/&gt;&lt;/w:rPr&gt;&lt;m:t&gt;s(i)=&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sz w:val=&quot;19&quot;/&gt;&lt;/w:rPr&gt;&lt;m:t&gt;b(i)-a(i)&lt;/m:t&gt;&lt;/m:r&gt;&lt;/m:num&gt;&lt;m:den&gt;&lt;m:r&gt;&lt;w:rPr&gt;&lt;w:rFonts w:ascii=&quot;Cambria Math&quot; w:h-ansi=&quot;Cambria Math&quot;/&gt;&lt;wx:font wx:val=&quot;Cambria Math&quot;/&gt;&lt;w:i/&gt;&lt;w:sz w:val=&quot;19&quot;/&gt;&lt;/w:rPr&gt;&lt;m:t&gt;max{a(i),b(i)}&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335598">
        <w:rPr>
          <w:color w:val="000000"/>
          <w:sz w:val="18"/>
        </w:rPr>
        <w:fldChar w:fldCharType="end"/>
      </w:r>
      <w:r>
        <w:rPr>
          <w:color w:val="000000"/>
          <w:sz w:val="18"/>
        </w:rPr>
        <w:t xml:space="preserve">  (4)</w:t>
      </w:r>
    </w:p>
    <w:p w14:paraId="2E990051" w14:textId="77777777" w:rsidR="002E06FD" w:rsidRDefault="00000000">
      <w:pPr>
        <w:pStyle w:val="a3"/>
        <w:widowControl/>
        <w:spacing w:line="312" w:lineRule="exact"/>
        <w:rPr>
          <w:color w:val="000000"/>
        </w:rPr>
      </w:pPr>
      <w:r>
        <w:rPr>
          <w:color w:val="000000"/>
        </w:rPr>
        <w:t>簇编号是任意命名。</w:t>
      </w:r>
      <w:r>
        <w:rPr>
          <w:color w:val="000000"/>
        </w:rPr>
        <w:t>ACC</w:t>
      </w:r>
      <w:r>
        <w:rPr>
          <w:color w:val="000000"/>
        </w:rPr>
        <w:t>通过线性指派求解类别与簇的最佳一对一对应，再计算正确比例，式</w:t>
      </w:r>
      <w:proofErr w:type="gramStart"/>
      <w:r>
        <w:rPr>
          <w:color w:val="000000"/>
        </w:rPr>
        <w:t>(5)</w:t>
      </w:r>
      <w:proofErr w:type="gramEnd"/>
      <w:r>
        <w:rPr>
          <w:color w:val="000000"/>
        </w:rPr>
        <w:t>中的</w:t>
      </w:r>
      <w:r>
        <w:rPr>
          <w:color w:val="000000"/>
        </w:rPr>
        <w:t>π</w:t>
      </w:r>
      <w:r>
        <w:rPr>
          <w:color w:val="000000"/>
        </w:rPr>
        <w:t>为对应映射。本文使用</w:t>
      </w:r>
      <w:r>
        <w:rPr>
          <w:color w:val="000000"/>
        </w:rPr>
        <w:t>SciPy</w:t>
      </w:r>
      <w:r>
        <w:rPr>
          <w:color w:val="000000"/>
        </w:rPr>
        <w:t>接口完成匹配</w:t>
      </w:r>
      <w:r>
        <w:rPr>
          <w:color w:val="000000"/>
          <w:vertAlign w:val="superscript"/>
        </w:rPr>
        <w:t>[7]</w:t>
      </w:r>
      <w:r>
        <w:rPr>
          <w:color w:val="000000"/>
        </w:rPr>
        <w:t>；该过程只解释编号，不改变原有分组。所有评价都在聚类完成后进行。</w:t>
      </w:r>
    </w:p>
    <w:p w14:paraId="3EAE0176" w14:textId="39E8A345" w:rsidR="002E06FD" w:rsidRDefault="00335598">
      <w:pPr>
        <w:spacing w:before="80" w:after="80"/>
        <w:jc w:val="center"/>
      </w:pPr>
      <w:r w:rsidRPr="00335598">
        <w:rPr>
          <w:color w:val="000000"/>
          <w:sz w:val="18"/>
        </w:rPr>
        <w:fldChar w:fldCharType="begin"/>
      </w:r>
      <w:r w:rsidRPr="00335598">
        <w:rPr>
          <w:color w:val="000000"/>
          <w:sz w:val="18"/>
        </w:rPr>
        <w:instrText xml:space="preserve"> QUOTE </w:instrText>
      </w:r>
      <w:r w:rsidR="00716DB6">
        <w:rPr>
          <w:position w:val="-25"/>
        </w:rPr>
        <w:pict w14:anchorId="5B8C2FAA">
          <v:shape id="_x0000_i1044" type="#_x0000_t75" style="width:133.4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170&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341170&quot; wsp:rsidRDefault=&quot;00341170&quot; wsp:rsidP=&quot;00341170&quot;&gt;&lt;m:oMathPara&gt;&lt;m:oMath&gt;&lt;m:r&gt;&lt;m:rPr&gt;&lt;m:sty m:val=&quot;p&quot;/&gt;&lt;/m:rPr&gt;&lt;w:rPr&gt;&lt;w:rFonts w:ascii=&quot;Cambria Math&quot; w:h-ansi=&quot;Cambria Math&quot;/&gt;&lt;wx:font wx:val=&quot;Cambria Math&quot;/&gt;&lt;w:sz w:val=&quot;19&quot;/&gt;&lt;/w:rPr&gt;&lt;m:t&gt;ACC=&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sz w:val=&quot;19&quot;/&gt;&lt;/w:rPr&gt;&lt;m:t&gt;1&lt;/m:t&gt;&lt;/m:r&gt;&lt;/m:num&gt;&lt;m:den&gt;&lt;m:r&gt;&lt;w:rPr&gt;&lt;w:rFonts w:ascii=&quot;Cambria Math&quot; w:h-ansi=&quot;Cambria Math&quot;/&gt;&lt;wx:font wx:val=&quot;Cambria Math&quot;/&gt;&lt;w:i/&gt;&lt;w:sz w:val=&quot;19&quot;/&gt;&lt;/w:rPr&gt;&lt;m:t&gt;N&lt;/m:t&gt;&lt;/m:r&gt;&lt;/m:den&gt;&lt;/m:f&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sz w:val=&quot;19&quot;/&gt;&lt;/w:rPr&gt;&lt;m:t&gt;max&lt;/m:t&gt;&lt;/m:r&gt;&lt;/m:e&gt;&lt;m:sub&gt;&lt;m:r&gt;&lt;w:rPr&gt;&lt;w:rFonts w:ascii=&quot;Cambria Math&quot; w:h-ansi=&quot;Cambria Math&quot;/&gt;&lt;wx:font wx:val=&quot;Cambria Math&quot;/&gt;&lt;w:i/&gt;&lt;w:sz w:val=&quot;19&quot;/&gt;&lt;/w:rPr&gt;&lt;m:t&gt;蟺&lt;/m:t&gt;&lt;/m:r&gt;&lt;/m:sub&gt;&lt;/m:sSub&gt;&lt;m:nary&gt;&lt;m:naryPr&gt;&lt;m:chr m:val=&quot;鈭?/&gt;&lt;m:limLoc m:val=&quot;subSup&quot;/&gt;&lt;m:ctrlPr&gt;&lt;w:rPr&gt;&lt;w:rFonts w:ascii=&quot;Cambria Math&quot; w:h-ansi=&quot;Cambria  w:w:Math&quot;/&gt;&lt;wx:font wx:val=&quot;Cambria Math&quot;/&gt;&lt;/w:rPr&gt;&lt;/m:ctrlPr&gt;&lt;/m:naryPr&gt;&lt;m:sub&gt;&lt;m:r&gt;&lt;w:rPr&gt;&lt;w:rFonts w:ascii=&quot;Cambria Math&quot; w:h-ansi=&quot;Cambria Math&quot;/&gt;&lt;wx:font wx:val=&quot;Cambria Math&quot;/&gt;&lt;w:i/&gt;&lt;w:sz w:val=&quot;19&quot;/&gt;&lt;/w:rPr&gt;&lt;m:t&gt;i=1&lt;/m:t&gt;&lt;/m:r&gt;&lt;/m:sub&gt;&lt;m:sup&gt;&lt;m:r&gt;&lt;w:rPr&gt;&lt;w:rFonts w:ascii=&quot;Cambria Math&quot; w:h-ansi=&quot;Cambria Math&quot;/&gt;&lt;wx:font wx:val=&quot;Cambria Math&quot;/&gt;&lt;w:i/&gt;&lt;w:sz w:val=&quot;19&quot;/&gt;&lt;/w:rPr&gt;&lt;m:t&gt;N&lt;/m:t&gt;&lt;/m:r&gt;&lt;/m:sup&gt;&lt;m:e&gt;&lt;m:r&gt;&lt;m:rPr&gt;&lt;m:sty m:val=&quot;p&quot;/&gt;&lt;/m:rPr&gt;&lt;w:rPr&gt;&lt;w:rFonts w:ascii=&quot;Cambria Math&quot; w:h-ansi=&quot;Cambria Math&quot;/&gt;&lt;wx:font wx:val=&quot;Cambria Math&quot;/&gt;&lt;w:sz w:val=&quot;19&quot;/&gt;&lt;/w:rPr&gt;&lt;m:t&gt;1&lt;/m:t&gt;&lt;/m:r&gt;&lt;m:r&gt;&lt;w:rPr&gt;&lt;w:rFonts w:ascii=&quot;Cambria Math&quot; w:h-ansi=&quot;Cambria Math&quot;/&gt;&lt;wx:font wx:val=&quot;Cambria Math&quot;/&gt;&lt;w:i/&gt;&lt;w:sz w:val=&quot;19&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y&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蟺(&lt;/m:t&gt;&lt;/m:r&gt;&lt;m:sSub&gt;&lt;m:sSubPr&gt;&lt;m:ctrlPr&gt;&lt;w:rPr&gt;&lt;w:rFonts w:ascii=&quot;Cambria Math&quot; w:h-ansi=&quot;Cambria Math&quot;/&gt;&lt;wx:font wx:val=&quot;Cambria Math&quot;/&gt;&lt;/w:rPr&gt;&lt;/m:catrMlPr&gt;&lt;/m:sSubPr&gt;&lt;m:e&gt;&lt;m:r&gt;&lt;w:rPr&gt;&lt;w:rFonts w:ascii=&quot;Cambria Math&quot; w:h-ansi=&quot;Cambria Math&quot;/&gt;&lt;wx:font wx:val=&quot;Cambria Math&quot;/&gt;&lt;w:i/&gt;&lt;w:sz w:val=&quot;19&quot;/&gt;&lt;/w:rPr&gt;&lt;m:t&gt;z&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 &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Pr="00335598">
        <w:rPr>
          <w:color w:val="000000"/>
          <w:sz w:val="18"/>
        </w:rPr>
        <w:instrText xml:space="preserve"> </w:instrText>
      </w:r>
      <w:r w:rsidRPr="00335598">
        <w:rPr>
          <w:color w:val="000000"/>
          <w:sz w:val="18"/>
        </w:rPr>
        <w:fldChar w:fldCharType="separate"/>
      </w:r>
      <w:r w:rsidR="00716DB6">
        <w:rPr>
          <w:position w:val="-25"/>
        </w:rPr>
        <w:pict w14:anchorId="549381D5">
          <v:shape id="_x0000_i1045" type="#_x0000_t75" style="width:133.4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rd=&quot;http://schemas.microsoft.com/office/reactions/2026/reactionDetails&quot; xmlns:v=&quot;urn:schemas-microsoft-com:vml&quot; xmlns:w10=&quot;urn:schemas-microsoft-com:office:word&quot; xmlns:w=&quot;http://schemas.microsoft.com/office/word/2003/wordml&quot; xmlns:w16cei=&quot;http://schemas.microsoft.com/office/word/2026/wordml/cei&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D04369&quot;/&gt;&lt;wsp:rsid wsp:val=&quot;000030EE&quot;/&gt;&lt;wsp:rsid wsp:val=&quot;000122D8&quot;/&gt;&lt;wsp:rsid wsp:val=&quot;0001662B&quot;/&gt;&lt;wsp:rsid wsp:val=&quot;00030A47&quot;/&gt;&lt;wsp:rsid wsp:val=&quot;00041CFC&quot;/&gt;&lt;wsp:rsid wsp:val=&quot;00042878&quot;/&gt;&lt;wsp:rsid wsp:val=&quot;00050E3E&quot;/&gt;&lt;wsp:rsid wsp:val=&quot;0005687D&quot;/&gt;&lt;wsp:rsid wsp:val=&quot;00056B68&quot;/&gt;&lt;wsp:rsid wsp:val=&quot;000662DB&quot;/&gt;&lt;wsp:rsid wsp:val=&quot;000701E6&quot;/&gt;&lt;wsp:rsid wsp:val=&quot;00084145&quot;/&gt;&lt;wsp:rsid wsp:val=&quot;00084528&quot;/&gt;&lt;wsp:rsid wsp:val=&quot;0009041C&quot;/&gt;&lt;wsp:rsid wsp:val=&quot;00090D22&quot;/&gt;&lt;wsp:rsid wsp:val=&quot;00093BC4&quot;/&gt;&lt;wsp:rsid wsp:val=&quot;000955E0&quot;/&gt;&lt;wsp:rsid wsp:val=&quot;000A38A5&quot;/&gt;&lt;wsp:rsid wsp:val=&quot;000A4F90&quot;/&gt;&lt;wsp:rsid wsp:val=&quot;000B2479&quot;/&gt;&lt;wsp:rsid wsp:val=&quot;000B4DD6&quot;/&gt;&lt;wsp:rsid wsp:val=&quot;000B5D1E&quot;/&gt;&lt;wsp:rsid wsp:val=&quot;000C2D29&quot;/&gt;&lt;wsp:rsid wsp:val=&quot;000C4736&quot;/&gt;&lt;wsp:rsid wsp:val=&quot;000C4810&quot;/&gt;&lt;wsp:rsid wsp:val=&quot;000C4E81&quot;/&gt;&lt;wsp:rsid wsp:val=&quot;000C7156&quot;/&gt;&lt;wsp:rsid wsp:val=&quot;000C76EF&quot;/&gt;&lt;wsp:rsid wsp:val=&quot;000D2774&quot;/&gt;&lt;wsp:rsid wsp:val=&quot;000D77D9&quot;/&gt;&lt;wsp:rsid wsp:val=&quot;000E21F7&quot;/&gt;&lt;wsp:rsid wsp:val=&quot;000E2F33&quot;/&gt;&lt;wsp:rsid wsp:val=&quot;000F1A05&quot;/&gt;&lt;wsp:rsid wsp:val=&quot;000F4DAD&quot;/&gt;&lt;wsp:rsid wsp:val=&quot;0010141B&quot;/&gt;&lt;wsp:rsid wsp:val=&quot;00115507&quot;/&gt;&lt;wsp:rsid wsp:val=&quot;001179EA&quot;/&gt;&lt;wsp:rsid wsp:val=&quot;00120538&quot;/&gt;&lt;wsp:rsid wsp:val=&quot;001213A8&quot;/&gt;&lt;wsp:rsid wsp:val=&quot;001314A6&quot;/&gt;&lt;wsp:rsid wsp:val=&quot;00136384&quot;/&gt;&lt;wsp:rsid wsp:val=&quot;00144AC1&quot;/&gt;&lt;wsp:rsid wsp:val=&quot;00146A0E&quot;/&gt;&lt;wsp:rsid wsp:val=&quot;00153688&quot;/&gt;&lt;wsp:rsid wsp:val=&quot;00166006&quot;/&gt;&lt;wsp:rsid wsp:val=&quot;00170036&quot;/&gt;&lt;wsp:rsid wsp:val=&quot;00172869&quot;/&gt;&lt;wsp:rsid wsp:val=&quot;0017792C&quot;/&gt;&lt;wsp:rsid wsp:val=&quot;00183CE6&quot;/&gt;&lt;wsp:rsid wsp:val=&quot;00192A3C&quot;/&gt;&lt;wsp:rsid wsp:val=&quot;001A3582&quot;/&gt;&lt;wsp:rsid wsp:val=&quot;001A5F60&quot;/&gt;&lt;wsp:rsid wsp:val=&quot;001B5F44&quot;/&gt;&lt;wsp:rsid wsp:val=&quot;001B6074&quot;/&gt;&lt;wsp:rsid wsp:val=&quot;001C4198&quot;/&gt;&lt;wsp:rsid wsp:val=&quot;001D20A5&quot;/&gt;&lt;wsp:rsid wsp:val=&quot;001D28B5&quot;/&gt;&lt;wsp:rsid wsp:val=&quot;001D6DAE&quot;/&gt;&lt;wsp:rsid wsp:val=&quot;001E33E7&quot;/&gt;&lt;wsp:rsid wsp:val=&quot;001E33F4&quot;/&gt;&lt;wsp:rsid wsp:val=&quot;001E4940&quot;/&gt;&lt;wsp:rsid wsp:val=&quot;001E7387&quot;/&gt;&lt;wsp:rsid wsp:val=&quot;001F2710&quot;/&gt;&lt;wsp:rsid wsp:val=&quot;001F4EDD&quot;/&gt;&lt;wsp:rsid wsp:val=&quot;00200265&quot;/&gt;&lt;wsp:rsid wsp:val=&quot;002057F3&quot;/&gt;&lt;wsp:rsid wsp:val=&quot;00206379&quot;/&gt;&lt;wsp:rsid wsp:val=&quot;00210CD6&quot;/&gt;&lt;wsp:rsid wsp:val=&quot;00211EA2&quot;/&gt;&lt;wsp:rsid wsp:val=&quot;00214347&quot;/&gt;&lt;wsp:rsid wsp:val=&quot;002163C3&quot;/&gt;&lt;wsp:rsid wsp:val=&quot;002250EF&quot;/&gt;&lt;wsp:rsid wsp:val=&quot;0023290D&quot;/&gt;&lt;wsp:rsid wsp:val=&quot;002348C3&quot;/&gt;&lt;wsp:rsid wsp:val=&quot;00244F30&quot;/&gt;&lt;wsp:rsid wsp:val=&quot;00251EFB&quot;/&gt;&lt;wsp:rsid wsp:val=&quot;00265180&quot;/&gt;&lt;wsp:rsid wsp:val=&quot;00271000&quot;/&gt;&lt;wsp:rsid wsp:val=&quot;00286FCA&quot;/&gt;&lt;wsp:rsid wsp:val=&quot;00294E29&quot;/&gt;&lt;wsp:rsid wsp:val=&quot;002A0AF9&quot;/&gt;&lt;wsp:rsid wsp:val=&quot;002B10B1&quot;/&gt;&lt;wsp:rsid wsp:val=&quot;002B2A15&quot;/&gt;&lt;wsp:rsid wsp:val=&quot;002B302B&quot;/&gt;&lt;wsp:rsid wsp:val=&quot;002B7171&quot;/&gt;&lt;wsp:rsid wsp:val=&quot;002C0A61&quot;/&gt;&lt;wsp:rsid wsp:val=&quot;002C55A7&quot;/&gt;&lt;wsp:rsid wsp:val=&quot;002D2ADE&quot;/&gt;&lt;wsp:rsid wsp:val=&quot;002E06FD&quot;/&gt;&lt;wsp:rsid wsp:val=&quot;002F0F72&quot;/&gt;&lt;wsp:rsid wsp:val=&quot;003100D9&quot;/&gt;&lt;wsp:rsid wsp:val=&quot;00320234&quot;/&gt;&lt;wsp:rsid wsp:val=&quot;00322B06&quot;/&gt;&lt;wsp:rsid wsp:val=&quot;00323121&quot;/&gt;&lt;wsp:rsid wsp:val=&quot;003301A5&quot;/&gt;&lt;wsp:rsid wsp:val=&quot;0033099D&quot;/&gt;&lt;wsp:rsid wsp:val=&quot;00333A25&quot;/&gt;&lt;wsp:rsid wsp:val=&quot;00333D39&quot;/&gt;&lt;wsp:rsid wsp:val=&quot;00335598&quot;/&gt;&lt;wsp:rsid wsp:val=&quot;0033749D&quot;/&gt;&lt;wsp:rsid wsp:val=&quot;00341170&quot;/&gt;&lt;wsp:rsid wsp:val=&quot;0034124C&quot;/&gt;&lt;wsp:rsid wsp:val=&quot;003457F2&quot;/&gt;&lt;wsp:rsid wsp:val=&quot;00347304&quot;/&gt;&lt;wsp:rsid wsp:val=&quot;00353B81&quot;/&gt;&lt;wsp:rsid wsp:val=&quot;003574C3&quot;/&gt;&lt;wsp:rsid wsp:val=&quot;0036143E&quot;/&gt;&lt;wsp:rsid wsp:val=&quot;00372620&quot;/&gt;&lt;wsp:rsid wsp:val=&quot;003727AA&quot;/&gt;&lt;wsp:rsid wsp:val=&quot;00380611&quot;/&gt;&lt;wsp:rsid wsp:val=&quot;003810B7&quot;/&gt;&lt;wsp:rsid wsp:val=&quot;0038499A&quot;/&gt;&lt;wsp:rsid wsp:val=&quot;00385C06&quot;/&gt;&lt;wsp:rsid wsp:val=&quot;00386705&quot;/&gt;&lt;wsp:rsid wsp:val=&quot;0038690F&quot;/&gt;&lt;wsp:rsid wsp:val=&quot;003A0624&quot;/&gt;&lt;wsp:rsid wsp:val=&quot;003A56D6&quot;/&gt;&lt;wsp:rsid wsp:val=&quot;003B1086&quot;/&gt;&lt;wsp:rsid wsp:val=&quot;003B259A&quot;/&gt;&lt;wsp:rsid wsp:val=&quot;003B3C75&quot;/&gt;&lt;wsp:rsid wsp:val=&quot;003B6D48&quot;/&gt;&lt;wsp:rsid wsp:val=&quot;003C01F1&quot;/&gt;&lt;wsp:rsid wsp:val=&quot;003C245D&quot;/&gt;&lt;wsp:rsid wsp:val=&quot;003D01BD&quot;/&gt;&lt;wsp:rsid wsp:val=&quot;003E215E&quot;/&gt;&lt;wsp:rsid wsp:val=&quot;003F07ED&quot;/&gt;&lt;wsp:rsid wsp:val=&quot;003F5C71&quot;/&gt;&lt;wsp:rsid wsp:val=&quot;004029D0&quot;/&gt;&lt;wsp:rsid wsp:val=&quot;004042CD&quot;/&gt;&lt;wsp:rsid wsp:val=&quot;00412A54&quot;/&gt;&lt;wsp:rsid wsp:val=&quot;00417489&quot;/&gt;&lt;wsp:rsid wsp:val=&quot;00420726&quot;/&gt;&lt;wsp:rsid wsp:val=&quot;00423E2D&quot;/&gt;&lt;wsp:rsid wsp:val=&quot;004358E7&quot;/&gt;&lt;wsp:rsid wsp:val=&quot;00446E40&quot;/&gt;&lt;wsp:rsid wsp:val=&quot;00452907&quot;/&gt;&lt;wsp:rsid wsp:val=&quot;00453A35&quot;/&gt;&lt;wsp:rsid wsp:val=&quot;00455217&quot;/&gt;&lt;wsp:rsid wsp:val=&quot;00467835&quot;/&gt;&lt;wsp:rsid wsp:val=&quot;00471310&quot;/&gt;&lt;wsp:rsid wsp:val=&quot;00471B9E&quot;/&gt;&lt;wsp:rsid wsp:val=&quot;00471FBD&quot;/&gt;&lt;wsp:rsid wsp:val=&quot;004774F0&quot;/&gt;&lt;wsp:rsid wsp:val=&quot;00482246&quot;/&gt;&lt;wsp:rsid wsp:val=&quot;0048792B&quot;/&gt;&lt;wsp:rsid wsp:val=&quot;0049146B&quot;/&gt;&lt;wsp:rsid wsp:val=&quot;00491D55&quot;/&gt;&lt;wsp:rsid wsp:val=&quot;00494EA6&quot;/&gt;&lt;wsp:rsid wsp:val=&quot;004B0CAC&quot;/&gt;&lt;wsp:rsid wsp:val=&quot;004B20FC&quot;/&gt;&lt;wsp:rsid wsp:val=&quot;004C20CF&quot;/&gt;&lt;wsp:rsid wsp:val=&quot;004C3D8D&quot;/&gt;&lt;wsp:rsid wsp:val=&quot;004D0D2C&quot;/&gt;&lt;wsp:rsid wsp:val=&quot;004E3631&quot;/&gt;&lt;wsp:rsid wsp:val=&quot;004F2E20&quot;/&gt;&lt;wsp:rsid wsp:val=&quot;005041D4&quot;/&gt;&lt;wsp:rsid wsp:val=&quot;005049E0&quot;/&gt;&lt;wsp:rsid wsp:val=&quot;00505DD7&quot;/&gt;&lt;wsp:rsid wsp:val=&quot;005116E7&quot;/&gt;&lt;wsp:rsid wsp:val=&quot;00513E3A&quot;/&gt;&lt;wsp:rsid wsp:val=&quot;0052067A&quot;/&gt;&lt;wsp:rsid wsp:val=&quot;00526808&quot;/&gt;&lt;wsp:rsid wsp:val=&quot;005305BA&quot;/&gt;&lt;wsp:rsid wsp:val=&quot;0053125E&quot;/&gt;&lt;wsp:rsid wsp:val=&quot;00534B8B&quot;/&gt;&lt;wsp:rsid wsp:val=&quot;00540157&quot;/&gt;&lt;wsp:rsid wsp:val=&quot;0054579A&quot;/&gt;&lt;wsp:rsid wsp:val=&quot;00554544&quot;/&gt;&lt;wsp:rsid wsp:val=&quot;005547B6&quot;/&gt;&lt;wsp:rsid wsp:val=&quot;00560C10&quot;/&gt;&lt;wsp:rsid wsp:val=&quot;00564DA1&quot;/&gt;&lt;wsp:rsid wsp:val=&quot;0057044C&quot;/&gt;&lt;wsp:rsid wsp:val=&quot;00570465&quot;/&gt;&lt;wsp:rsid wsp:val=&quot;0057095A&quot;/&gt;&lt;wsp:rsid wsp:val=&quot;00587C27&quot;/&gt;&lt;wsp:rsid wsp:val=&quot;005901DF&quot;/&gt;&lt;wsp:rsid wsp:val=&quot;005A3591&quot;/&gt;&lt;wsp:rsid wsp:val=&quot;005B0796&quot;/&gt;&lt;wsp:rsid wsp:val=&quot;005C59D8&quot;/&gt;&lt;wsp:rsid wsp:val=&quot;005D5106&quot;/&gt;&lt;wsp:rsid wsp:val=&quot;005D5490&quot;/&gt;&lt;wsp:rsid wsp:val=&quot;005D5D07&quot;/&gt;&lt;wsp:rsid wsp:val=&quot;005D6E67&quot;/&gt;&lt;wsp:rsid wsp:val=&quot;005E6D21&quot;/&gt;&lt;wsp:rsid wsp:val=&quot;0060127B&quot;/&gt;&lt;wsp:rsid wsp:val=&quot;00606A35&quot;/&gt;&lt;wsp:rsid wsp:val=&quot;006149CF&quot;/&gt;&lt;wsp:rsid wsp:val=&quot;00624F93&quot;/&gt;&lt;wsp:rsid wsp:val=&quot;00625173&quot;/&gt;&lt;wsp:rsid wsp:val=&quot;00627914&quot;/&gt;&lt;wsp:rsid wsp:val=&quot;0063013E&quot;/&gt;&lt;wsp:rsid wsp:val=&quot;00646B07&quot;/&gt;&lt;wsp:rsid wsp:val=&quot;00653014&quot;/&gt;&lt;wsp:rsid wsp:val=&quot;00662270&quot;/&gt;&lt;wsp:rsid wsp:val=&quot;00676D3C&quot;/&gt;&lt;wsp:rsid wsp:val=&quot;006771E1&quot;/&gt;&lt;wsp:rsid wsp:val=&quot;00677E87&quot;/&gt;&lt;wsp:rsid wsp:val=&quot;00680037&quot;/&gt;&lt;wsp:rsid wsp:val=&quot;00684273&quot;/&gt;&lt;wsp:rsid wsp:val=&quot;006851CC&quot;/&gt;&lt;wsp:rsid wsp:val=&quot;00691F21&quot;/&gt;&lt;wsp:rsid wsp:val=&quot;00693BDD&quot;/&gt;&lt;wsp:rsid wsp:val=&quot;00694A3E&quot;/&gt;&lt;wsp:rsid wsp:val=&quot;006B3B78&quot;/&gt;&lt;wsp:rsid wsp:val=&quot;006B4206&quot;/&gt;&lt;wsp:rsid wsp:val=&quot;006C14D1&quot;/&gt;&lt;wsp:rsid wsp:val=&quot;006D5565&quot;/&gt;&lt;wsp:rsid wsp:val=&quot;006D6049&quot;/&gt;&lt;wsp:rsid wsp:val=&quot;006D6CD8&quot;/&gt;&lt;wsp:rsid wsp:val=&quot;006E5790&quot;/&gt;&lt;wsp:rsid wsp:val=&quot;006F05C4&quot;/&gt;&lt;wsp:rsid wsp:val=&quot;006F1B62&quot;/&gt;&lt;wsp:rsid wsp:val=&quot;006F7A1A&quot;/&gt;&lt;wsp:rsid wsp:val=&quot;006F7F49&quot;/&gt;&lt;wsp:rsid wsp:val=&quot;007017F1&quot;/&gt;&lt;wsp:rsid wsp:val=&quot;007268CA&quot;/&gt;&lt;wsp:rsid wsp:val=&quot;0074709E&quot;/&gt;&lt;wsp:rsid wsp:val=&quot;00763EE6&quot;/&gt;&lt;wsp:rsid wsp:val=&quot;007669EB&quot;/&gt;&lt;wsp:rsid wsp:val=&quot;00766BE9&quot;/&gt;&lt;wsp:rsid wsp:val=&quot;007701A9&quot;/&gt;&lt;wsp:rsid wsp:val=&quot;00772872&quot;/&gt;&lt;wsp:rsid wsp:val=&quot;0077648F&quot;/&gt;&lt;wsp:rsid wsp:val=&quot;00776AA0&quot;/&gt;&lt;wsp:rsid wsp:val=&quot;007845BD&quot;/&gt;&lt;wsp:rsid wsp:val=&quot;007A05D1&quot;/&gt;&lt;wsp:rsid wsp:val=&quot;007A13CC&quot;/&gt;&lt;wsp:rsid wsp:val=&quot;007A5B00&quot;/&gt;&lt;wsp:rsid wsp:val=&quot;007A6E5B&quot;/&gt;&lt;wsp:rsid wsp:val=&quot;007A730F&quot;/&gt;&lt;wsp:rsid wsp:val=&quot;007B0E64&quot;/&gt;&lt;wsp:rsid wsp:val=&quot;007B565F&quot;/&gt;&lt;wsp:rsid wsp:val=&quot;007B584A&quot;/&gt;&lt;wsp:rsid wsp:val=&quot;007C7F22&quot;/&gt;&lt;wsp:rsid wsp:val=&quot;007D56DD&quot;/&gt;&lt;wsp:rsid wsp:val=&quot;007D6C54&quot;/&gt;&lt;wsp:rsid wsp:val=&quot;007E5817&quot;/&gt;&lt;wsp:rsid wsp:val=&quot;007F030F&quot;/&gt;&lt;wsp:rsid wsp:val=&quot;007F2432&quot;/&gt;&lt;wsp:rsid wsp:val=&quot;007F7886&quot;/&gt;&lt;wsp:rsid wsp:val=&quot;008022F8&quot;/&gt;&lt;wsp:rsid wsp:val=&quot;008042B1&quot;/&gt;&lt;wsp:rsid wsp:val=&quot;00806EB2&quot;/&gt;&lt;wsp:rsid wsp:val=&quot;00822E8F&quot;/&gt;&lt;wsp:rsid wsp:val=&quot;00823F5E&quot;/&gt;&lt;wsp:rsid wsp:val=&quot;00824D57&quot;/&gt;&lt;wsp:rsid wsp:val=&quot;00833526&quot;/&gt;&lt;wsp:rsid wsp:val=&quot;0083480B&quot;/&gt;&lt;wsp:rsid wsp:val=&quot;00837C66&quot;/&gt;&lt;wsp:rsid wsp:val=&quot;008406F1&quot;/&gt;&lt;wsp:rsid wsp:val=&quot;00841390&quot;/&gt;&lt;wsp:rsid wsp:val=&quot;00862880&quot;/&gt;&lt;wsp:rsid wsp:val=&quot;00863D19&quot;/&gt;&lt;wsp:rsid wsp:val=&quot;0086426F&quot;/&gt;&lt;wsp:rsid wsp:val=&quot;008666E2&quot;/&gt;&lt;wsp:rsid wsp:val=&quot;00867E6E&quot;/&gt;&lt;wsp:rsid wsp:val=&quot;00872B72&quot;/&gt;&lt;wsp:rsid wsp:val=&quot;00893D17&quot;/&gt;&lt;wsp:rsid wsp:val=&quot;008A16AE&quot;/&gt;&lt;wsp:rsid wsp:val=&quot;008A2358&quot;/&gt;&lt;wsp:rsid wsp:val=&quot;008A33F4&quot;/&gt;&lt;wsp:rsid wsp:val=&quot;008B57D4&quot;/&gt;&lt;wsp:rsid wsp:val=&quot;008B6F8D&quot;/&gt;&lt;wsp:rsid wsp:val=&quot;008C7977&quot;/&gt;&lt;wsp:rsid wsp:val=&quot;008C7B47&quot;/&gt;&lt;wsp:rsid wsp:val=&quot;008D4838&quot;/&gt;&lt;wsp:rsid wsp:val=&quot;008E112B&quot;/&gt;&lt;wsp:rsid wsp:val=&quot;008E16D3&quot;/&gt;&lt;wsp:rsid wsp:val=&quot;008E61BC&quot;/&gt;&lt;wsp:rsid wsp:val=&quot;008F51BE&quot;/&gt;&lt;wsp:rsid wsp:val=&quot;009011BA&quot;/&gt;&lt;wsp:rsid wsp:val=&quot;00902634&quot;/&gt;&lt;wsp:rsid wsp:val=&quot;00906166&quot;/&gt;&lt;wsp:rsid wsp:val=&quot;00913A91&quot;/&gt;&lt;wsp:rsid wsp:val=&quot;009173D4&quot;/&gt;&lt;wsp:rsid wsp:val=&quot;009211B0&quot;/&gt;&lt;wsp:rsid wsp:val=&quot;009252D5&quot;/&gt;&lt;wsp:rsid wsp:val=&quot;00931960&quot;/&gt;&lt;wsp:rsid wsp:val=&quot;009609A4&quot;/&gt;&lt;wsp:rsid wsp:val=&quot;00962A11&quot;/&gt;&lt;wsp:rsid wsp:val=&quot;00963241&quot;/&gt;&lt;wsp:rsid wsp:val=&quot;009648CA&quot;/&gt;&lt;wsp:rsid wsp:val=&quot;00966B73&quot;/&gt;&lt;wsp:rsid wsp:val=&quot;009677A9&quot;/&gt;&lt;wsp:rsid wsp:val=&quot;00972E0C&quot;/&gt;&lt;wsp:rsid wsp:val=&quot;00981A06&quot;/&gt;&lt;wsp:rsid wsp:val=&quot;00981B1B&quot;/&gt;&lt;wsp:rsid wsp:val=&quot;009850A8&quot;/&gt;&lt;wsp:rsid wsp:val=&quot;00985AF8&quot;/&gt;&lt;wsp:rsid wsp:val=&quot;00994F32&quot;/&gt;&lt;wsp:rsid wsp:val=&quot;009A636D&quot;/&gt;&lt;wsp:rsid wsp:val=&quot;009A748F&quot;/&gt;&lt;wsp:rsid wsp:val=&quot;009A7F32&quot;/&gt;&lt;wsp:rsid wsp:val=&quot;009B0B50&quot;/&gt;&lt;wsp:rsid wsp:val=&quot;009B1C52&quot;/&gt;&lt;wsp:rsid wsp:val=&quot;009B2E95&quot;/&gt;&lt;wsp:rsid wsp:val=&quot;009C1067&quot;/&gt;&lt;wsp:rsid wsp:val=&quot;009C3960&quot;/&gt;&lt;wsp:rsid wsp:val=&quot;009C7C01&quot;/&gt;&lt;wsp:rsid wsp:val=&quot;009D1418&quot;/&gt;&lt;wsp:rsid wsp:val=&quot;009D2856&quot;/&gt;&lt;wsp:rsid wsp:val=&quot;009D4EF1&quot;/&gt;&lt;wsp:rsid wsp:val=&quot;009D5B34&quot;/&gt;&lt;wsp:rsid wsp:val=&quot;009D68E2&quot;/&gt;&lt;wsp:rsid wsp:val=&quot;009E3767&quot;/&gt;&lt;wsp:rsid wsp:val=&quot;009F1B95&quot;/&gt;&lt;wsp:rsid wsp:val=&quot;009F1D09&quot;/&gt;&lt;wsp:rsid wsp:val=&quot;009F529A&quot;/&gt;&lt;wsp:rsid wsp:val=&quot;00A0007A&quot;/&gt;&lt;wsp:rsid wsp:val=&quot;00A03F1A&quot;/&gt;&lt;wsp:rsid wsp:val=&quot;00A05238&quot;/&gt;&lt;wsp:rsid wsp:val=&quot;00A1267F&quot;/&gt;&lt;wsp:rsid wsp:val=&quot;00A214DB&quot;/&gt;&lt;wsp:rsid wsp:val=&quot;00A21749&quot;/&gt;&lt;wsp:rsid wsp:val=&quot;00A257B0&quot;/&gt;&lt;wsp:rsid wsp:val=&quot;00A26FF0&quot;/&gt;&lt;wsp:rsid wsp:val=&quot;00A378B8&quot;/&gt;&lt;wsp:rsid wsp:val=&quot;00A37C10&quot;/&gt;&lt;wsp:rsid wsp:val=&quot;00A43A27&quot;/&gt;&lt;wsp:rsid wsp:val=&quot;00A5566B&quot;/&gt;&lt;wsp:rsid wsp:val=&quot;00A626A3&quot;/&gt;&lt;wsp:rsid wsp:val=&quot;00A76629&quot;/&gt;&lt;wsp:rsid wsp:val=&quot;00A772C2&quot;/&gt;&lt;wsp:rsid wsp:val=&quot;00A805B9&quot;/&gt;&lt;wsp:rsid wsp:val=&quot;00A931BA&quot;/&gt;&lt;wsp:rsid wsp:val=&quot;00A95121&quot;/&gt;&lt;wsp:rsid wsp:val=&quot;00AA28F7&quot;/&gt;&lt;wsp:rsid wsp:val=&quot;00AA3864&quot;/&gt;&lt;wsp:rsid wsp:val=&quot;00AA6ABA&quot;/&gt;&lt;wsp:rsid wsp:val=&quot;00AA7DA0&quot;/&gt;&lt;wsp:rsid wsp:val=&quot;00AB1A56&quot;/&gt;&lt;wsp:rsid wsp:val=&quot;00AB1B84&quot;/&gt;&lt;wsp:rsid wsp:val=&quot;00AB6618&quot;/&gt;&lt;wsp:rsid wsp:val=&quot;00AC1FFC&quot;/&gt;&lt;wsp:rsid wsp:val=&quot;00AC3263&quot;/&gt;&lt;wsp:rsid wsp:val=&quot;00AD1F95&quot;/&gt;&lt;wsp:rsid wsp:val=&quot;00AD2BFE&quot;/&gt;&lt;wsp:rsid wsp:val=&quot;00AE2E8C&quot;/&gt;&lt;wsp:rsid wsp:val=&quot;00AE3BE0&quot;/&gt;&lt;wsp:rsid wsp:val=&quot;00AE4490&quot;/&gt;&lt;wsp:rsid wsp:val=&quot;00AF67CF&quot;/&gt;&lt;wsp:rsid wsp:val=&quot;00AF7E9B&quot;/&gt;&lt;wsp:rsid wsp:val=&quot;00B0272F&quot;/&gt;&lt;wsp:rsid wsp:val=&quot;00B07977&quot;/&gt;&lt;wsp:rsid wsp:val=&quot;00B178E9&quot;/&gt;&lt;wsp:rsid wsp:val=&quot;00B357DA&quot;/&gt;&lt;wsp:rsid wsp:val=&quot;00B468A1&quot;/&gt;&lt;wsp:rsid wsp:val=&quot;00B5053E&quot;/&gt;&lt;wsp:rsid wsp:val=&quot;00B544B2&quot;/&gt;&lt;wsp:rsid wsp:val=&quot;00B573FE&quot;/&gt;&lt;wsp:rsid wsp:val=&quot;00B602C8&quot;/&gt;&lt;wsp:rsid wsp:val=&quot;00B700B8&quot;/&gt;&lt;wsp:rsid wsp:val=&quot;00B70890&quot;/&gt;&lt;wsp:rsid wsp:val=&quot;00B71122&quot;/&gt;&lt;wsp:rsid wsp:val=&quot;00B73598&quot;/&gt;&lt;wsp:rsid wsp:val=&quot;00B73D92&quot;/&gt;&lt;wsp:rsid wsp:val=&quot;00B86CA7&quot;/&gt;&lt;wsp:rsid wsp:val=&quot;00B93678&quot;/&gt;&lt;wsp:rsid wsp:val=&quot;00B942E2&quot;/&gt;&lt;wsp:rsid wsp:val=&quot;00B97FC6&quot;/&gt;&lt;wsp:rsid wsp:val=&quot;00BA4C6B&quot;/&gt;&lt;wsp:rsid wsp:val=&quot;00BB063A&quot;/&gt;&lt;wsp:rsid wsp:val=&quot;00BB111D&quot;/&gt;&lt;wsp:rsid wsp:val=&quot;00BB348C&quot;/&gt;&lt;wsp:rsid wsp:val=&quot;00BC46C2&quot;/&gt;&lt;wsp:rsid wsp:val=&quot;00BC6FEF&quot;/&gt;&lt;wsp:rsid wsp:val=&quot;00BD4174&quot;/&gt;&lt;wsp:rsid wsp:val=&quot;00BD54F4&quot;/&gt;&lt;wsp:rsid wsp:val=&quot;00BD676F&quot;/&gt;&lt;wsp:rsid wsp:val=&quot;00BF1405&quot;/&gt;&lt;wsp:rsid wsp:val=&quot;00C0023A&quot;/&gt;&lt;wsp:rsid wsp:val=&quot;00C0271B&quot;/&gt;&lt;wsp:rsid wsp:val=&quot;00C10D52&quot;/&gt;&lt;wsp:rsid wsp:val=&quot;00C11944&quot;/&gt;&lt;wsp:rsid wsp:val=&quot;00C219F6&quot;/&gt;&lt;wsp:rsid wsp:val=&quot;00C27657&quot;/&gt;&lt;wsp:rsid wsp:val=&quot;00C27E30&quot;/&gt;&lt;wsp:rsid wsp:val=&quot;00C30A33&quot;/&gt;&lt;wsp:rsid wsp:val=&quot;00C33A7C&quot;/&gt;&lt;wsp:rsid wsp:val=&quot;00C508FC&quot;/&gt;&lt;wsp:rsid wsp:val=&quot;00C5688C&quot;/&gt;&lt;wsp:rsid wsp:val=&quot;00C65C60&quot;/&gt;&lt;wsp:rsid wsp:val=&quot;00C66020&quot;/&gt;&lt;wsp:rsid wsp:val=&quot;00C826A8&quot;/&gt;&lt;wsp:rsid wsp:val=&quot;00C861F4&quot;/&gt;&lt;wsp:rsid wsp:val=&quot;00C864EF&quot;/&gt;&lt;wsp:rsid wsp:val=&quot;00C873A9&quot;/&gt;&lt;wsp:rsid wsp:val=&quot;00C965BF&quot;/&gt;&lt;wsp:rsid wsp:val=&quot;00C97D7F&quot;/&gt;&lt;wsp:rsid wsp:val=&quot;00CA1AEF&quot;/&gt;&lt;wsp:rsid wsp:val=&quot;00CA3B82&quot;/&gt;&lt;wsp:rsid wsp:val=&quot;00CB19F5&quot;/&gt;&lt;wsp:rsid wsp:val=&quot;00CC0E81&quot;/&gt;&lt;wsp:rsid wsp:val=&quot;00CC4835&quot;/&gt;&lt;wsp:rsid wsp:val=&quot;00CD2D4A&quot;/&gt;&lt;wsp:rsid wsp:val=&quot;00CD35CA&quot;/&gt;&lt;wsp:rsid wsp:val=&quot;00CD68B9&quot;/&gt;&lt;wsp:rsid wsp:val=&quot;00CE216C&quot;/&gt;&lt;wsp:rsid wsp:val=&quot;00CF33A3&quot;/&gt;&lt;wsp:rsid wsp:val=&quot;00CF48A2&quot;/&gt;&lt;wsp:rsid wsp:val=&quot;00D00204&quot;/&gt;&lt;wsp:rsid wsp:val=&quot;00D02A47&quot;/&gt;&lt;wsp:rsid wsp:val=&quot;00D04369&quot;/&gt;&lt;wsp:rsid wsp:val=&quot;00D16CD9&quot;/&gt;&lt;wsp:rsid wsp:val=&quot;00D35602&quot;/&gt;&lt;wsp:rsid wsp:val=&quot;00D35B8B&quot;/&gt;&lt;wsp:rsid wsp:val=&quot;00D54A9D&quot;/&gt;&lt;wsp:rsid wsp:val=&quot;00D56CB5&quot;/&gt;&lt;wsp:rsid wsp:val=&quot;00D606DB&quot;/&gt;&lt;wsp:rsid wsp:val=&quot;00D70D2E&quot;/&gt;&lt;wsp:rsid wsp:val=&quot;00D73D5B&quot;/&gt;&lt;wsp:rsid wsp:val=&quot;00D74A61&quot;/&gt;&lt;wsp:rsid wsp:val=&quot;00D76505&quot;/&gt;&lt;wsp:rsid wsp:val=&quot;00D84805&quot;/&gt;&lt;wsp:rsid wsp:val=&quot;00D930EA&quot;/&gt;&lt;wsp:rsid wsp:val=&quot;00DA2DCA&quot;/&gt;&lt;wsp:rsid wsp:val=&quot;00DA3967&quot;/&gt;&lt;wsp:rsid wsp:val=&quot;00DA5171&quot;/&gt;&lt;wsp:rsid wsp:val=&quot;00DA609A&quot;/&gt;&lt;wsp:rsid wsp:val=&quot;00DA7CD1&quot;/&gt;&lt;wsp:rsid wsp:val=&quot;00DB053A&quot;/&gt;&lt;wsp:rsid wsp:val=&quot;00DB23C3&quot;/&gt;&lt;wsp:rsid wsp:val=&quot;00DB5AA7&quot;/&gt;&lt;wsp:rsid wsp:val=&quot;00DC2BDF&quot;/&gt;&lt;wsp:rsid wsp:val=&quot;00DC4EF6&quot;/&gt;&lt;wsp:rsid wsp:val=&quot;00DD452B&quot;/&gt;&lt;wsp:rsid wsp:val=&quot;00DD7292&quot;/&gt;&lt;wsp:rsid wsp:val=&quot;00DF0A07&quot;/&gt;&lt;wsp:rsid wsp:val=&quot;00DF1FD4&quot;/&gt;&lt;wsp:rsid wsp:val=&quot;00E00210&quot;/&gt;&lt;wsp:rsid wsp:val=&quot;00E02077&quot;/&gt;&lt;wsp:rsid wsp:val=&quot;00E04AA2&quot;/&gt;&lt;wsp:rsid wsp:val=&quot;00E04F4A&quot;/&gt;&lt;wsp:rsid wsp:val=&quot;00E148A2&quot;/&gt;&lt;wsp:rsid wsp:val=&quot;00E1703E&quot;/&gt;&lt;wsp:rsid wsp:val=&quot;00E31E84&quot;/&gt;&lt;wsp:rsid wsp:val=&quot;00E374BE&quot;/&gt;&lt;wsp:rsid wsp:val=&quot;00E41F84&quot;/&gt;&lt;wsp:rsid wsp:val=&quot;00E4544A&quot;/&gt;&lt;wsp:rsid wsp:val=&quot;00E46019&quot;/&gt;&lt;wsp:rsid wsp:val=&quot;00E524C9&quot;/&gt;&lt;wsp:rsid wsp:val=&quot;00E60606&quot;/&gt;&lt;wsp:rsid wsp:val=&quot;00E77030&quot;/&gt;&lt;wsp:rsid wsp:val=&quot;00E9071B&quot;/&gt;&lt;wsp:rsid wsp:val=&quot;00E9327A&quot;/&gt;&lt;wsp:rsid wsp:val=&quot;00E95FA8&quot;/&gt;&lt;wsp:rsid wsp:val=&quot;00E9605D&quot;/&gt;&lt;wsp:rsid wsp:val=&quot;00EA41D6&quot;/&gt;&lt;wsp:rsid wsp:val=&quot;00EC12A8&quot;/&gt;&lt;wsp:rsid wsp:val=&quot;00EC2A44&quot;/&gt;&lt;wsp:rsid wsp:val=&quot;00EC51E1&quot;/&gt;&lt;wsp:rsid wsp:val=&quot;00EC77F9&quot;/&gt;&lt;wsp:rsid wsp:val=&quot;00ED0002&quot;/&gt;&lt;wsp:rsid wsp:val=&quot;00ED3FC7&quot;/&gt;&lt;wsp:rsid wsp:val=&quot;00EE4FA0&quot;/&gt;&lt;wsp:rsid wsp:val=&quot;00EE702E&quot;/&gt;&lt;wsp:rsid wsp:val=&quot;00EE7990&quot;/&gt;&lt;wsp:rsid wsp:val=&quot;00EF1CE1&quot;/&gt;&lt;wsp:rsid wsp:val=&quot;00EF5334&quot;/&gt;&lt;wsp:rsid wsp:val=&quot;00F01EF1&quot;/&gt;&lt;wsp:rsid wsp:val=&quot;00F10103&quot;/&gt;&lt;wsp:rsid wsp:val=&quot;00F16C81&quot;/&gt;&lt;wsp:rsid wsp:val=&quot;00F2634D&quot;/&gt;&lt;wsp:rsid wsp:val=&quot;00F301CA&quot;/&gt;&lt;wsp:rsid wsp:val=&quot;00F40AA4&quot;/&gt;&lt;wsp:rsid wsp:val=&quot;00F43EA0&quot;/&gt;&lt;wsp:rsid wsp:val=&quot;00F50602&quot;/&gt;&lt;wsp:rsid wsp:val=&quot;00F50827&quot;/&gt;&lt;wsp:rsid wsp:val=&quot;00F52A8B&quot;/&gt;&lt;wsp:rsid wsp:val=&quot;00F5470B&quot;/&gt;&lt;wsp:rsid wsp:val=&quot;00F5635B&quot;/&gt;&lt;wsp:rsid wsp:val=&quot;00F62617&quot;/&gt;&lt;wsp:rsid wsp:val=&quot;00F637C8&quot;/&gt;&lt;wsp:rsid wsp:val=&quot;00F63E99&quot;/&gt;&lt;wsp:rsid wsp:val=&quot;00F66BCB&quot;/&gt;&lt;wsp:rsid wsp:val=&quot;00F7004F&quot;/&gt;&lt;wsp:rsid wsp:val=&quot;00F828B8&quot;/&gt;&lt;wsp:rsid wsp:val=&quot;00F928F8&quot;/&gt;&lt;wsp:rsid wsp:val=&quot;00F936D0&quot;/&gt;&lt;wsp:rsid wsp:val=&quot;00F96827&quot;/&gt;&lt;wsp:rsid wsp:val=&quot;00FA6F61&quot;/&gt;&lt;wsp:rsid wsp:val=&quot;00FA7B21&quot;/&gt;&lt;wsp:rsid wsp:val=&quot;00FB2257&quot;/&gt;&lt;wsp:rsid wsp:val=&quot;00FB4808&quot;/&gt;&lt;wsp:rsid wsp:val=&quot;00FB6042&quot;/&gt;&lt;wsp:rsid wsp:val=&quot;00FD1A10&quot;/&gt;&lt;wsp:rsid wsp:val=&quot;00FD2788&quot;/&gt;&lt;wsp:rsid wsp:val=&quot;00FD7D49&quot;/&gt;&lt;wsp:rsid wsp:val=&quot;00FE30BE&quot;/&gt;&lt;wsp:rsid wsp:val=&quot;00FE3348&quot;/&gt;&lt;wsp:rsid wsp:val=&quot;00FE7F7C&quot;/&gt;&lt;wsp:rsid wsp:val=&quot;00FF2819&quot;/&gt;&lt;/wsp:rsids&gt;&lt;/w:docPr&gt;&lt;w:body&gt;&lt;wx:sect&gt;&lt;w:p wsp:rsidR=&quot;00341170&quot; wsp:rsidRDefault=&quot;00341170&quot; wsp:rsidP=&quot;00341170&quot;&gt;&lt;m:oMathPara&gt;&lt;m:oMath&gt;&lt;m:r&gt;&lt;m:rPr&gt;&lt;m:sty m:val=&quot;p&quot;/&gt;&lt;/m:rPr&gt;&lt;w:rPr&gt;&lt;w:rFonts w:ascii=&quot;Cambria Math&quot; w:h-ansi=&quot;Cambria Math&quot;/&gt;&lt;wx:font wx:val=&quot;Cambria Math&quot;/&gt;&lt;w:sz w:val=&quot;19&quot;/&gt;&lt;/w:rPr&gt;&lt;m:t&gt;ACC=&lt;/m:t&gt;&lt;/m:r&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sz w:val=&quot;19&quot;/&gt;&lt;/w:rPr&gt;&lt;m:t&gt;1&lt;/m:t&gt;&lt;/m:r&gt;&lt;/m:num&gt;&lt;m:den&gt;&lt;m:r&gt;&lt;w:rPr&gt;&lt;w:rFonts w:ascii=&quot;Cambria Math&quot; w:h-ansi=&quot;Cambria Math&quot;/&gt;&lt;wx:font wx:val=&quot;Cambria Math&quot;/&gt;&lt;w:i/&gt;&lt;w:sz w:val=&quot;19&quot;/&gt;&lt;/w:rPr&gt;&lt;m:t&gt;N&lt;/m:t&gt;&lt;/m:r&gt;&lt;/m:den&gt;&lt;/m:f&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sz w:val=&quot;19&quot;/&gt;&lt;/w:rPr&gt;&lt;m:t&gt;max&lt;/m:t&gt;&lt;/m:r&gt;&lt;/m:e&gt;&lt;m:sub&gt;&lt;m:r&gt;&lt;w:rPr&gt;&lt;w:rFonts w:ascii=&quot;Cambria Math&quot; w:h-ansi=&quot;Cambria Math&quot;/&gt;&lt;wx:font wx:val=&quot;Cambria Math&quot;/&gt;&lt;w:i/&gt;&lt;w:sz w:val=&quot;19&quot;/&gt;&lt;/w:rPr&gt;&lt;m:t&gt;蟺&lt;/m:t&gt;&lt;/m:r&gt;&lt;/m:sub&gt;&lt;/m:sSub&gt;&lt;m:nary&gt;&lt;m:naryPr&gt;&lt;m:chr m:val=&quot;鈭?/&gt;&lt;m:limLoc m:val=&quot;subSup&quot;/&gt;&lt;m:ctrlPr&gt;&lt;w:rPr&gt;&lt;w:rFonts w:ascii=&quot;Cambria Math&quot; w:h-ansi=&quot;Cambria  w:w:Math&quot;/&gt;&lt;wx:font wx:val=&quot;Cambria Math&quot;/&gt;&lt;/w:rPr&gt;&lt;/m:ctrlPr&gt;&lt;/m:naryPr&gt;&lt;m:sub&gt;&lt;m:r&gt;&lt;w:rPr&gt;&lt;w:rFonts w:ascii=&quot;Cambria Math&quot; w:h-ansi=&quot;Cambria Math&quot;/&gt;&lt;wx:font wx:val=&quot;Cambria Math&quot;/&gt;&lt;w:i/&gt;&lt;w:sz w:val=&quot;19&quot;/&gt;&lt;/w:rPr&gt;&lt;m:t&gt;i=1&lt;/m:t&gt;&lt;/m:r&gt;&lt;/m:sub&gt;&lt;m:sup&gt;&lt;m:r&gt;&lt;w:rPr&gt;&lt;w:rFonts w:ascii=&quot;Cambria Math&quot; w:h-ansi=&quot;Cambria Math&quot;/&gt;&lt;wx:font wx:val=&quot;Cambria Math&quot;/&gt;&lt;w:i/&gt;&lt;w:sz w:val=&quot;19&quot;/&gt;&lt;/w:rPr&gt;&lt;m:t&gt;N&lt;/m:t&gt;&lt;/m:r&gt;&lt;/m:sup&gt;&lt;m:e&gt;&lt;m:r&gt;&lt;m:rPr&gt;&lt;m:sty m:val=&quot;p&quot;/&gt;&lt;/m:rPr&gt;&lt;w:rPr&gt;&lt;w:rFonts w:ascii=&quot;Cambria Math&quot; w:h-ansi=&quot;Cambria Math&quot;/&gt;&lt;wx:font wx:val=&quot;Cambria Math&quot;/&gt;&lt;w:sz w:val=&quot;19&quot;/&gt;&lt;/w:rPr&gt;&lt;m:t&gt;1&lt;/m:t&gt;&lt;/m:r&gt;&lt;m:r&gt;&lt;w:rPr&gt;&lt;w:rFonts w:ascii=&quot;Cambria Math&quot; w:h-ansi=&quot;Cambria Math&quot;/&gt;&lt;wx:font wx:val=&quot;Cambria Math&quot;/&gt;&lt;w:i/&gt;&lt;w:sz w:val=&quot;19&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sz w:val=&quot;19&quot;/&gt;&lt;/w:rPr&gt;&lt;m:t&gt;y&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蟺(&lt;/m:t&gt;&lt;/m:r&gt;&lt;m:sSub&gt;&lt;m:sSubPr&gt;&lt;m:ctrlPr&gt;&lt;w:rPr&gt;&lt;w:rFonts w:ascii=&quot;Cambria Math&quot; w:h-ansi=&quot;Cambria Math&quot;/&gt;&lt;wx:font wx:val=&quot;Cambria Math&quot;/&gt;&lt;/w:rPr&gt;&lt;/m:catrMlPr&gt;&lt;/m:sSubPr&gt;&lt;m:e&gt;&lt;m:r&gt;&lt;w:rPr&gt;&lt;w:rFonts w:ascii=&quot;Cambria Math&quot; w:h-ansi=&quot;Cambria Math&quot;/&gt;&lt;wx:font wx:val=&quot;Cambria Math&quot;/&gt;&lt;w:i/&gt;&lt;w:sz w:val=&quot;19&quot;/&gt;&lt;/w:rPr&gt;&lt;m:t&gt;z&lt;/m:t&gt;&lt;/m:r&gt;&lt;/m:e&gt;&lt;m:sub&gt;&lt;m:r&gt;&lt;w:rPr&gt;&lt;w:rFonts w:ascii=&quot;Cambria Math&quot; w:h-ansi=&quot;Cambria Math&quot;/&gt;&lt;wx:font wx:val=&quot;Cambria Math&quot;/&gt;&lt;w:i/&gt;&lt;w:sz w:val=&quot;19&quot;/&gt;&lt;/w:rPr&gt;&lt;m:t&gt;i&lt;/m:t&gt;&lt;/m:r&gt;&lt;/m:sub&gt;&lt;/m:sSub&gt;&lt;m:r&gt;&lt;w:rPr&gt;&lt;w:rFonts w:ascii=&quot;Cambria Math&quot; w:h-ansi=&quot;Cambria Math&quot;/&gt;&lt;wx:font wx:val=&quot;Cambria Math&quot;/&gt;&lt;w:i/&gt;&lt;w:sz w:val=&quot;19&quot;/&gt;&lt;/w:rPr&gt;&lt;m:t&gt;)] &lt;/m:t&gt;&lt;/m:r&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Pr="00335598">
        <w:rPr>
          <w:color w:val="000000"/>
          <w:sz w:val="18"/>
        </w:rPr>
        <w:fldChar w:fldCharType="end"/>
      </w:r>
      <w:r>
        <w:rPr>
          <w:color w:val="000000"/>
          <w:sz w:val="18"/>
        </w:rPr>
        <w:t xml:space="preserve">  (5)</w:t>
      </w:r>
    </w:p>
    <w:p w14:paraId="347AE422" w14:textId="77777777" w:rsidR="002E06FD" w:rsidRDefault="00000000">
      <w:pPr>
        <w:keepNext/>
        <w:spacing w:before="100" w:after="40" w:line="312" w:lineRule="exact"/>
        <w:jc w:val="left"/>
        <w:outlineLvl w:val="1"/>
        <w:rPr>
          <w:color w:val="000000"/>
        </w:rPr>
      </w:pPr>
      <w:r>
        <w:rPr>
          <w:rFonts w:eastAsia="黑体"/>
          <w:b/>
          <w:color w:val="000000"/>
        </w:rPr>
        <w:t xml:space="preserve">5.2 </w:t>
      </w:r>
      <w:r>
        <w:rPr>
          <w:rFonts w:eastAsia="黑体"/>
          <w:b/>
          <w:color w:val="000000"/>
        </w:rPr>
        <w:t>主实验比较</w:t>
      </w:r>
    </w:p>
    <w:p w14:paraId="698EC524" w14:textId="77777777" w:rsidR="002E06FD" w:rsidRDefault="00000000">
      <w:pPr>
        <w:pStyle w:val="a3"/>
        <w:widowControl/>
        <w:spacing w:line="312" w:lineRule="exact"/>
        <w:rPr>
          <w:color w:val="000000"/>
        </w:rPr>
      </w:pPr>
      <w:r>
        <w:rPr>
          <w:color w:val="000000"/>
        </w:rPr>
        <w:t>主实验使用种子</w:t>
      </w:r>
      <w:r>
        <w:rPr>
          <w:color w:val="000000"/>
        </w:rPr>
        <w:t>42</w:t>
      </w:r>
      <w:r>
        <w:rPr>
          <w:color w:val="000000"/>
        </w:rPr>
        <w:t>。表</w:t>
      </w:r>
      <w:r>
        <w:rPr>
          <w:color w:val="000000"/>
        </w:rPr>
        <w:t>1</w:t>
      </w:r>
      <w:r>
        <w:rPr>
          <w:color w:val="000000"/>
        </w:rPr>
        <w:t>同时报告外部一致性和内部几何指标。方法</w:t>
      </w:r>
      <w:r>
        <w:rPr>
          <w:color w:val="000000"/>
        </w:rPr>
        <w:t>A</w:t>
      </w:r>
      <w:r>
        <w:rPr>
          <w:color w:val="000000"/>
        </w:rPr>
        <w:t>匹配后正确</w:t>
      </w:r>
      <w:r>
        <w:rPr>
          <w:color w:val="000000"/>
        </w:rPr>
        <w:t>467</w:t>
      </w:r>
      <w:r>
        <w:rPr>
          <w:color w:val="000000"/>
        </w:rPr>
        <w:t>张，错误</w:t>
      </w:r>
      <w:r>
        <w:rPr>
          <w:color w:val="000000"/>
        </w:rPr>
        <w:t>133</w:t>
      </w:r>
      <w:r>
        <w:rPr>
          <w:color w:val="000000"/>
        </w:rPr>
        <w:t>张，</w:t>
      </w:r>
      <w:r>
        <w:rPr>
          <w:color w:val="000000"/>
        </w:rPr>
        <w:t>ACC</w:t>
      </w:r>
      <w:r>
        <w:rPr>
          <w:color w:val="000000"/>
        </w:rPr>
        <w:t>为</w:t>
      </w:r>
      <w:r>
        <w:rPr>
          <w:color w:val="000000"/>
        </w:rPr>
        <w:t>77.83%</w:t>
      </w:r>
      <w:r>
        <w:rPr>
          <w:color w:val="000000"/>
        </w:rPr>
        <w:t>；方法</w:t>
      </w:r>
      <w:r>
        <w:rPr>
          <w:color w:val="000000"/>
        </w:rPr>
        <w:t>B</w:t>
      </w:r>
      <w:r>
        <w:rPr>
          <w:color w:val="000000"/>
        </w:rPr>
        <w:t>在当前</w:t>
      </w:r>
      <w:r>
        <w:rPr>
          <w:color w:val="000000"/>
        </w:rPr>
        <w:t>600</w:t>
      </w:r>
      <w:r>
        <w:rPr>
          <w:color w:val="000000"/>
        </w:rPr>
        <w:t>张图像上全部与真实类别对应，</w:t>
      </w:r>
      <w:r>
        <w:rPr>
          <w:color w:val="000000"/>
        </w:rPr>
        <w:t>ACC</w:t>
      </w:r>
      <w:r>
        <w:rPr>
          <w:color w:val="000000"/>
        </w:rPr>
        <w:t>、</w:t>
      </w:r>
      <w:r>
        <w:rPr>
          <w:color w:val="000000"/>
        </w:rPr>
        <w:t>ARI</w:t>
      </w:r>
      <w:r>
        <w:rPr>
          <w:color w:val="000000"/>
        </w:rPr>
        <w:t>和</w:t>
      </w:r>
      <w:r>
        <w:rPr>
          <w:color w:val="000000"/>
        </w:rPr>
        <w:t>NMI</w:t>
      </w:r>
      <w:r>
        <w:rPr>
          <w:color w:val="000000"/>
        </w:rPr>
        <w:t>均为</w:t>
      </w:r>
      <w:r>
        <w:rPr>
          <w:color w:val="000000"/>
        </w:rPr>
        <w:t>1</w:t>
      </w:r>
      <w:r>
        <w:rPr>
          <w:color w:val="000000"/>
        </w:rPr>
        <w:t>。</w:t>
      </w:r>
    </w:p>
    <w:p w14:paraId="252DD949" w14:textId="77777777" w:rsidR="002E06FD" w:rsidRDefault="002E06FD">
      <w:pPr>
        <w:sectPr w:rsidR="002E06FD">
          <w:footerReference w:type="default" r:id="rId26"/>
          <w:type w:val="continuous"/>
          <w:pgSz w:w="11906" w:h="16838" w:code="9"/>
          <w:pgMar w:top="1246" w:right="964" w:bottom="851" w:left="964" w:header="851" w:footer="992" w:gutter="0"/>
          <w:cols w:num="2" w:space="425"/>
          <w:docGrid w:type="lines" w:linePitch="312"/>
        </w:sectPr>
      </w:pPr>
    </w:p>
    <w:p w14:paraId="6AF58BE0" w14:textId="77777777" w:rsidR="002E06FD" w:rsidRDefault="00000000">
      <w:pPr>
        <w:keepNext/>
        <w:spacing w:before="40" w:after="40" w:line="240" w:lineRule="exact"/>
        <w:jc w:val="center"/>
      </w:pPr>
      <w:r>
        <w:rPr>
          <w:rFonts w:eastAsia="黑体"/>
          <w:b/>
          <w:color w:val="000000"/>
          <w:sz w:val="18"/>
        </w:rPr>
        <w:t>Table 1 Main results with the fixed random seed 42.</w:t>
      </w:r>
    </w:p>
    <w:p w14:paraId="6903FFB7" w14:textId="77777777" w:rsidR="002E06FD" w:rsidRDefault="00000000">
      <w:pPr>
        <w:keepNext/>
        <w:spacing w:before="40" w:after="40" w:line="240" w:lineRule="exact"/>
        <w:jc w:val="center"/>
      </w:pPr>
      <w:r>
        <w:rPr>
          <w:rFonts w:eastAsia="黑体"/>
          <w:b/>
          <w:color w:val="000000"/>
          <w:sz w:val="18"/>
        </w:rPr>
        <w:t>表</w:t>
      </w:r>
      <w:r>
        <w:rPr>
          <w:rFonts w:eastAsia="黑体"/>
          <w:b/>
          <w:color w:val="000000"/>
          <w:sz w:val="18"/>
        </w:rPr>
        <w:t xml:space="preserve">1 </w:t>
      </w:r>
      <w:r>
        <w:rPr>
          <w:rFonts w:eastAsia="黑体"/>
          <w:b/>
          <w:color w:val="000000"/>
          <w:sz w:val="18"/>
        </w:rPr>
        <w:t>固定随机种子</w:t>
      </w:r>
      <w:r>
        <w:rPr>
          <w:rFonts w:eastAsia="黑体"/>
          <w:b/>
          <w:color w:val="000000"/>
          <w:sz w:val="18"/>
        </w:rPr>
        <w:t>42</w:t>
      </w:r>
      <w:r>
        <w:rPr>
          <w:rFonts w:eastAsia="黑体"/>
          <w:b/>
          <w:color w:val="000000"/>
          <w:sz w:val="18"/>
        </w:rPr>
        <w:t>的主要实验结果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624"/>
        <w:gridCol w:w="1134"/>
        <w:gridCol w:w="1134"/>
        <w:gridCol w:w="1134"/>
        <w:gridCol w:w="1701"/>
        <w:gridCol w:w="964"/>
      </w:tblGrid>
      <w:tr w:rsidR="002E06FD" w14:paraId="31C9DCBB" w14:textId="77777777">
        <w:trPr>
          <w:cantSplit/>
          <w:tblHeader/>
          <w:jc w:val="center"/>
        </w:trPr>
        <w:tc>
          <w:tcPr>
            <w:tcW w:w="1757" w:type="dxa"/>
            <w:tcBorders>
              <w:bottom w:val="single" w:sz="4" w:space="0" w:color="000000"/>
            </w:tcBorders>
            <w:tcMar>
              <w:top w:w="65" w:type="dxa"/>
              <w:left w:w="65" w:type="dxa"/>
              <w:bottom w:w="65" w:type="dxa"/>
              <w:right w:w="65" w:type="dxa"/>
            </w:tcMar>
            <w:vAlign w:val="center"/>
          </w:tcPr>
          <w:p w14:paraId="59760CAF" w14:textId="77777777" w:rsidR="002E06FD" w:rsidRDefault="00000000">
            <w:pPr>
              <w:spacing w:line="240" w:lineRule="exact"/>
              <w:jc w:val="center"/>
            </w:pPr>
            <w:r>
              <w:rPr>
                <w:b/>
                <w:color w:val="000000"/>
                <w:sz w:val="18"/>
              </w:rPr>
              <w:t>Method</w:t>
            </w:r>
          </w:p>
        </w:tc>
        <w:tc>
          <w:tcPr>
            <w:tcW w:w="624" w:type="dxa"/>
            <w:tcBorders>
              <w:bottom w:val="single" w:sz="4" w:space="0" w:color="000000"/>
            </w:tcBorders>
            <w:tcMar>
              <w:top w:w="65" w:type="dxa"/>
              <w:left w:w="65" w:type="dxa"/>
              <w:bottom w:w="65" w:type="dxa"/>
              <w:right w:w="65" w:type="dxa"/>
            </w:tcMar>
            <w:vAlign w:val="center"/>
          </w:tcPr>
          <w:p w14:paraId="20D1836C" w14:textId="77777777" w:rsidR="002E06FD" w:rsidRDefault="00000000">
            <w:pPr>
              <w:spacing w:line="240" w:lineRule="exact"/>
              <w:jc w:val="center"/>
            </w:pPr>
            <w:r>
              <w:rPr>
                <w:b/>
                <w:color w:val="000000"/>
                <w:sz w:val="18"/>
              </w:rPr>
              <w:t>Dim.</w:t>
            </w:r>
          </w:p>
        </w:tc>
        <w:tc>
          <w:tcPr>
            <w:tcW w:w="1134" w:type="dxa"/>
            <w:tcBorders>
              <w:bottom w:val="single" w:sz="4" w:space="0" w:color="000000"/>
            </w:tcBorders>
            <w:tcMar>
              <w:top w:w="65" w:type="dxa"/>
              <w:left w:w="65" w:type="dxa"/>
              <w:bottom w:w="65" w:type="dxa"/>
              <w:right w:w="65" w:type="dxa"/>
            </w:tcMar>
            <w:vAlign w:val="center"/>
          </w:tcPr>
          <w:p w14:paraId="20AB84A7" w14:textId="77777777" w:rsidR="002E06FD" w:rsidRDefault="00000000">
            <w:pPr>
              <w:spacing w:line="240" w:lineRule="exact"/>
              <w:jc w:val="center"/>
            </w:pPr>
            <w:r>
              <w:rPr>
                <w:b/>
                <w:color w:val="000000"/>
                <w:sz w:val="18"/>
              </w:rPr>
              <w:t>ACC</w:t>
            </w:r>
          </w:p>
        </w:tc>
        <w:tc>
          <w:tcPr>
            <w:tcW w:w="1134" w:type="dxa"/>
            <w:tcBorders>
              <w:bottom w:val="single" w:sz="4" w:space="0" w:color="000000"/>
            </w:tcBorders>
            <w:tcMar>
              <w:top w:w="65" w:type="dxa"/>
              <w:left w:w="65" w:type="dxa"/>
              <w:bottom w:w="65" w:type="dxa"/>
              <w:right w:w="65" w:type="dxa"/>
            </w:tcMar>
            <w:vAlign w:val="center"/>
          </w:tcPr>
          <w:p w14:paraId="6F0CB9E8" w14:textId="77777777" w:rsidR="002E06FD" w:rsidRDefault="00000000">
            <w:pPr>
              <w:spacing w:line="240" w:lineRule="exact"/>
              <w:jc w:val="center"/>
            </w:pPr>
            <w:r>
              <w:rPr>
                <w:b/>
                <w:color w:val="000000"/>
                <w:sz w:val="18"/>
              </w:rPr>
              <w:t>ARI</w:t>
            </w:r>
          </w:p>
        </w:tc>
        <w:tc>
          <w:tcPr>
            <w:tcW w:w="1134" w:type="dxa"/>
            <w:tcBorders>
              <w:bottom w:val="single" w:sz="4" w:space="0" w:color="000000"/>
            </w:tcBorders>
            <w:tcMar>
              <w:top w:w="65" w:type="dxa"/>
              <w:left w:w="65" w:type="dxa"/>
              <w:bottom w:w="65" w:type="dxa"/>
              <w:right w:w="65" w:type="dxa"/>
            </w:tcMar>
            <w:vAlign w:val="center"/>
          </w:tcPr>
          <w:p w14:paraId="5644DECF" w14:textId="77777777" w:rsidR="002E06FD" w:rsidRDefault="00000000">
            <w:pPr>
              <w:spacing w:line="240" w:lineRule="exact"/>
              <w:jc w:val="center"/>
            </w:pPr>
            <w:r>
              <w:rPr>
                <w:b/>
                <w:color w:val="000000"/>
                <w:sz w:val="18"/>
              </w:rPr>
              <w:t>NMI</w:t>
            </w:r>
          </w:p>
        </w:tc>
        <w:tc>
          <w:tcPr>
            <w:tcW w:w="1701" w:type="dxa"/>
            <w:tcBorders>
              <w:bottom w:val="single" w:sz="4" w:space="0" w:color="000000"/>
            </w:tcBorders>
            <w:tcMar>
              <w:top w:w="65" w:type="dxa"/>
              <w:left w:w="65" w:type="dxa"/>
              <w:bottom w:w="65" w:type="dxa"/>
              <w:right w:w="65" w:type="dxa"/>
            </w:tcMar>
            <w:vAlign w:val="center"/>
          </w:tcPr>
          <w:p w14:paraId="2B2489D6" w14:textId="77777777" w:rsidR="002E06FD" w:rsidRDefault="00000000">
            <w:pPr>
              <w:spacing w:line="240" w:lineRule="exact"/>
              <w:jc w:val="center"/>
            </w:pPr>
            <w:r>
              <w:rPr>
                <w:b/>
                <w:color w:val="000000"/>
                <w:sz w:val="18"/>
              </w:rPr>
              <w:t>Silhouette</w:t>
            </w:r>
          </w:p>
        </w:tc>
        <w:tc>
          <w:tcPr>
            <w:tcW w:w="964" w:type="dxa"/>
            <w:tcBorders>
              <w:bottom w:val="single" w:sz="4" w:space="0" w:color="000000"/>
            </w:tcBorders>
            <w:tcMar>
              <w:top w:w="65" w:type="dxa"/>
              <w:left w:w="65" w:type="dxa"/>
              <w:bottom w:w="65" w:type="dxa"/>
              <w:right w:w="65" w:type="dxa"/>
            </w:tcMar>
            <w:vAlign w:val="center"/>
          </w:tcPr>
          <w:p w14:paraId="33C89A07" w14:textId="77777777" w:rsidR="002E06FD" w:rsidRDefault="00000000">
            <w:pPr>
              <w:spacing w:line="240" w:lineRule="exact"/>
              <w:jc w:val="center"/>
            </w:pPr>
            <w:r>
              <w:rPr>
                <w:b/>
                <w:color w:val="000000"/>
                <w:sz w:val="18"/>
              </w:rPr>
              <w:t>Errors</w:t>
            </w:r>
          </w:p>
        </w:tc>
      </w:tr>
      <w:tr w:rsidR="002E06FD" w14:paraId="29AC9A7C" w14:textId="77777777">
        <w:trPr>
          <w:cantSplit/>
          <w:jc w:val="center"/>
        </w:trPr>
        <w:tc>
          <w:tcPr>
            <w:tcW w:w="1757" w:type="dxa"/>
            <w:tcMar>
              <w:top w:w="65" w:type="dxa"/>
              <w:left w:w="65" w:type="dxa"/>
              <w:bottom w:w="65" w:type="dxa"/>
              <w:right w:w="65" w:type="dxa"/>
            </w:tcMar>
            <w:vAlign w:val="center"/>
          </w:tcPr>
          <w:p w14:paraId="2825B1C6" w14:textId="77777777" w:rsidR="002E06FD" w:rsidRDefault="00000000">
            <w:pPr>
              <w:spacing w:line="240" w:lineRule="exact"/>
              <w:jc w:val="center"/>
            </w:pPr>
            <w:r>
              <w:rPr>
                <w:color w:val="000000"/>
                <w:sz w:val="18"/>
              </w:rPr>
              <w:t>A: Mean RGB</w:t>
            </w:r>
          </w:p>
        </w:tc>
        <w:tc>
          <w:tcPr>
            <w:tcW w:w="624" w:type="dxa"/>
            <w:tcMar>
              <w:top w:w="65" w:type="dxa"/>
              <w:left w:w="65" w:type="dxa"/>
              <w:bottom w:w="65" w:type="dxa"/>
              <w:right w:w="65" w:type="dxa"/>
            </w:tcMar>
            <w:vAlign w:val="center"/>
          </w:tcPr>
          <w:p w14:paraId="4921C97A" w14:textId="77777777" w:rsidR="002E06FD" w:rsidRDefault="00000000">
            <w:pPr>
              <w:spacing w:line="240" w:lineRule="exact"/>
              <w:jc w:val="center"/>
            </w:pPr>
            <w:r>
              <w:rPr>
                <w:color w:val="000000"/>
                <w:sz w:val="18"/>
              </w:rPr>
              <w:t>3</w:t>
            </w:r>
          </w:p>
        </w:tc>
        <w:tc>
          <w:tcPr>
            <w:tcW w:w="1134" w:type="dxa"/>
            <w:tcMar>
              <w:top w:w="65" w:type="dxa"/>
              <w:left w:w="65" w:type="dxa"/>
              <w:bottom w:w="65" w:type="dxa"/>
              <w:right w:w="65" w:type="dxa"/>
            </w:tcMar>
            <w:vAlign w:val="center"/>
          </w:tcPr>
          <w:p w14:paraId="303B3147" w14:textId="77777777" w:rsidR="002E06FD" w:rsidRDefault="00000000">
            <w:pPr>
              <w:spacing w:line="240" w:lineRule="exact"/>
              <w:jc w:val="center"/>
            </w:pPr>
            <w:r>
              <w:rPr>
                <w:color w:val="000000"/>
                <w:sz w:val="18"/>
              </w:rPr>
              <w:t>0.7783</w:t>
            </w:r>
          </w:p>
        </w:tc>
        <w:tc>
          <w:tcPr>
            <w:tcW w:w="1134" w:type="dxa"/>
            <w:tcMar>
              <w:top w:w="65" w:type="dxa"/>
              <w:left w:w="65" w:type="dxa"/>
              <w:bottom w:w="65" w:type="dxa"/>
              <w:right w:w="65" w:type="dxa"/>
            </w:tcMar>
            <w:vAlign w:val="center"/>
          </w:tcPr>
          <w:p w14:paraId="69DE301B" w14:textId="77777777" w:rsidR="002E06FD" w:rsidRDefault="00000000">
            <w:pPr>
              <w:spacing w:line="240" w:lineRule="exact"/>
              <w:jc w:val="center"/>
            </w:pPr>
            <w:r>
              <w:rPr>
                <w:color w:val="000000"/>
                <w:sz w:val="18"/>
              </w:rPr>
              <w:t>0.7728</w:t>
            </w:r>
          </w:p>
        </w:tc>
        <w:tc>
          <w:tcPr>
            <w:tcW w:w="1134" w:type="dxa"/>
            <w:tcMar>
              <w:top w:w="65" w:type="dxa"/>
              <w:left w:w="65" w:type="dxa"/>
              <w:bottom w:w="65" w:type="dxa"/>
              <w:right w:w="65" w:type="dxa"/>
            </w:tcMar>
            <w:vAlign w:val="center"/>
          </w:tcPr>
          <w:p w14:paraId="0BE8684F" w14:textId="77777777" w:rsidR="002E06FD" w:rsidRDefault="00000000">
            <w:pPr>
              <w:spacing w:line="240" w:lineRule="exact"/>
              <w:jc w:val="center"/>
            </w:pPr>
            <w:r>
              <w:rPr>
                <w:color w:val="000000"/>
                <w:sz w:val="18"/>
              </w:rPr>
              <w:t>0.8941</w:t>
            </w:r>
          </w:p>
        </w:tc>
        <w:tc>
          <w:tcPr>
            <w:tcW w:w="1701" w:type="dxa"/>
            <w:tcMar>
              <w:top w:w="65" w:type="dxa"/>
              <w:left w:w="65" w:type="dxa"/>
              <w:bottom w:w="65" w:type="dxa"/>
              <w:right w:w="65" w:type="dxa"/>
            </w:tcMar>
            <w:vAlign w:val="center"/>
          </w:tcPr>
          <w:p w14:paraId="6DF652C6" w14:textId="77777777" w:rsidR="002E06FD" w:rsidRDefault="00000000">
            <w:pPr>
              <w:spacing w:line="240" w:lineRule="exact"/>
              <w:jc w:val="center"/>
            </w:pPr>
            <w:r>
              <w:rPr>
                <w:color w:val="000000"/>
                <w:sz w:val="18"/>
              </w:rPr>
              <w:t>0.7468</w:t>
            </w:r>
          </w:p>
        </w:tc>
        <w:tc>
          <w:tcPr>
            <w:tcW w:w="964" w:type="dxa"/>
            <w:tcMar>
              <w:top w:w="65" w:type="dxa"/>
              <w:left w:w="65" w:type="dxa"/>
              <w:bottom w:w="65" w:type="dxa"/>
              <w:right w:w="65" w:type="dxa"/>
            </w:tcMar>
            <w:vAlign w:val="center"/>
          </w:tcPr>
          <w:p w14:paraId="1DD258FD" w14:textId="77777777" w:rsidR="002E06FD" w:rsidRDefault="00000000">
            <w:pPr>
              <w:spacing w:line="240" w:lineRule="exact"/>
              <w:jc w:val="center"/>
            </w:pPr>
            <w:r>
              <w:rPr>
                <w:color w:val="000000"/>
                <w:sz w:val="18"/>
              </w:rPr>
              <w:t>133</w:t>
            </w:r>
          </w:p>
        </w:tc>
      </w:tr>
      <w:tr w:rsidR="002E06FD" w14:paraId="03451DB9" w14:textId="77777777">
        <w:trPr>
          <w:cantSplit/>
          <w:jc w:val="center"/>
        </w:trPr>
        <w:tc>
          <w:tcPr>
            <w:tcW w:w="1757" w:type="dxa"/>
            <w:tcMar>
              <w:top w:w="65" w:type="dxa"/>
              <w:left w:w="65" w:type="dxa"/>
              <w:bottom w:w="65" w:type="dxa"/>
              <w:right w:w="65" w:type="dxa"/>
            </w:tcMar>
            <w:vAlign w:val="center"/>
          </w:tcPr>
          <w:p w14:paraId="5DAF3FD7" w14:textId="77777777" w:rsidR="002E06FD" w:rsidRDefault="00000000">
            <w:pPr>
              <w:spacing w:line="240" w:lineRule="exact"/>
              <w:jc w:val="center"/>
            </w:pPr>
            <w:r>
              <w:rPr>
                <w:color w:val="000000"/>
                <w:sz w:val="18"/>
              </w:rPr>
              <w:t>B: HOG</w:t>
            </w:r>
          </w:p>
        </w:tc>
        <w:tc>
          <w:tcPr>
            <w:tcW w:w="624" w:type="dxa"/>
            <w:tcMar>
              <w:top w:w="65" w:type="dxa"/>
              <w:left w:w="65" w:type="dxa"/>
              <w:bottom w:w="65" w:type="dxa"/>
              <w:right w:w="65" w:type="dxa"/>
            </w:tcMar>
            <w:vAlign w:val="center"/>
          </w:tcPr>
          <w:p w14:paraId="27310F2C" w14:textId="77777777" w:rsidR="002E06FD" w:rsidRDefault="00000000">
            <w:pPr>
              <w:spacing w:line="240" w:lineRule="exact"/>
              <w:jc w:val="center"/>
            </w:pPr>
            <w:r>
              <w:rPr>
                <w:color w:val="000000"/>
                <w:sz w:val="18"/>
              </w:rPr>
              <w:t>1764</w:t>
            </w:r>
          </w:p>
        </w:tc>
        <w:tc>
          <w:tcPr>
            <w:tcW w:w="1134" w:type="dxa"/>
            <w:tcMar>
              <w:top w:w="65" w:type="dxa"/>
              <w:left w:w="65" w:type="dxa"/>
              <w:bottom w:w="65" w:type="dxa"/>
              <w:right w:w="65" w:type="dxa"/>
            </w:tcMar>
            <w:vAlign w:val="center"/>
          </w:tcPr>
          <w:p w14:paraId="201FCC53" w14:textId="77777777" w:rsidR="002E06FD" w:rsidRDefault="00000000">
            <w:pPr>
              <w:spacing w:line="240" w:lineRule="exact"/>
              <w:jc w:val="center"/>
            </w:pPr>
            <w:r>
              <w:rPr>
                <w:color w:val="000000"/>
                <w:sz w:val="18"/>
              </w:rPr>
              <w:t>1.0000</w:t>
            </w:r>
          </w:p>
        </w:tc>
        <w:tc>
          <w:tcPr>
            <w:tcW w:w="1134" w:type="dxa"/>
            <w:tcMar>
              <w:top w:w="65" w:type="dxa"/>
              <w:left w:w="65" w:type="dxa"/>
              <w:bottom w:w="65" w:type="dxa"/>
              <w:right w:w="65" w:type="dxa"/>
            </w:tcMar>
            <w:vAlign w:val="center"/>
          </w:tcPr>
          <w:p w14:paraId="7EEE4E9C" w14:textId="77777777" w:rsidR="002E06FD" w:rsidRDefault="00000000">
            <w:pPr>
              <w:spacing w:line="240" w:lineRule="exact"/>
              <w:jc w:val="center"/>
            </w:pPr>
            <w:r>
              <w:rPr>
                <w:color w:val="000000"/>
                <w:sz w:val="18"/>
              </w:rPr>
              <w:t>1.0000</w:t>
            </w:r>
          </w:p>
        </w:tc>
        <w:tc>
          <w:tcPr>
            <w:tcW w:w="1134" w:type="dxa"/>
            <w:tcMar>
              <w:top w:w="65" w:type="dxa"/>
              <w:left w:w="65" w:type="dxa"/>
              <w:bottom w:w="65" w:type="dxa"/>
              <w:right w:w="65" w:type="dxa"/>
            </w:tcMar>
            <w:vAlign w:val="center"/>
          </w:tcPr>
          <w:p w14:paraId="174ABB4C" w14:textId="77777777" w:rsidR="002E06FD" w:rsidRDefault="00000000">
            <w:pPr>
              <w:spacing w:line="240" w:lineRule="exact"/>
              <w:jc w:val="center"/>
            </w:pPr>
            <w:r>
              <w:rPr>
                <w:color w:val="000000"/>
                <w:sz w:val="18"/>
              </w:rPr>
              <w:t>1.0000</w:t>
            </w:r>
          </w:p>
        </w:tc>
        <w:tc>
          <w:tcPr>
            <w:tcW w:w="1701" w:type="dxa"/>
            <w:tcMar>
              <w:top w:w="65" w:type="dxa"/>
              <w:left w:w="65" w:type="dxa"/>
              <w:bottom w:w="65" w:type="dxa"/>
              <w:right w:w="65" w:type="dxa"/>
            </w:tcMar>
            <w:vAlign w:val="center"/>
          </w:tcPr>
          <w:p w14:paraId="29001991" w14:textId="77777777" w:rsidR="002E06FD" w:rsidRDefault="00000000">
            <w:pPr>
              <w:spacing w:line="240" w:lineRule="exact"/>
              <w:jc w:val="center"/>
            </w:pPr>
            <w:r>
              <w:rPr>
                <w:color w:val="000000"/>
                <w:sz w:val="18"/>
              </w:rPr>
              <w:t>0.4926</w:t>
            </w:r>
          </w:p>
        </w:tc>
        <w:tc>
          <w:tcPr>
            <w:tcW w:w="964" w:type="dxa"/>
            <w:tcMar>
              <w:top w:w="65" w:type="dxa"/>
              <w:left w:w="65" w:type="dxa"/>
              <w:bottom w:w="65" w:type="dxa"/>
              <w:right w:w="65" w:type="dxa"/>
            </w:tcMar>
            <w:vAlign w:val="center"/>
          </w:tcPr>
          <w:p w14:paraId="03E1AA0B" w14:textId="77777777" w:rsidR="002E06FD" w:rsidRDefault="00000000">
            <w:pPr>
              <w:spacing w:line="240" w:lineRule="exact"/>
              <w:jc w:val="center"/>
            </w:pPr>
            <w:r>
              <w:rPr>
                <w:color w:val="000000"/>
                <w:sz w:val="18"/>
              </w:rPr>
              <w:t>0</w:t>
            </w:r>
          </w:p>
        </w:tc>
      </w:tr>
    </w:tbl>
    <w:p w14:paraId="0D91FEC1" w14:textId="77777777" w:rsidR="002E06FD" w:rsidRDefault="002E06FD">
      <w:pPr>
        <w:sectPr w:rsidR="002E06FD">
          <w:type w:val="continuous"/>
          <w:pgSz w:w="11906" w:h="16838" w:code="9"/>
          <w:pgMar w:top="1246" w:right="964" w:bottom="851" w:left="964" w:header="851" w:footer="992" w:gutter="0"/>
          <w:cols w:space="720"/>
          <w:docGrid w:type="lines" w:linePitch="312"/>
        </w:sectPr>
      </w:pPr>
    </w:p>
    <w:p w14:paraId="34E6DC9A" w14:textId="77777777" w:rsidR="002E06FD" w:rsidRDefault="00000000">
      <w:pPr>
        <w:pStyle w:val="a3"/>
        <w:widowControl/>
        <w:spacing w:line="312" w:lineRule="exact"/>
        <w:rPr>
          <w:color w:val="000000"/>
        </w:rPr>
      </w:pPr>
      <w:r>
        <w:rPr>
          <w:color w:val="000000"/>
        </w:rPr>
        <w:t>方法</w:t>
      </w:r>
      <w:r>
        <w:rPr>
          <w:color w:val="000000"/>
        </w:rPr>
        <w:t>A</w:t>
      </w:r>
      <w:r>
        <w:rPr>
          <w:color w:val="000000"/>
        </w:rPr>
        <w:t>的轮廓系数为</w:t>
      </w:r>
      <w:r>
        <w:rPr>
          <w:color w:val="000000"/>
        </w:rPr>
        <w:t>0.7468</w:t>
      </w:r>
      <w:r>
        <w:rPr>
          <w:color w:val="000000"/>
        </w:rPr>
        <w:t>，高于方法</w:t>
      </w:r>
      <w:r>
        <w:rPr>
          <w:color w:val="000000"/>
        </w:rPr>
        <w:t>B</w:t>
      </w:r>
      <w:r>
        <w:rPr>
          <w:color w:val="000000"/>
        </w:rPr>
        <w:t>的</w:t>
      </w:r>
      <w:r>
        <w:rPr>
          <w:color w:val="000000"/>
        </w:rPr>
        <w:t>0.4926</w:t>
      </w:r>
      <w:r>
        <w:rPr>
          <w:color w:val="000000"/>
        </w:rPr>
        <w:t>，但其外部一致性较低。较紧凑、分离的颜色簇不一定对应语义类别；不同特征空间的距离几何也不同。因此，不能仅凭轮廓系数认定颜色方案优于</w:t>
      </w:r>
      <w:r>
        <w:rPr>
          <w:color w:val="000000"/>
        </w:rPr>
        <w:t>HOG</w:t>
      </w:r>
      <w:r>
        <w:rPr>
          <w:color w:val="000000"/>
        </w:rPr>
        <w:t>方案。</w:t>
      </w:r>
    </w:p>
    <w:p w14:paraId="17A9CA0D" w14:textId="77777777" w:rsidR="002E06FD" w:rsidRDefault="00000000">
      <w:pPr>
        <w:keepNext/>
        <w:spacing w:before="100" w:after="40" w:line="312" w:lineRule="exact"/>
        <w:jc w:val="left"/>
        <w:outlineLvl w:val="1"/>
        <w:rPr>
          <w:color w:val="000000"/>
        </w:rPr>
      </w:pPr>
      <w:r>
        <w:rPr>
          <w:rFonts w:eastAsia="黑体"/>
          <w:b/>
          <w:color w:val="000000"/>
        </w:rPr>
        <w:t xml:space="preserve">5.3 </w:t>
      </w:r>
      <w:r>
        <w:rPr>
          <w:rFonts w:eastAsia="黑体"/>
          <w:b/>
          <w:color w:val="000000"/>
        </w:rPr>
        <w:t>类别混淆分析</w:t>
      </w:r>
    </w:p>
    <w:p w14:paraId="67B920D9" w14:textId="77777777" w:rsidR="002E06FD" w:rsidRDefault="00000000">
      <w:pPr>
        <w:pStyle w:val="a3"/>
        <w:widowControl/>
        <w:spacing w:line="312" w:lineRule="exact"/>
        <w:rPr>
          <w:color w:val="000000"/>
        </w:rPr>
      </w:pPr>
      <w:r>
        <w:rPr>
          <w:color w:val="000000"/>
        </w:rPr>
        <w:t>图</w:t>
      </w:r>
      <w:r>
        <w:rPr>
          <w:color w:val="000000"/>
        </w:rPr>
        <w:t>2</w:t>
      </w:r>
      <w:r>
        <w:rPr>
          <w:color w:val="000000"/>
        </w:rPr>
        <w:t>保留原始簇编号，行表示真实类别，列表示算法簇。非对角位置的计数本身不等于错误。颜色方案将</w:t>
      </w:r>
      <w:r>
        <w:rPr>
          <w:color w:val="000000"/>
        </w:rPr>
        <w:t>100</w:t>
      </w:r>
      <w:r>
        <w:rPr>
          <w:color w:val="000000"/>
        </w:rPr>
        <w:t>张皮革与</w:t>
      </w:r>
      <w:r>
        <w:rPr>
          <w:color w:val="000000"/>
        </w:rPr>
        <w:t>100</w:t>
      </w:r>
      <w:r>
        <w:rPr>
          <w:color w:val="000000"/>
        </w:rPr>
        <w:t>张晶体管合并至簇</w:t>
      </w:r>
      <w:r>
        <w:rPr>
          <w:color w:val="000000"/>
        </w:rPr>
        <w:t>1</w:t>
      </w:r>
      <w:r>
        <w:rPr>
          <w:color w:val="000000"/>
        </w:rPr>
        <w:t>；瓷砖则分为簇</w:t>
      </w:r>
      <w:r>
        <w:rPr>
          <w:color w:val="000000"/>
        </w:rPr>
        <w:t>0</w:t>
      </w:r>
      <w:r>
        <w:rPr>
          <w:color w:val="000000"/>
        </w:rPr>
        <w:t>中的</w:t>
      </w:r>
      <w:r>
        <w:rPr>
          <w:color w:val="000000"/>
        </w:rPr>
        <w:t>67</w:t>
      </w:r>
      <w:r>
        <w:rPr>
          <w:color w:val="000000"/>
        </w:rPr>
        <w:t>张、簇</w:t>
      </w:r>
      <w:r>
        <w:rPr>
          <w:color w:val="000000"/>
        </w:rPr>
        <w:t>4</w:t>
      </w:r>
      <w:r>
        <w:rPr>
          <w:color w:val="000000"/>
        </w:rPr>
        <w:t>中的</w:t>
      </w:r>
      <w:r>
        <w:rPr>
          <w:color w:val="000000"/>
        </w:rPr>
        <w:t>2</w:t>
      </w:r>
      <w:r>
        <w:rPr>
          <w:color w:val="000000"/>
        </w:rPr>
        <w:t>张及簇</w:t>
      </w:r>
      <w:r>
        <w:rPr>
          <w:color w:val="000000"/>
        </w:rPr>
        <w:t>5</w:t>
      </w:r>
      <w:r>
        <w:rPr>
          <w:color w:val="000000"/>
        </w:rPr>
        <w:t>中的</w:t>
      </w:r>
      <w:r>
        <w:rPr>
          <w:color w:val="000000"/>
        </w:rPr>
        <w:t>31</w:t>
      </w:r>
      <w:r>
        <w:rPr>
          <w:color w:val="000000"/>
        </w:rPr>
        <w:t>张。</w:t>
      </w:r>
      <w:r>
        <w:rPr>
          <w:color w:val="000000"/>
        </w:rPr>
        <w:t>HOG</w:t>
      </w:r>
      <w:r>
        <w:rPr>
          <w:color w:val="000000"/>
        </w:rPr>
        <w:t>方案的六个簇分别与六个真实类别一一对应。</w:t>
      </w:r>
    </w:p>
    <w:p w14:paraId="442E13A7" w14:textId="77777777" w:rsidR="002E06FD" w:rsidRDefault="002E06FD">
      <w:pPr>
        <w:sectPr w:rsidR="002E06FD">
          <w:footerReference w:type="default" r:id="rId27"/>
          <w:type w:val="continuous"/>
          <w:pgSz w:w="11906" w:h="16838" w:code="9"/>
          <w:pgMar w:top="1246" w:right="964" w:bottom="851" w:left="964" w:header="851" w:footer="992" w:gutter="0"/>
          <w:cols w:num="2" w:space="425"/>
          <w:docGrid w:type="lines" w:linePitch="312"/>
        </w:sectPr>
      </w:pPr>
    </w:p>
    <w:p w14:paraId="36B4B9F2" w14:textId="1D4A0B1C" w:rsidR="002E06FD" w:rsidRDefault="00716DB6">
      <w:pPr>
        <w:keepNext/>
        <w:spacing w:before="80"/>
        <w:jc w:val="center"/>
      </w:pPr>
      <w:r>
        <w:rPr>
          <w:noProof/>
        </w:rPr>
        <w:lastRenderedPageBreak/>
        <w:pict w14:anchorId="7955D3FE">
          <v:shape id="Picture 2" o:spid="_x0000_i1046" type="#_x0000_t75" style="width:481.65pt;height:195.35pt;visibility:visible;mso-wrap-style:square">
            <v:imagedata r:id="rId28" o:title=""/>
          </v:shape>
        </w:pict>
      </w:r>
    </w:p>
    <w:p w14:paraId="4E4E4F4E" w14:textId="77777777" w:rsidR="002E06FD" w:rsidRDefault="00000000">
      <w:pPr>
        <w:keepNext/>
        <w:spacing w:before="40" w:after="40" w:line="240" w:lineRule="exact"/>
        <w:jc w:val="center"/>
      </w:pPr>
      <w:r>
        <w:rPr>
          <w:color w:val="000000"/>
          <w:sz w:val="18"/>
        </w:rPr>
        <w:t>Fig. 2 Contingency matrices of the two clustering pipelines.</w:t>
      </w:r>
    </w:p>
    <w:p w14:paraId="2D454DBC" w14:textId="77777777" w:rsidR="002E06FD" w:rsidRDefault="00000000">
      <w:pPr>
        <w:spacing w:before="40" w:after="40" w:line="240" w:lineRule="exact"/>
        <w:jc w:val="center"/>
      </w:pPr>
      <w:r>
        <w:rPr>
          <w:color w:val="000000"/>
          <w:sz w:val="18"/>
        </w:rPr>
        <w:t>图</w:t>
      </w:r>
      <w:r>
        <w:rPr>
          <w:color w:val="000000"/>
          <w:sz w:val="18"/>
        </w:rPr>
        <w:t xml:space="preserve">2 </w:t>
      </w:r>
      <w:r>
        <w:rPr>
          <w:color w:val="000000"/>
          <w:sz w:val="18"/>
        </w:rPr>
        <w:t>两种聚类方案的类别与簇交叉统计</w:t>
      </w:r>
    </w:p>
    <w:p w14:paraId="56C3FC70" w14:textId="77777777" w:rsidR="002E06FD" w:rsidRDefault="002E06FD">
      <w:pPr>
        <w:sectPr w:rsidR="002E06FD">
          <w:type w:val="continuous"/>
          <w:pgSz w:w="11906" w:h="16838" w:code="9"/>
          <w:pgMar w:top="1246" w:right="964" w:bottom="851" w:left="964" w:header="851" w:footer="992" w:gutter="0"/>
          <w:cols w:space="720"/>
          <w:docGrid w:type="lines" w:linePitch="312"/>
        </w:sectPr>
      </w:pPr>
    </w:p>
    <w:p w14:paraId="37B8380B" w14:textId="77777777" w:rsidR="002E06FD" w:rsidRDefault="00000000">
      <w:pPr>
        <w:pStyle w:val="a3"/>
        <w:widowControl/>
        <w:spacing w:line="312" w:lineRule="exact"/>
        <w:rPr>
          <w:color w:val="000000"/>
        </w:rPr>
      </w:pPr>
      <w:r>
        <w:rPr>
          <w:color w:val="000000"/>
        </w:rPr>
        <w:t>上述混淆与全局颜色均值的信息损失相符：棕色背景的晶体管与皮革在颜色统计上接近，而瓷砖的明暗变化可改变其均值。</w:t>
      </w:r>
      <w:r>
        <w:rPr>
          <w:color w:val="000000"/>
        </w:rPr>
        <w:t>HOG</w:t>
      </w:r>
      <w:r>
        <w:rPr>
          <w:color w:val="000000"/>
        </w:rPr>
        <w:t>保留局部方向及其位置，更有利于当前数据中规则轮廓和纹理之间的区分；这仍属于针对当前数据的解释，而非对背景因素影响的独立验证。</w:t>
      </w:r>
    </w:p>
    <w:p w14:paraId="314AD24B" w14:textId="77777777" w:rsidR="002E06FD" w:rsidRDefault="00000000">
      <w:pPr>
        <w:keepNext/>
        <w:spacing w:before="100" w:after="40" w:line="312" w:lineRule="exact"/>
        <w:jc w:val="left"/>
        <w:outlineLvl w:val="1"/>
        <w:rPr>
          <w:color w:val="000000"/>
        </w:rPr>
      </w:pPr>
      <w:r>
        <w:rPr>
          <w:rFonts w:eastAsia="黑体"/>
          <w:b/>
          <w:color w:val="000000"/>
        </w:rPr>
        <w:t xml:space="preserve">5.4 </w:t>
      </w:r>
      <w:r>
        <w:rPr>
          <w:rFonts w:eastAsia="黑体"/>
          <w:b/>
          <w:color w:val="000000"/>
        </w:rPr>
        <w:t>随机初始化稳定性</w:t>
      </w:r>
    </w:p>
    <w:p w14:paraId="1E7247FD" w14:textId="77777777" w:rsidR="002E06FD" w:rsidRDefault="00000000">
      <w:pPr>
        <w:pStyle w:val="a3"/>
        <w:widowControl/>
        <w:spacing w:line="312" w:lineRule="exact"/>
        <w:rPr>
          <w:color w:val="000000"/>
        </w:rPr>
      </w:pPr>
      <w:r>
        <w:rPr>
          <w:color w:val="000000"/>
        </w:rPr>
        <w:t>对两种方法分别报告五个预设种子的结果，表</w:t>
      </w:r>
      <w:r>
        <w:rPr>
          <w:color w:val="000000"/>
        </w:rPr>
        <w:t>2</w:t>
      </w:r>
      <w:r>
        <w:rPr>
          <w:color w:val="000000"/>
        </w:rPr>
        <w:t>给出</w:t>
      </w:r>
      <w:r>
        <w:rPr>
          <w:color w:val="000000"/>
        </w:rPr>
        <w:t>ACC</w:t>
      </w:r>
      <w:r>
        <w:rPr>
          <w:color w:val="000000"/>
        </w:rPr>
        <w:t>的均值、总体标准差及范围。方法</w:t>
      </w:r>
      <w:r>
        <w:rPr>
          <w:color w:val="000000"/>
        </w:rPr>
        <w:t>A</w:t>
      </w:r>
      <w:r>
        <w:rPr>
          <w:color w:val="000000"/>
        </w:rPr>
        <w:t>五次均为</w:t>
      </w:r>
      <w:r>
        <w:rPr>
          <w:color w:val="000000"/>
        </w:rPr>
        <w:t>0.7783</w:t>
      </w:r>
      <w:r>
        <w:rPr>
          <w:color w:val="000000"/>
        </w:rPr>
        <w:t>，方法</w:t>
      </w:r>
      <w:r>
        <w:rPr>
          <w:color w:val="000000"/>
        </w:rPr>
        <w:t>B</w:t>
      </w:r>
      <w:r>
        <w:rPr>
          <w:color w:val="000000"/>
        </w:rPr>
        <w:t>均为</w:t>
      </w:r>
      <w:r>
        <w:rPr>
          <w:color w:val="000000"/>
        </w:rPr>
        <w:t>1.0000</w:t>
      </w:r>
      <w:r>
        <w:rPr>
          <w:color w:val="000000"/>
        </w:rPr>
        <w:t>。两种方法在所列种子下的</w:t>
      </w:r>
      <w:r>
        <w:rPr>
          <w:color w:val="000000"/>
        </w:rPr>
        <w:t>ARI</w:t>
      </w:r>
      <w:r>
        <w:rPr>
          <w:color w:val="000000"/>
        </w:rPr>
        <w:t>与</w:t>
      </w:r>
      <w:r>
        <w:rPr>
          <w:color w:val="000000"/>
        </w:rPr>
        <w:t>NMI</w:t>
      </w:r>
      <w:r>
        <w:rPr>
          <w:color w:val="000000"/>
        </w:rPr>
        <w:t>也分别保持与表</w:t>
      </w:r>
      <w:r>
        <w:rPr>
          <w:color w:val="000000"/>
        </w:rPr>
        <w:t>1</w:t>
      </w:r>
      <w:r>
        <w:rPr>
          <w:color w:val="000000"/>
        </w:rPr>
        <w:t>相同。标准差使用</w:t>
      </w:r>
      <w:proofErr w:type="spellStart"/>
      <w:r>
        <w:rPr>
          <w:color w:val="000000"/>
        </w:rPr>
        <w:t>ddof</w:t>
      </w:r>
      <w:proofErr w:type="spellEnd"/>
      <w:r>
        <w:rPr>
          <w:color w:val="000000"/>
        </w:rPr>
        <w:t>=0</w:t>
      </w:r>
      <w:r>
        <w:rPr>
          <w:color w:val="000000"/>
        </w:rPr>
        <w:t>，仅描述这五次指定运行，不构成独立数据集上的统计显著性检验。</w:t>
      </w:r>
    </w:p>
    <w:p w14:paraId="214065FE" w14:textId="77777777" w:rsidR="002E06FD" w:rsidRDefault="002E06FD">
      <w:pPr>
        <w:sectPr w:rsidR="002E06FD">
          <w:footerReference w:type="default" r:id="rId29"/>
          <w:type w:val="continuous"/>
          <w:pgSz w:w="11906" w:h="16838" w:code="9"/>
          <w:pgMar w:top="1246" w:right="964" w:bottom="851" w:left="964" w:header="851" w:footer="992" w:gutter="0"/>
          <w:cols w:num="2" w:space="425"/>
          <w:docGrid w:type="lines" w:linePitch="312"/>
        </w:sectPr>
      </w:pPr>
    </w:p>
    <w:p w14:paraId="3E9573C7" w14:textId="77777777" w:rsidR="002E06FD" w:rsidRDefault="00000000">
      <w:pPr>
        <w:keepNext/>
        <w:spacing w:before="40" w:after="40" w:line="240" w:lineRule="exact"/>
        <w:jc w:val="center"/>
      </w:pPr>
      <w:r>
        <w:rPr>
          <w:rFonts w:eastAsia="黑体"/>
          <w:b/>
          <w:color w:val="000000"/>
          <w:sz w:val="18"/>
        </w:rPr>
        <w:t>Table 2 Accuracy stability over five predefined random seeds.</w:t>
      </w:r>
    </w:p>
    <w:p w14:paraId="06875D1B" w14:textId="77777777" w:rsidR="002E06FD" w:rsidRDefault="00000000">
      <w:pPr>
        <w:keepNext/>
        <w:spacing w:before="40" w:after="40" w:line="240" w:lineRule="exact"/>
        <w:jc w:val="center"/>
      </w:pPr>
      <w:r>
        <w:rPr>
          <w:rFonts w:eastAsia="黑体"/>
          <w:b/>
          <w:color w:val="000000"/>
          <w:sz w:val="18"/>
        </w:rPr>
        <w:t>表</w:t>
      </w:r>
      <w:r>
        <w:rPr>
          <w:rFonts w:eastAsia="黑体"/>
          <w:b/>
          <w:color w:val="000000"/>
          <w:sz w:val="18"/>
        </w:rPr>
        <w:t xml:space="preserve">2 </w:t>
      </w:r>
      <w:r>
        <w:rPr>
          <w:rFonts w:eastAsia="黑体"/>
          <w:b/>
          <w:color w:val="000000"/>
          <w:sz w:val="18"/>
        </w:rPr>
        <w:t>五个预设随机种子下的准确率稳定性</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57"/>
        <w:gridCol w:w="2324"/>
        <w:gridCol w:w="1531"/>
        <w:gridCol w:w="1531"/>
        <w:gridCol w:w="2438"/>
      </w:tblGrid>
      <w:tr w:rsidR="002E06FD" w14:paraId="6B711919" w14:textId="77777777">
        <w:trPr>
          <w:cantSplit/>
          <w:tblHeader/>
          <w:jc w:val="center"/>
        </w:trPr>
        <w:tc>
          <w:tcPr>
            <w:tcW w:w="1757" w:type="dxa"/>
            <w:tcBorders>
              <w:bottom w:val="single" w:sz="4" w:space="0" w:color="000000"/>
            </w:tcBorders>
            <w:tcMar>
              <w:top w:w="65" w:type="dxa"/>
              <w:left w:w="65" w:type="dxa"/>
              <w:bottom w:w="65" w:type="dxa"/>
              <w:right w:w="65" w:type="dxa"/>
            </w:tcMar>
            <w:vAlign w:val="center"/>
          </w:tcPr>
          <w:p w14:paraId="120B970C" w14:textId="77777777" w:rsidR="002E06FD" w:rsidRDefault="00000000">
            <w:pPr>
              <w:spacing w:line="240" w:lineRule="exact"/>
              <w:jc w:val="center"/>
            </w:pPr>
            <w:r>
              <w:rPr>
                <w:b/>
                <w:color w:val="000000"/>
                <w:sz w:val="18"/>
              </w:rPr>
              <w:t>Method</w:t>
            </w:r>
          </w:p>
        </w:tc>
        <w:tc>
          <w:tcPr>
            <w:tcW w:w="2324" w:type="dxa"/>
            <w:tcBorders>
              <w:bottom w:val="single" w:sz="4" w:space="0" w:color="000000"/>
            </w:tcBorders>
            <w:tcMar>
              <w:top w:w="65" w:type="dxa"/>
              <w:left w:w="65" w:type="dxa"/>
              <w:bottom w:w="65" w:type="dxa"/>
              <w:right w:w="65" w:type="dxa"/>
            </w:tcMar>
            <w:vAlign w:val="center"/>
          </w:tcPr>
          <w:p w14:paraId="61AE70B6" w14:textId="77777777" w:rsidR="002E06FD" w:rsidRDefault="00000000">
            <w:pPr>
              <w:spacing w:line="240" w:lineRule="exact"/>
              <w:jc w:val="center"/>
            </w:pPr>
            <w:r>
              <w:rPr>
                <w:b/>
                <w:color w:val="000000"/>
                <w:sz w:val="18"/>
              </w:rPr>
              <w:t>Seeds</w:t>
            </w:r>
          </w:p>
        </w:tc>
        <w:tc>
          <w:tcPr>
            <w:tcW w:w="1531" w:type="dxa"/>
            <w:tcBorders>
              <w:bottom w:val="single" w:sz="4" w:space="0" w:color="000000"/>
            </w:tcBorders>
            <w:tcMar>
              <w:top w:w="65" w:type="dxa"/>
              <w:left w:w="65" w:type="dxa"/>
              <w:bottom w:w="65" w:type="dxa"/>
              <w:right w:w="65" w:type="dxa"/>
            </w:tcMar>
            <w:vAlign w:val="center"/>
          </w:tcPr>
          <w:p w14:paraId="7C26EFA6" w14:textId="77777777" w:rsidR="002E06FD" w:rsidRDefault="00000000">
            <w:pPr>
              <w:spacing w:line="240" w:lineRule="exact"/>
              <w:jc w:val="center"/>
            </w:pPr>
            <w:r>
              <w:rPr>
                <w:b/>
                <w:color w:val="000000"/>
                <w:sz w:val="18"/>
              </w:rPr>
              <w:t>ACC mean</w:t>
            </w:r>
          </w:p>
        </w:tc>
        <w:tc>
          <w:tcPr>
            <w:tcW w:w="1531" w:type="dxa"/>
            <w:tcBorders>
              <w:bottom w:val="single" w:sz="4" w:space="0" w:color="000000"/>
            </w:tcBorders>
            <w:tcMar>
              <w:top w:w="65" w:type="dxa"/>
              <w:left w:w="65" w:type="dxa"/>
              <w:bottom w:w="65" w:type="dxa"/>
              <w:right w:w="65" w:type="dxa"/>
            </w:tcMar>
            <w:vAlign w:val="center"/>
          </w:tcPr>
          <w:p w14:paraId="7CC4A4F8" w14:textId="77777777" w:rsidR="002E06FD" w:rsidRDefault="00000000">
            <w:pPr>
              <w:spacing w:line="240" w:lineRule="exact"/>
              <w:jc w:val="center"/>
            </w:pPr>
            <w:r>
              <w:rPr>
                <w:b/>
                <w:color w:val="000000"/>
                <w:sz w:val="18"/>
              </w:rPr>
              <w:t>ACC std</w:t>
            </w:r>
          </w:p>
        </w:tc>
        <w:tc>
          <w:tcPr>
            <w:tcW w:w="2438" w:type="dxa"/>
            <w:tcBorders>
              <w:bottom w:val="single" w:sz="4" w:space="0" w:color="000000"/>
            </w:tcBorders>
            <w:tcMar>
              <w:top w:w="65" w:type="dxa"/>
              <w:left w:w="65" w:type="dxa"/>
              <w:bottom w:w="65" w:type="dxa"/>
              <w:right w:w="65" w:type="dxa"/>
            </w:tcMar>
            <w:vAlign w:val="center"/>
          </w:tcPr>
          <w:p w14:paraId="1EF9AD11" w14:textId="77777777" w:rsidR="002E06FD" w:rsidRDefault="00000000">
            <w:pPr>
              <w:spacing w:line="240" w:lineRule="exact"/>
              <w:jc w:val="center"/>
            </w:pPr>
            <w:r>
              <w:rPr>
                <w:b/>
                <w:color w:val="000000"/>
                <w:sz w:val="18"/>
              </w:rPr>
              <w:t>ACC range</w:t>
            </w:r>
          </w:p>
        </w:tc>
      </w:tr>
      <w:tr w:rsidR="002E06FD" w14:paraId="44B85B93" w14:textId="77777777">
        <w:trPr>
          <w:cantSplit/>
          <w:jc w:val="center"/>
        </w:trPr>
        <w:tc>
          <w:tcPr>
            <w:tcW w:w="1757" w:type="dxa"/>
            <w:tcMar>
              <w:top w:w="65" w:type="dxa"/>
              <w:left w:w="65" w:type="dxa"/>
              <w:bottom w:w="65" w:type="dxa"/>
              <w:right w:w="65" w:type="dxa"/>
            </w:tcMar>
            <w:vAlign w:val="center"/>
          </w:tcPr>
          <w:p w14:paraId="6CDCCF90" w14:textId="77777777" w:rsidR="002E06FD" w:rsidRDefault="00000000">
            <w:pPr>
              <w:spacing w:line="240" w:lineRule="exact"/>
              <w:jc w:val="center"/>
            </w:pPr>
            <w:r>
              <w:rPr>
                <w:color w:val="000000"/>
                <w:sz w:val="18"/>
              </w:rPr>
              <w:t>A: Mean RGB</w:t>
            </w:r>
          </w:p>
        </w:tc>
        <w:tc>
          <w:tcPr>
            <w:tcW w:w="2324" w:type="dxa"/>
            <w:tcMar>
              <w:top w:w="65" w:type="dxa"/>
              <w:left w:w="65" w:type="dxa"/>
              <w:bottom w:w="65" w:type="dxa"/>
              <w:right w:w="65" w:type="dxa"/>
            </w:tcMar>
            <w:vAlign w:val="center"/>
          </w:tcPr>
          <w:p w14:paraId="6E13AE56" w14:textId="77777777" w:rsidR="002E06FD" w:rsidRDefault="00000000">
            <w:pPr>
              <w:spacing w:line="240" w:lineRule="exact"/>
              <w:jc w:val="center"/>
            </w:pPr>
            <w:r>
              <w:rPr>
                <w:color w:val="000000"/>
                <w:sz w:val="18"/>
              </w:rPr>
              <w:t>0, 1, 7, 21, 42</w:t>
            </w:r>
          </w:p>
        </w:tc>
        <w:tc>
          <w:tcPr>
            <w:tcW w:w="1531" w:type="dxa"/>
            <w:tcMar>
              <w:top w:w="65" w:type="dxa"/>
              <w:left w:w="65" w:type="dxa"/>
              <w:bottom w:w="65" w:type="dxa"/>
              <w:right w:w="65" w:type="dxa"/>
            </w:tcMar>
            <w:vAlign w:val="center"/>
          </w:tcPr>
          <w:p w14:paraId="04141028" w14:textId="77777777" w:rsidR="002E06FD" w:rsidRDefault="00000000">
            <w:pPr>
              <w:spacing w:line="240" w:lineRule="exact"/>
              <w:jc w:val="center"/>
            </w:pPr>
            <w:r>
              <w:rPr>
                <w:color w:val="000000"/>
                <w:sz w:val="18"/>
              </w:rPr>
              <w:t>0.7783</w:t>
            </w:r>
          </w:p>
        </w:tc>
        <w:tc>
          <w:tcPr>
            <w:tcW w:w="1531" w:type="dxa"/>
            <w:tcMar>
              <w:top w:w="65" w:type="dxa"/>
              <w:left w:w="65" w:type="dxa"/>
              <w:bottom w:w="65" w:type="dxa"/>
              <w:right w:w="65" w:type="dxa"/>
            </w:tcMar>
            <w:vAlign w:val="center"/>
          </w:tcPr>
          <w:p w14:paraId="10BC8C33" w14:textId="77777777" w:rsidR="002E06FD" w:rsidRDefault="00000000">
            <w:pPr>
              <w:spacing w:line="240" w:lineRule="exact"/>
              <w:jc w:val="center"/>
            </w:pPr>
            <w:r>
              <w:rPr>
                <w:color w:val="000000"/>
                <w:sz w:val="18"/>
              </w:rPr>
              <w:t>0.0000</w:t>
            </w:r>
          </w:p>
        </w:tc>
        <w:tc>
          <w:tcPr>
            <w:tcW w:w="2438" w:type="dxa"/>
            <w:tcMar>
              <w:top w:w="65" w:type="dxa"/>
              <w:left w:w="65" w:type="dxa"/>
              <w:bottom w:w="65" w:type="dxa"/>
              <w:right w:w="65" w:type="dxa"/>
            </w:tcMar>
            <w:vAlign w:val="center"/>
          </w:tcPr>
          <w:p w14:paraId="2C5B46D0" w14:textId="77777777" w:rsidR="002E06FD" w:rsidRDefault="00000000">
            <w:pPr>
              <w:spacing w:line="240" w:lineRule="exact"/>
              <w:jc w:val="center"/>
            </w:pPr>
            <w:r>
              <w:rPr>
                <w:color w:val="000000"/>
                <w:sz w:val="18"/>
              </w:rPr>
              <w:t>[0.7783, 0.7783]</w:t>
            </w:r>
          </w:p>
        </w:tc>
      </w:tr>
      <w:tr w:rsidR="002E06FD" w14:paraId="67A29C76" w14:textId="77777777">
        <w:trPr>
          <w:cantSplit/>
          <w:jc w:val="center"/>
        </w:trPr>
        <w:tc>
          <w:tcPr>
            <w:tcW w:w="1757" w:type="dxa"/>
            <w:tcMar>
              <w:top w:w="65" w:type="dxa"/>
              <w:left w:w="65" w:type="dxa"/>
              <w:bottom w:w="65" w:type="dxa"/>
              <w:right w:w="65" w:type="dxa"/>
            </w:tcMar>
            <w:vAlign w:val="center"/>
          </w:tcPr>
          <w:p w14:paraId="6F9DF136" w14:textId="77777777" w:rsidR="002E06FD" w:rsidRDefault="00000000">
            <w:pPr>
              <w:spacing w:line="240" w:lineRule="exact"/>
              <w:jc w:val="center"/>
            </w:pPr>
            <w:r>
              <w:rPr>
                <w:color w:val="000000"/>
                <w:sz w:val="18"/>
              </w:rPr>
              <w:t>B: HOG</w:t>
            </w:r>
          </w:p>
        </w:tc>
        <w:tc>
          <w:tcPr>
            <w:tcW w:w="2324" w:type="dxa"/>
            <w:tcMar>
              <w:top w:w="65" w:type="dxa"/>
              <w:left w:w="65" w:type="dxa"/>
              <w:bottom w:w="65" w:type="dxa"/>
              <w:right w:w="65" w:type="dxa"/>
            </w:tcMar>
            <w:vAlign w:val="center"/>
          </w:tcPr>
          <w:p w14:paraId="193BAA84" w14:textId="77777777" w:rsidR="002E06FD" w:rsidRDefault="00000000">
            <w:pPr>
              <w:spacing w:line="240" w:lineRule="exact"/>
              <w:jc w:val="center"/>
            </w:pPr>
            <w:r>
              <w:rPr>
                <w:color w:val="000000"/>
                <w:sz w:val="18"/>
              </w:rPr>
              <w:t>0, 1, 7, 21, 42</w:t>
            </w:r>
          </w:p>
        </w:tc>
        <w:tc>
          <w:tcPr>
            <w:tcW w:w="1531" w:type="dxa"/>
            <w:tcMar>
              <w:top w:w="65" w:type="dxa"/>
              <w:left w:w="65" w:type="dxa"/>
              <w:bottom w:w="65" w:type="dxa"/>
              <w:right w:w="65" w:type="dxa"/>
            </w:tcMar>
            <w:vAlign w:val="center"/>
          </w:tcPr>
          <w:p w14:paraId="21095436" w14:textId="77777777" w:rsidR="002E06FD" w:rsidRDefault="00000000">
            <w:pPr>
              <w:spacing w:line="240" w:lineRule="exact"/>
              <w:jc w:val="center"/>
            </w:pPr>
            <w:r>
              <w:rPr>
                <w:color w:val="000000"/>
                <w:sz w:val="18"/>
              </w:rPr>
              <w:t>1.0000</w:t>
            </w:r>
          </w:p>
        </w:tc>
        <w:tc>
          <w:tcPr>
            <w:tcW w:w="1531" w:type="dxa"/>
            <w:tcMar>
              <w:top w:w="65" w:type="dxa"/>
              <w:left w:w="65" w:type="dxa"/>
              <w:bottom w:w="65" w:type="dxa"/>
              <w:right w:w="65" w:type="dxa"/>
            </w:tcMar>
            <w:vAlign w:val="center"/>
          </w:tcPr>
          <w:p w14:paraId="7DF04F50" w14:textId="77777777" w:rsidR="002E06FD" w:rsidRDefault="00000000">
            <w:pPr>
              <w:spacing w:line="240" w:lineRule="exact"/>
              <w:jc w:val="center"/>
            </w:pPr>
            <w:r>
              <w:rPr>
                <w:color w:val="000000"/>
                <w:sz w:val="18"/>
              </w:rPr>
              <w:t>0.0000</w:t>
            </w:r>
          </w:p>
        </w:tc>
        <w:tc>
          <w:tcPr>
            <w:tcW w:w="2438" w:type="dxa"/>
            <w:tcMar>
              <w:top w:w="65" w:type="dxa"/>
              <w:left w:w="65" w:type="dxa"/>
              <w:bottom w:w="65" w:type="dxa"/>
              <w:right w:w="65" w:type="dxa"/>
            </w:tcMar>
            <w:vAlign w:val="center"/>
          </w:tcPr>
          <w:p w14:paraId="071FBD02" w14:textId="77777777" w:rsidR="002E06FD" w:rsidRDefault="00000000">
            <w:pPr>
              <w:spacing w:line="240" w:lineRule="exact"/>
              <w:jc w:val="center"/>
            </w:pPr>
            <w:r>
              <w:rPr>
                <w:color w:val="000000"/>
                <w:sz w:val="18"/>
              </w:rPr>
              <w:t>[1.0000, 1.0000]</w:t>
            </w:r>
          </w:p>
        </w:tc>
      </w:tr>
    </w:tbl>
    <w:p w14:paraId="6459578C" w14:textId="77777777" w:rsidR="002E06FD" w:rsidRDefault="002E06FD">
      <w:pPr>
        <w:sectPr w:rsidR="002E06FD">
          <w:type w:val="continuous"/>
          <w:pgSz w:w="11906" w:h="16838" w:code="9"/>
          <w:pgMar w:top="1246" w:right="964" w:bottom="851" w:left="964" w:header="851" w:footer="992" w:gutter="0"/>
          <w:cols w:space="720"/>
          <w:docGrid w:type="lines" w:linePitch="312"/>
        </w:sectPr>
      </w:pPr>
    </w:p>
    <w:p w14:paraId="5280794A" w14:textId="77777777" w:rsidR="002E06FD" w:rsidRDefault="00000000">
      <w:pPr>
        <w:keepNext/>
        <w:spacing w:before="100" w:after="40" w:line="312" w:lineRule="exact"/>
        <w:jc w:val="left"/>
        <w:outlineLvl w:val="1"/>
        <w:rPr>
          <w:color w:val="000000"/>
        </w:rPr>
      </w:pPr>
      <w:r>
        <w:rPr>
          <w:rFonts w:eastAsia="黑体"/>
          <w:b/>
          <w:color w:val="000000"/>
        </w:rPr>
        <w:t xml:space="preserve">5.5 </w:t>
      </w:r>
      <w:r>
        <w:rPr>
          <w:rFonts w:eastAsia="黑体"/>
          <w:b/>
          <w:color w:val="000000"/>
        </w:rPr>
        <w:t>特征空间的二维投影</w:t>
      </w:r>
    </w:p>
    <w:p w14:paraId="25B9E726" w14:textId="77777777" w:rsidR="002E06FD" w:rsidRDefault="00000000">
      <w:pPr>
        <w:pStyle w:val="a3"/>
        <w:widowControl/>
        <w:spacing w:line="312" w:lineRule="exact"/>
        <w:rPr>
          <w:color w:val="000000"/>
        </w:rPr>
      </w:pPr>
      <w:r>
        <w:rPr>
          <w:color w:val="000000"/>
        </w:rPr>
        <w:t>图</w:t>
      </w:r>
      <w:r>
        <w:rPr>
          <w:color w:val="000000"/>
        </w:rPr>
        <w:t>3</w:t>
      </w:r>
      <w:r>
        <w:rPr>
          <w:color w:val="000000"/>
        </w:rPr>
        <w:t>对两种特征分别执行二维</w:t>
      </w:r>
      <w:r>
        <w:rPr>
          <w:color w:val="000000"/>
        </w:rPr>
        <w:t>PCA</w:t>
      </w:r>
      <w:r>
        <w:rPr>
          <w:color w:val="000000"/>
        </w:rPr>
        <w:t>，颜色表示预测簇。</w:t>
      </w:r>
      <w:r>
        <w:rPr>
          <w:color w:val="000000"/>
        </w:rPr>
        <w:t>PCA</w:t>
      </w:r>
      <w:r>
        <w:rPr>
          <w:color w:val="000000"/>
        </w:rPr>
        <w:t>只用于展示，聚类仍在原始</w:t>
      </w:r>
      <w:r>
        <w:rPr>
          <w:color w:val="000000"/>
        </w:rPr>
        <w:t>3</w:t>
      </w:r>
      <w:r>
        <w:rPr>
          <w:color w:val="000000"/>
        </w:rPr>
        <w:t>维或</w:t>
      </w:r>
      <w:r>
        <w:rPr>
          <w:color w:val="000000"/>
        </w:rPr>
        <w:t>1764</w:t>
      </w:r>
      <w:r>
        <w:rPr>
          <w:color w:val="000000"/>
        </w:rPr>
        <w:t>维空间执行。</w:t>
      </w:r>
      <w:r>
        <w:rPr>
          <w:color w:val="000000"/>
        </w:rPr>
        <w:t>HOG</w:t>
      </w:r>
      <w:r>
        <w:rPr>
          <w:color w:val="000000"/>
        </w:rPr>
        <w:t>前两个主成分合计解释</w:t>
      </w:r>
      <w:r>
        <w:rPr>
          <w:color w:val="000000"/>
        </w:rPr>
        <w:t>58.16%</w:t>
      </w:r>
      <w:r>
        <w:rPr>
          <w:color w:val="000000"/>
        </w:rPr>
        <w:t>的方差，部分簇在二维投影中重叠，与高维空间上的正确分组并不矛盾。</w:t>
      </w:r>
    </w:p>
    <w:p w14:paraId="67E5596B" w14:textId="77777777" w:rsidR="002E06FD" w:rsidRDefault="002E06FD">
      <w:pPr>
        <w:sectPr w:rsidR="002E06FD">
          <w:footerReference w:type="default" r:id="rId30"/>
          <w:type w:val="continuous"/>
          <w:pgSz w:w="11906" w:h="16838" w:code="9"/>
          <w:pgMar w:top="1246" w:right="964" w:bottom="851" w:left="964" w:header="851" w:footer="992" w:gutter="0"/>
          <w:cols w:num="2" w:space="425"/>
          <w:docGrid w:type="lines" w:linePitch="312"/>
        </w:sectPr>
      </w:pPr>
    </w:p>
    <w:p w14:paraId="64A45C0C" w14:textId="3ABF886C" w:rsidR="002E06FD" w:rsidRDefault="00716DB6">
      <w:pPr>
        <w:keepNext/>
        <w:spacing w:before="80"/>
        <w:jc w:val="center"/>
      </w:pPr>
      <w:r>
        <w:rPr>
          <w:noProof/>
        </w:rPr>
        <w:pict w14:anchorId="1511606B">
          <v:shape id="Picture 3" o:spid="_x0000_i1047" type="#_x0000_t75" style="width:462.15pt;height:181.4pt;visibility:visible;mso-wrap-style:square">
            <v:imagedata r:id="rId31" o:title=""/>
          </v:shape>
        </w:pict>
      </w:r>
    </w:p>
    <w:p w14:paraId="106C3412" w14:textId="77777777" w:rsidR="002E06FD" w:rsidRDefault="00000000">
      <w:pPr>
        <w:keepNext/>
        <w:spacing w:before="40" w:after="40" w:line="240" w:lineRule="exact"/>
        <w:jc w:val="center"/>
      </w:pPr>
      <w:r>
        <w:rPr>
          <w:color w:val="000000"/>
          <w:sz w:val="18"/>
        </w:rPr>
        <w:t>Fig. 3 Two-dimensional PCA projections colored by cluster assignments.</w:t>
      </w:r>
    </w:p>
    <w:p w14:paraId="221645BF" w14:textId="77777777" w:rsidR="002E06FD" w:rsidRDefault="00000000">
      <w:pPr>
        <w:spacing w:before="40" w:after="40" w:line="240" w:lineRule="exact"/>
        <w:jc w:val="center"/>
      </w:pPr>
      <w:r>
        <w:rPr>
          <w:color w:val="000000"/>
          <w:sz w:val="18"/>
        </w:rPr>
        <w:t>图</w:t>
      </w:r>
      <w:r>
        <w:rPr>
          <w:color w:val="000000"/>
          <w:sz w:val="18"/>
        </w:rPr>
        <w:t xml:space="preserve">3 </w:t>
      </w:r>
      <w:r>
        <w:rPr>
          <w:color w:val="000000"/>
          <w:sz w:val="18"/>
        </w:rPr>
        <w:t>按预测簇着色的二维</w:t>
      </w:r>
      <w:r>
        <w:rPr>
          <w:color w:val="000000"/>
          <w:sz w:val="18"/>
        </w:rPr>
        <w:t>PCA</w:t>
      </w:r>
      <w:r>
        <w:rPr>
          <w:color w:val="000000"/>
          <w:sz w:val="18"/>
        </w:rPr>
        <w:t>投影</w:t>
      </w:r>
    </w:p>
    <w:p w14:paraId="4B7E747F" w14:textId="77777777" w:rsidR="002E06FD" w:rsidRDefault="002E06FD">
      <w:pPr>
        <w:sectPr w:rsidR="002E06FD">
          <w:type w:val="continuous"/>
          <w:pgSz w:w="11906" w:h="16838" w:code="9"/>
          <w:pgMar w:top="1246" w:right="964" w:bottom="851" w:left="964" w:header="851" w:footer="992" w:gutter="0"/>
          <w:cols w:space="720"/>
          <w:docGrid w:type="lines" w:linePitch="312"/>
        </w:sectPr>
      </w:pPr>
    </w:p>
    <w:p w14:paraId="4D480A3F"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rPr>
        <w:lastRenderedPageBreak/>
        <w:t xml:space="preserve">6 </w:t>
      </w:r>
      <w:r>
        <w:rPr>
          <w:rFonts w:ascii="Times New Roman" w:hAnsi="Times New Roman"/>
          <w:color w:val="000000"/>
          <w:sz w:val="24"/>
        </w:rPr>
        <w:t>总结</w:t>
      </w:r>
    </w:p>
    <w:p w14:paraId="14FE63EF" w14:textId="3D024014" w:rsidR="002E06FD" w:rsidRDefault="00000000" w:rsidP="00D0155C">
      <w:pPr>
        <w:pStyle w:val="a3"/>
        <w:widowControl/>
        <w:spacing w:line="312" w:lineRule="exact"/>
        <w:rPr>
          <w:color w:val="000000"/>
        </w:rPr>
      </w:pPr>
      <w:r>
        <w:rPr>
          <w:color w:val="000000"/>
        </w:rPr>
        <w:t>在相同</w:t>
      </w:r>
      <w:r>
        <w:rPr>
          <w:color w:val="000000"/>
        </w:rPr>
        <w:t>K-Means</w:t>
      </w:r>
      <w:r>
        <w:rPr>
          <w:color w:val="000000"/>
        </w:rPr>
        <w:t>配置下，平均颜色方案的</w:t>
      </w:r>
      <w:r>
        <w:rPr>
          <w:color w:val="000000"/>
        </w:rPr>
        <w:t>ACC</w:t>
      </w:r>
      <w:r>
        <w:rPr>
          <w:color w:val="000000"/>
        </w:rPr>
        <w:t>为</w:t>
      </w:r>
      <w:r>
        <w:rPr>
          <w:color w:val="000000"/>
        </w:rPr>
        <w:t>77.83%</w:t>
      </w:r>
      <w:r>
        <w:rPr>
          <w:color w:val="000000"/>
        </w:rPr>
        <w:t>，</w:t>
      </w:r>
      <w:r>
        <w:rPr>
          <w:color w:val="000000"/>
        </w:rPr>
        <w:t>HOG</w:t>
      </w:r>
      <w:r>
        <w:rPr>
          <w:color w:val="000000"/>
        </w:rPr>
        <w:t>方案为</w:t>
      </w:r>
      <w:r>
        <w:rPr>
          <w:color w:val="000000"/>
        </w:rPr>
        <w:t>100.00%</w:t>
      </w:r>
      <w:r>
        <w:rPr>
          <w:color w:val="000000"/>
        </w:rPr>
        <w:t>；五个预设随机种子下的结果保持稳定。对照表明，</w:t>
      </w:r>
      <w:r>
        <w:rPr>
          <w:color w:val="000000"/>
        </w:rPr>
        <w:t>HOG</w:t>
      </w:r>
      <w:r>
        <w:rPr>
          <w:color w:val="000000"/>
        </w:rPr>
        <w:t>表示流程更适合恢复当前六类图像的语义结构，且内部轮廓系数与外部类别一致性需要分别解释。</w:t>
      </w:r>
    </w:p>
    <w:p w14:paraId="5898B9D5" w14:textId="77777777" w:rsidR="002E06FD" w:rsidRDefault="00000000">
      <w:pPr>
        <w:pStyle w:val="2"/>
        <w:spacing w:before="180" w:after="100" w:line="312" w:lineRule="exact"/>
        <w:jc w:val="left"/>
        <w:rPr>
          <w:rFonts w:eastAsia="宋体"/>
          <w:color w:val="000000"/>
          <w:sz w:val="24"/>
        </w:rPr>
      </w:pPr>
      <w:r>
        <w:rPr>
          <w:rFonts w:ascii="Times New Roman" w:hAnsi="Times New Roman"/>
          <w:color w:val="000000"/>
          <w:sz w:val="24"/>
          <w:szCs w:val="24"/>
        </w:rPr>
        <w:t>参考文献</w:t>
      </w:r>
    </w:p>
    <w:p w14:paraId="761DFB1D" w14:textId="77777777"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[1]</w:t>
      </w:r>
      <w:r w:rsidRPr="00716DB6">
        <w:rPr>
          <w:color w:val="000000"/>
          <w:sz w:val="15"/>
          <w:szCs w:val="15"/>
        </w:rPr>
        <w:tab/>
        <w:t>Lloyd S P. Least squares quantization in PCM[J]. IEEE Transactions on Information Theory, 1982, 28(2): 129-137. DOI: 10.1109/TIT.1982.1056489.</w:t>
      </w:r>
    </w:p>
    <w:p w14:paraId="77378676" w14:textId="77777777"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[2]</w:t>
      </w:r>
      <w:r w:rsidRPr="00716DB6">
        <w:rPr>
          <w:color w:val="000000"/>
          <w:sz w:val="15"/>
          <w:szCs w:val="15"/>
        </w:rPr>
        <w:tab/>
        <w:t>Dalal N, Triggs B. Histograms of oriented gradients for human detection[C]//Proceedings of the IEEE Computer Society Conference on Computer Vision and Pattern Recognition. Piscataway, NJ: IEEE, 2005: 886-893. DOI: 10.1109/CVPR.2005.177.</w:t>
      </w:r>
    </w:p>
    <w:p w14:paraId="282E51AF" w14:textId="1A611F40"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[3]</w:t>
      </w:r>
      <w:r w:rsidRPr="00716DB6">
        <w:rPr>
          <w:color w:val="000000"/>
          <w:sz w:val="15"/>
          <w:szCs w:val="15"/>
        </w:rPr>
        <w:tab/>
        <w:t xml:space="preserve">scikit-learn developers. </w:t>
      </w:r>
      <w:proofErr w:type="gramStart"/>
      <w:r w:rsidRPr="00716DB6">
        <w:rPr>
          <w:color w:val="000000"/>
          <w:sz w:val="15"/>
          <w:szCs w:val="15"/>
        </w:rPr>
        <w:t>Clustering[</w:t>
      </w:r>
      <w:proofErr w:type="gramEnd"/>
      <w:r w:rsidRPr="00716DB6">
        <w:rPr>
          <w:color w:val="000000"/>
          <w:sz w:val="15"/>
          <w:szCs w:val="15"/>
        </w:rPr>
        <w:t>EB/OL]. [2026-10-27]. https://scikit-learn.org/stable/modules/clustering.html.</w:t>
      </w:r>
    </w:p>
    <w:p w14:paraId="140060F2" w14:textId="77777777"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[4]</w:t>
      </w:r>
      <w:r w:rsidRPr="00716DB6">
        <w:rPr>
          <w:color w:val="000000"/>
          <w:sz w:val="15"/>
          <w:szCs w:val="15"/>
        </w:rPr>
        <w:tab/>
        <w:t xml:space="preserve">scikit-image developers. HOG API </w:t>
      </w:r>
      <w:proofErr w:type="gramStart"/>
      <w:r w:rsidRPr="00716DB6">
        <w:rPr>
          <w:color w:val="000000"/>
          <w:sz w:val="15"/>
          <w:szCs w:val="15"/>
        </w:rPr>
        <w:t>documentation[</w:t>
      </w:r>
      <w:proofErr w:type="gramEnd"/>
      <w:r w:rsidRPr="00716DB6">
        <w:rPr>
          <w:color w:val="000000"/>
          <w:sz w:val="15"/>
          <w:szCs w:val="15"/>
        </w:rPr>
        <w:t>EB/OL]. [2026-10-27]. https://scikit-image.org/docs/stable/api/skimage.feature.html#skimage.feature.hog.</w:t>
      </w:r>
    </w:p>
    <w:p w14:paraId="6D93EA7E" w14:textId="77777777"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[5]</w:t>
      </w:r>
      <w:r w:rsidRPr="00716DB6">
        <w:rPr>
          <w:color w:val="000000"/>
          <w:sz w:val="15"/>
          <w:szCs w:val="15"/>
        </w:rPr>
        <w:tab/>
        <w:t>Hubert L, Arabie P. Comparing partitions[J]. Journal of Classification, 1985, 2(1): 193-218. DOI: 10.1007/BF01908075.</w:t>
      </w:r>
    </w:p>
    <w:p w14:paraId="5E97E805" w14:textId="77777777" w:rsidR="002E06FD" w:rsidRPr="00716DB6" w:rsidRDefault="00000000">
      <w:pPr>
        <w:keepLines/>
        <w:widowControl/>
        <w:tabs>
          <w:tab w:val="left" w:pos="280"/>
        </w:tabs>
        <w:snapToGrid w:val="0"/>
        <w:spacing w:after="60" w:line="240" w:lineRule="exact"/>
        <w:ind w:left="280" w:hanging="280"/>
        <w:jc w:val="left"/>
        <w:rPr>
          <w:sz w:val="15"/>
          <w:szCs w:val="15"/>
        </w:rPr>
      </w:pPr>
      <w:r w:rsidRPr="00716DB6">
        <w:rPr>
          <w:color w:val="000000"/>
          <w:sz w:val="15"/>
          <w:szCs w:val="15"/>
        </w:rPr>
        <w:t>[6]</w:t>
      </w:r>
      <w:r w:rsidRPr="00716DB6">
        <w:rPr>
          <w:color w:val="000000"/>
          <w:sz w:val="15"/>
          <w:szCs w:val="15"/>
        </w:rPr>
        <w:tab/>
        <w:t>Rousseeuw P J. Silhouettes: A graphical aid to the interpretation and validation of cluster analysis[J]. Journal of Computational and Applied Mathematics, 1987, 20: 53-65. DOI: 10.1016/0377-0427(87)90125-7.</w:t>
      </w:r>
    </w:p>
    <w:p w14:paraId="7003601F" w14:textId="54C4978E" w:rsidR="002E06FD" w:rsidRPr="00716DB6" w:rsidRDefault="00000000" w:rsidP="00D0155C">
      <w:pPr>
        <w:keepLines/>
        <w:widowControl/>
        <w:tabs>
          <w:tab w:val="left" w:pos="280"/>
        </w:tabs>
        <w:snapToGrid w:val="0"/>
        <w:spacing w:after="60" w:line="240" w:lineRule="exact"/>
        <w:ind w:left="280" w:hanging="280"/>
        <w:jc w:val="left"/>
        <w:rPr>
          <w:sz w:val="15"/>
          <w:szCs w:val="15"/>
        </w:rPr>
      </w:pPr>
      <w:r w:rsidRPr="00716DB6">
        <w:rPr>
          <w:color w:val="000000"/>
          <w:sz w:val="15"/>
          <w:szCs w:val="15"/>
        </w:rPr>
        <w:t>[7]</w:t>
      </w:r>
      <w:r w:rsidRPr="00716DB6">
        <w:rPr>
          <w:color w:val="000000"/>
          <w:sz w:val="15"/>
          <w:szCs w:val="15"/>
        </w:rPr>
        <w:tab/>
        <w:t xml:space="preserve">SciPy developers. Linear sum </w:t>
      </w:r>
      <w:proofErr w:type="gramStart"/>
      <w:r w:rsidRPr="00716DB6">
        <w:rPr>
          <w:color w:val="000000"/>
          <w:sz w:val="15"/>
          <w:szCs w:val="15"/>
        </w:rPr>
        <w:t>assignment[</w:t>
      </w:r>
      <w:proofErr w:type="gramEnd"/>
      <w:r w:rsidRPr="00716DB6">
        <w:rPr>
          <w:color w:val="000000"/>
          <w:sz w:val="15"/>
          <w:szCs w:val="15"/>
        </w:rPr>
        <w:t>EB/OL]. [2026-10-27]. https://docs.scipy.org/doc/scipy/reference/generated/scipy.optimize.linear_sum_assignment.html.</w:t>
      </w:r>
    </w:p>
    <w:sectPr w:rsidR="002E06FD" w:rsidRPr="00716DB6" w:rsidSect="00DC2BDF">
      <w:footerReference w:type="default" r:id="rId32"/>
      <w:type w:val="continuous"/>
      <w:pgSz w:w="11906" w:h="16838" w:code="9"/>
      <w:pgMar w:top="1246" w:right="964" w:bottom="851" w:left="964"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5DD1" w14:textId="77777777" w:rsidR="0007554F" w:rsidRDefault="0007554F">
      <w:r>
        <w:separator/>
      </w:r>
    </w:p>
  </w:endnote>
  <w:endnote w:type="continuationSeparator" w:id="0">
    <w:p w14:paraId="4E8184ED" w14:textId="77777777" w:rsidR="0007554F" w:rsidRDefault="00075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12E9" w14:textId="77777777" w:rsidR="001F2710" w:rsidRDefault="001F271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47B2" w14:textId="77777777" w:rsidR="001F2710" w:rsidRDefault="001F271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1729" w14:textId="77777777" w:rsidR="001F2710" w:rsidRDefault="001F271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C855" w14:textId="77777777" w:rsidR="000662DB" w:rsidRDefault="000662D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A0F2" w14:textId="77777777" w:rsidR="000662DB" w:rsidRDefault="000662DB">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6434" w14:textId="77777777" w:rsidR="000662DB" w:rsidRDefault="000662D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3C2A" w14:textId="77777777" w:rsidR="000662DB" w:rsidRDefault="000662DB">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B736" w14:textId="77777777" w:rsidR="000662DB" w:rsidRDefault="000662DB">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D596" w14:textId="77777777" w:rsidR="000662DB" w:rsidRDefault="000662D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92EC" w14:textId="77777777" w:rsidR="0007554F" w:rsidRDefault="0007554F">
      <w:r>
        <w:separator/>
      </w:r>
    </w:p>
  </w:footnote>
  <w:footnote w:type="continuationSeparator" w:id="0">
    <w:p w14:paraId="1A58879C" w14:textId="77777777" w:rsidR="0007554F" w:rsidRDefault="00075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C35" w14:textId="77777777" w:rsidR="001F2710" w:rsidRDefault="001F271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B81B" w14:textId="14F70C03" w:rsidR="000662DB" w:rsidRPr="00C873A9" w:rsidRDefault="002B302B" w:rsidP="002B302B">
    <w:pPr>
      <w:pStyle w:val="a9"/>
      <w:pBdr>
        <w:bottom w:val="single" w:sz="6" w:space="0" w:color="auto"/>
      </w:pBdr>
      <w:tabs>
        <w:tab w:val="clear" w:pos="4153"/>
        <w:tab w:val="clear" w:pos="8306"/>
        <w:tab w:val="center" w:pos="4989"/>
        <w:tab w:val="right" w:pos="9978"/>
      </w:tabs>
      <w:wordWrap w:val="0"/>
      <w:jc w:val="left"/>
    </w:pPr>
    <w:r>
      <w:rPr>
        <w:color w:val="000000"/>
      </w:rPr>
      <w:tab/>
    </w:r>
    <w:r>
      <w:rPr>
        <w:color w:val="000000"/>
      </w:rPr>
      <w:t>数</w:t>
    </w:r>
    <w:r>
      <w:rPr>
        <w:color w:val="000000"/>
      </w:rPr>
      <w:t xml:space="preserve"> </w:t>
    </w:r>
    <w:r>
      <w:rPr>
        <w:color w:val="000000"/>
      </w:rPr>
      <w:t>据</w:t>
    </w:r>
    <w:r>
      <w:rPr>
        <w:color w:val="000000"/>
      </w:rPr>
      <w:t xml:space="preserve"> </w:t>
    </w:r>
    <w:r>
      <w:rPr>
        <w:color w:val="000000"/>
      </w:rPr>
      <w:t>挖</w:t>
    </w:r>
    <w:r>
      <w:rPr>
        <w:color w:val="000000"/>
      </w:rPr>
      <w:t xml:space="preserve"> </w:t>
    </w:r>
    <w:r>
      <w:rPr>
        <w:color w:val="000000"/>
      </w:rPr>
      <w:t>掘</w:t>
    </w:r>
    <w:r>
      <w:rPr>
        <w:color w:val="000000"/>
      </w:rPr>
      <w:t xml:space="preserve"> </w:t>
    </w:r>
    <w:r>
      <w:rPr>
        <w:color w:val="000000"/>
      </w:rPr>
      <w:t>导</w:t>
    </w:r>
    <w:r>
      <w:rPr>
        <w:color w:val="000000"/>
      </w:rPr>
      <w:t xml:space="preserve"> </w:t>
    </w:r>
    <w:r>
      <w:rPr>
        <w:color w:val="000000"/>
      </w:rPr>
      <w:t>论</w:t>
    </w:r>
    <w:r>
      <w:rPr>
        <w:color w:val="000000"/>
      </w:rPr>
      <w:tab/>
    </w:r>
    <w:r w:rsidR="001F2710">
      <w:rPr>
        <w:rFonts w:hint="eastAsia"/>
        <w:color w:val="000000"/>
      </w:rPr>
      <w:t>2026</w:t>
    </w:r>
    <w:r>
      <w:rPr>
        <w:color w:val="000000"/>
      </w:rPr>
      <w:t>年</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8573" w14:textId="71A5412F" w:rsidR="000662DB" w:rsidRDefault="002B302B" w:rsidP="00C873A9">
    <w:pPr>
      <w:pStyle w:val="a9"/>
      <w:tabs>
        <w:tab w:val="clear" w:pos="4153"/>
        <w:tab w:val="clear" w:pos="8306"/>
        <w:tab w:val="right" w:pos="9978"/>
      </w:tabs>
      <w:jc w:val="left"/>
    </w:pPr>
    <w:r>
      <w:rPr>
        <w:color w:val="000000"/>
      </w:rPr>
      <w:t>数</w:t>
    </w:r>
    <w:r>
      <w:rPr>
        <w:color w:val="000000"/>
      </w:rPr>
      <w:t xml:space="preserve"> </w:t>
    </w:r>
    <w:r>
      <w:rPr>
        <w:color w:val="000000"/>
      </w:rPr>
      <w:t>据</w:t>
    </w:r>
    <w:r>
      <w:rPr>
        <w:color w:val="000000"/>
      </w:rPr>
      <w:t xml:space="preserve"> </w:t>
    </w:r>
    <w:r>
      <w:rPr>
        <w:color w:val="000000"/>
      </w:rPr>
      <w:t>挖</w:t>
    </w:r>
    <w:r>
      <w:rPr>
        <w:color w:val="000000"/>
      </w:rPr>
      <w:t xml:space="preserve"> </w:t>
    </w:r>
    <w:r>
      <w:rPr>
        <w:color w:val="000000"/>
      </w:rPr>
      <w:t>掘</w:t>
    </w:r>
    <w:r>
      <w:rPr>
        <w:color w:val="000000"/>
      </w:rPr>
      <w:t xml:space="preserve"> </w:t>
    </w:r>
    <w:r>
      <w:rPr>
        <w:color w:val="000000"/>
      </w:rPr>
      <w:t>导</w:t>
    </w:r>
    <w:r>
      <w:rPr>
        <w:color w:val="000000"/>
      </w:rPr>
      <w:t xml:space="preserve"> </w:t>
    </w:r>
    <w:r>
      <w:rPr>
        <w:color w:val="000000"/>
      </w:rPr>
      <w:t>论</w:t>
    </w:r>
    <w:r>
      <w:rPr>
        <w:color w:val="000000"/>
      </w:rPr>
      <w:tab/>
    </w:r>
    <w:r>
      <w:rPr>
        <w:color w:val="000000"/>
      </w:rPr>
      <w:t>北京航空航天大学</w:t>
    </w:r>
    <w:r w:rsidR="001F2710">
      <w:rPr>
        <w:rFonts w:hint="eastAsia"/>
        <w:color w:val="000000"/>
      </w:rPr>
      <w:t>2026</w:t>
    </w:r>
    <w:r w:rsidR="001F2710">
      <w:rPr>
        <w:rFonts w:hint="eastAsia"/>
        <w:color w:val="000000"/>
      </w:rPr>
      <w:t>年秋季学期</w:t>
    </w:r>
  </w:p>
  <w:p w14:paraId="114B8112" w14:textId="77777777" w:rsidR="000662DB" w:rsidRDefault="002B302B" w:rsidP="002B302B">
    <w:pPr>
      <w:pStyle w:val="a9"/>
      <w:jc w:val="left"/>
    </w:pPr>
    <w:r>
      <w:rPr>
        <w:color w:val="000000"/>
      </w:rPr>
      <w:t>Introduction to Data Mining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1EC2"/>
    <w:multiLevelType w:val="multilevel"/>
    <w:tmpl w:val="0406C632"/>
    <w:lvl w:ilvl="0">
      <w:start w:val="1"/>
      <w:numFmt w:val="decimal"/>
      <w:lvlText w:val="%1."/>
      <w:lvlJc w:val="left"/>
      <w:pPr>
        <w:tabs>
          <w:tab w:val="num" w:pos="360"/>
        </w:tabs>
        <w:ind w:left="360" w:hanging="360"/>
      </w:pPr>
      <w:rPr>
        <w:rFonts w:hint="eastAsia"/>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isLgl/>
      <w:lvlText w:val="%3.%4.%5.%6.%7.%8.%9."/>
      <w:lvlJc w:val="left"/>
      <w:pPr>
        <w:tabs>
          <w:tab w:val="num" w:pos="1440"/>
        </w:tabs>
        <w:ind w:left="1440" w:hanging="1440"/>
      </w:pPr>
      <w:rPr>
        <w:rFonts w:hint="eastAsia"/>
      </w:rPr>
    </w:lvl>
  </w:abstractNum>
  <w:abstractNum w:abstractNumId="1" w15:restartNumberingAfterBreak="0">
    <w:nsid w:val="2A8A3A0B"/>
    <w:multiLevelType w:val="hybridMultilevel"/>
    <w:tmpl w:val="3EBE9368"/>
    <w:lvl w:ilvl="0" w:tplc="FE9C52F6">
      <w:start w:val="2"/>
      <w:numFmt w:val="decimalEnclosedCircle"/>
      <w:lvlText w:val="%1"/>
      <w:lvlJc w:val="left"/>
      <w:pPr>
        <w:ind w:left="780" w:hanging="360"/>
      </w:pPr>
      <w:rPr>
        <w:rFonts w:ascii="宋体" w:hAnsi="宋体" w:hint="default"/>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1746A74"/>
    <w:multiLevelType w:val="hybridMultilevel"/>
    <w:tmpl w:val="940AA8BC"/>
    <w:lvl w:ilvl="0" w:tplc="3F647298">
      <w:start w:val="2"/>
      <w:numFmt w:val="decimalEnclosedCircle"/>
      <w:lvlText w:val="%1"/>
      <w:lvlJc w:val="left"/>
      <w:pPr>
        <w:ind w:left="720" w:hanging="360"/>
      </w:pPr>
      <w:rPr>
        <w:rFonts w:ascii="宋体" w:hAnsi="宋体"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BCF35E3"/>
    <w:multiLevelType w:val="hybridMultilevel"/>
    <w:tmpl w:val="F950F332"/>
    <w:lvl w:ilvl="0" w:tplc="DBCC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BF4A92"/>
    <w:multiLevelType w:val="hybridMultilevel"/>
    <w:tmpl w:val="0AE4506A"/>
    <w:lvl w:ilvl="0" w:tplc="C0E4739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FB0C62"/>
    <w:multiLevelType w:val="multilevel"/>
    <w:tmpl w:val="9A54FE94"/>
    <w:lvl w:ilvl="0">
      <w:start w:val="4"/>
      <w:numFmt w:val="decimal"/>
      <w:lvlText w:val="%1"/>
      <w:lvlJc w:val="left"/>
      <w:pPr>
        <w:tabs>
          <w:tab w:val="num" w:pos="360"/>
        </w:tabs>
        <w:ind w:left="360" w:hanging="360"/>
      </w:pPr>
      <w:rPr>
        <w:rFonts w:hint="eastAsia"/>
      </w:rPr>
    </w:lvl>
    <w:lvl w:ilvl="1">
      <w:start w:val="2"/>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6" w15:restartNumberingAfterBreak="0">
    <w:nsid w:val="550855F3"/>
    <w:multiLevelType w:val="hybridMultilevel"/>
    <w:tmpl w:val="441443DA"/>
    <w:lvl w:ilvl="0" w:tplc="E8DCCBC0">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D5F4FFE"/>
    <w:multiLevelType w:val="hybridMultilevel"/>
    <w:tmpl w:val="2E2A58F6"/>
    <w:lvl w:ilvl="0" w:tplc="68B8B802">
      <w:start w:val="1"/>
      <w:numFmt w:val="decimal"/>
      <w:lvlText w:val="%1."/>
      <w:lvlJc w:val="right"/>
      <w:pPr>
        <w:ind w:left="170" w:hanging="57"/>
      </w:pPr>
      <w:rPr>
        <w:rFonts w:ascii="Times New Roma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C03CB7"/>
    <w:multiLevelType w:val="hybridMultilevel"/>
    <w:tmpl w:val="19FE7EE0"/>
    <w:lvl w:ilvl="0" w:tplc="B59E0550">
      <w:start w:val="1"/>
      <w:numFmt w:val="decimalEnclosedCircle"/>
      <w:lvlText w:val="%1"/>
      <w:lvlJc w:val="left"/>
      <w:pPr>
        <w:ind w:left="780" w:hanging="360"/>
      </w:pPr>
      <w:rPr>
        <w:rFonts w:ascii="宋体" w:hAnsi="宋体" w:hint="default"/>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56E7614"/>
    <w:multiLevelType w:val="hybridMultilevel"/>
    <w:tmpl w:val="70587652"/>
    <w:lvl w:ilvl="0" w:tplc="C99AC95C">
      <w:start w:val="5"/>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7D64FAB"/>
    <w:multiLevelType w:val="hybridMultilevel"/>
    <w:tmpl w:val="74D0CD08"/>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8611A87"/>
    <w:multiLevelType w:val="hybridMultilevel"/>
    <w:tmpl w:val="EC10EA64"/>
    <w:lvl w:ilvl="0" w:tplc="D8F6F1BA">
      <w:start w:val="1"/>
      <w:numFmt w:val="decimal"/>
      <w:lvlText w:val="(%1)"/>
      <w:lvlJc w:val="left"/>
      <w:pPr>
        <w:ind w:left="340" w:hanging="34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B67F40"/>
    <w:multiLevelType w:val="hybridMultilevel"/>
    <w:tmpl w:val="907081F0"/>
    <w:lvl w:ilvl="0" w:tplc="8D8804B2">
      <w:start w:val="1"/>
      <w:numFmt w:val="decimal"/>
      <w:lvlText w:val="[%1]"/>
      <w:lvlJc w:val="right"/>
      <w:pPr>
        <w:ind w:left="227" w:hanging="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F013A0"/>
    <w:multiLevelType w:val="hybridMultilevel"/>
    <w:tmpl w:val="73E0CA12"/>
    <w:lvl w:ilvl="0" w:tplc="A864B60E">
      <w:start w:val="1"/>
      <w:numFmt w:val="decimalEnclosedCircle"/>
      <w:lvlText w:val="%1"/>
      <w:lvlJc w:val="left"/>
      <w:pPr>
        <w:ind w:left="720" w:hanging="360"/>
      </w:pPr>
      <w:rPr>
        <w:rFonts w:ascii="宋体" w:hint="default"/>
        <w:sz w:val="21"/>
        <w:szCs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6F240548"/>
    <w:multiLevelType w:val="hybridMultilevel"/>
    <w:tmpl w:val="52E0F18E"/>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F653914"/>
    <w:multiLevelType w:val="hybridMultilevel"/>
    <w:tmpl w:val="CFE05854"/>
    <w:lvl w:ilvl="0" w:tplc="B3C0435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0872891"/>
    <w:multiLevelType w:val="hybridMultilevel"/>
    <w:tmpl w:val="A1969FD2"/>
    <w:lvl w:ilvl="0" w:tplc="F7480B36">
      <w:start w:val="1"/>
      <w:numFmt w:val="decimal"/>
      <w:lvlText w:val="%1．"/>
      <w:lvlJc w:val="left"/>
      <w:pPr>
        <w:tabs>
          <w:tab w:val="num" w:pos="360"/>
        </w:tabs>
        <w:ind w:left="360" w:hanging="360"/>
      </w:pPr>
      <w:rPr>
        <w:rFonts w:hint="eastAsia"/>
      </w:rPr>
    </w:lvl>
    <w:lvl w:ilvl="1" w:tplc="B29819E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7209530">
    <w:abstractNumId w:val="0"/>
  </w:num>
  <w:num w:numId="2" w16cid:durableId="1431664089">
    <w:abstractNumId w:val="16"/>
  </w:num>
  <w:num w:numId="3" w16cid:durableId="1548377578">
    <w:abstractNumId w:val="10"/>
  </w:num>
  <w:num w:numId="4" w16cid:durableId="812452710">
    <w:abstractNumId w:val="14"/>
  </w:num>
  <w:num w:numId="5" w16cid:durableId="86467188">
    <w:abstractNumId w:val="9"/>
  </w:num>
  <w:num w:numId="6" w16cid:durableId="1098451511">
    <w:abstractNumId w:val="5"/>
  </w:num>
  <w:num w:numId="7" w16cid:durableId="332146424">
    <w:abstractNumId w:val="6"/>
  </w:num>
  <w:num w:numId="8" w16cid:durableId="1017005937">
    <w:abstractNumId w:val="11"/>
  </w:num>
  <w:num w:numId="9" w16cid:durableId="117796470">
    <w:abstractNumId w:val="3"/>
  </w:num>
  <w:num w:numId="10" w16cid:durableId="1945578504">
    <w:abstractNumId w:val="12"/>
  </w:num>
  <w:num w:numId="11" w16cid:durableId="1669097204">
    <w:abstractNumId w:val="7"/>
  </w:num>
  <w:num w:numId="12" w16cid:durableId="1843424638">
    <w:abstractNumId w:val="4"/>
  </w:num>
  <w:num w:numId="13" w16cid:durableId="1002466425">
    <w:abstractNumId w:val="13"/>
  </w:num>
  <w:num w:numId="14" w16cid:durableId="612829867">
    <w:abstractNumId w:val="2"/>
  </w:num>
  <w:num w:numId="15" w16cid:durableId="1858540321">
    <w:abstractNumId w:val="8"/>
  </w:num>
  <w:num w:numId="16" w16cid:durableId="138502497">
    <w:abstractNumId w:val="1"/>
  </w:num>
  <w:num w:numId="17" w16cid:durableId="415601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4369"/>
    <w:rsid w:val="000030EE"/>
    <w:rsid w:val="000122D8"/>
    <w:rsid w:val="0001662B"/>
    <w:rsid w:val="00030A47"/>
    <w:rsid w:val="00041CFC"/>
    <w:rsid w:val="00042878"/>
    <w:rsid w:val="00050E3E"/>
    <w:rsid w:val="0005687D"/>
    <w:rsid w:val="00056B68"/>
    <w:rsid w:val="000662DB"/>
    <w:rsid w:val="000701E6"/>
    <w:rsid w:val="0007554F"/>
    <w:rsid w:val="00084145"/>
    <w:rsid w:val="00084528"/>
    <w:rsid w:val="0009041C"/>
    <w:rsid w:val="00090D22"/>
    <w:rsid w:val="00093BC4"/>
    <w:rsid w:val="000955E0"/>
    <w:rsid w:val="000A38A5"/>
    <w:rsid w:val="000A4F90"/>
    <w:rsid w:val="000B2479"/>
    <w:rsid w:val="000B4DD6"/>
    <w:rsid w:val="000B5D1E"/>
    <w:rsid w:val="000C2D29"/>
    <w:rsid w:val="000C4736"/>
    <w:rsid w:val="000C4810"/>
    <w:rsid w:val="000C4E81"/>
    <w:rsid w:val="000C7156"/>
    <w:rsid w:val="000C76EF"/>
    <w:rsid w:val="000D2774"/>
    <w:rsid w:val="000D77D9"/>
    <w:rsid w:val="000E21F7"/>
    <w:rsid w:val="000E2F33"/>
    <w:rsid w:val="000F1A05"/>
    <w:rsid w:val="000F4DAD"/>
    <w:rsid w:val="0010141B"/>
    <w:rsid w:val="00115507"/>
    <w:rsid w:val="001179EA"/>
    <w:rsid w:val="00120538"/>
    <w:rsid w:val="001213A8"/>
    <w:rsid w:val="001314A6"/>
    <w:rsid w:val="00136384"/>
    <w:rsid w:val="00144AC1"/>
    <w:rsid w:val="00146A0E"/>
    <w:rsid w:val="00153688"/>
    <w:rsid w:val="00166006"/>
    <w:rsid w:val="00170036"/>
    <w:rsid w:val="00172869"/>
    <w:rsid w:val="0017792C"/>
    <w:rsid w:val="00183CE6"/>
    <w:rsid w:val="00192A3C"/>
    <w:rsid w:val="001A3582"/>
    <w:rsid w:val="001A5F60"/>
    <w:rsid w:val="001B5F44"/>
    <w:rsid w:val="001B6074"/>
    <w:rsid w:val="001C4198"/>
    <w:rsid w:val="001D20A5"/>
    <w:rsid w:val="001D28B5"/>
    <w:rsid w:val="001D6DAE"/>
    <w:rsid w:val="001E33E7"/>
    <w:rsid w:val="001E33F4"/>
    <w:rsid w:val="001E4940"/>
    <w:rsid w:val="001E7387"/>
    <w:rsid w:val="001F2710"/>
    <w:rsid w:val="001F4EDD"/>
    <w:rsid w:val="00200265"/>
    <w:rsid w:val="002057F3"/>
    <w:rsid w:val="00206379"/>
    <w:rsid w:val="00210CD6"/>
    <w:rsid w:val="00211EA2"/>
    <w:rsid w:val="00214347"/>
    <w:rsid w:val="002163C3"/>
    <w:rsid w:val="002250EF"/>
    <w:rsid w:val="0023290D"/>
    <w:rsid w:val="002348C3"/>
    <w:rsid w:val="00244F30"/>
    <w:rsid w:val="00251EFB"/>
    <w:rsid w:val="00265180"/>
    <w:rsid w:val="00271000"/>
    <w:rsid w:val="00286FCA"/>
    <w:rsid w:val="00294E29"/>
    <w:rsid w:val="002A0AF9"/>
    <w:rsid w:val="002B10B1"/>
    <w:rsid w:val="002B2A15"/>
    <w:rsid w:val="002B302B"/>
    <w:rsid w:val="002B7171"/>
    <w:rsid w:val="002C0A61"/>
    <w:rsid w:val="002C55A7"/>
    <w:rsid w:val="002D2ADE"/>
    <w:rsid w:val="002E06FD"/>
    <w:rsid w:val="002F0F72"/>
    <w:rsid w:val="003026AC"/>
    <w:rsid w:val="003100D9"/>
    <w:rsid w:val="00320234"/>
    <w:rsid w:val="00322B06"/>
    <w:rsid w:val="00323121"/>
    <w:rsid w:val="003301A5"/>
    <w:rsid w:val="0033099D"/>
    <w:rsid w:val="00333A25"/>
    <w:rsid w:val="00333D39"/>
    <w:rsid w:val="00335598"/>
    <w:rsid w:val="0033749D"/>
    <w:rsid w:val="0034124C"/>
    <w:rsid w:val="003457F2"/>
    <w:rsid w:val="00347304"/>
    <w:rsid w:val="00353B81"/>
    <w:rsid w:val="003574C3"/>
    <w:rsid w:val="0036143E"/>
    <w:rsid w:val="00372620"/>
    <w:rsid w:val="003727AA"/>
    <w:rsid w:val="00380611"/>
    <w:rsid w:val="003810B7"/>
    <w:rsid w:val="0038499A"/>
    <w:rsid w:val="00385C06"/>
    <w:rsid w:val="00386705"/>
    <w:rsid w:val="0038690F"/>
    <w:rsid w:val="003A0624"/>
    <w:rsid w:val="003A56D6"/>
    <w:rsid w:val="003B1086"/>
    <w:rsid w:val="003B259A"/>
    <w:rsid w:val="003B3C75"/>
    <w:rsid w:val="003B6D48"/>
    <w:rsid w:val="003C01F1"/>
    <w:rsid w:val="003C245D"/>
    <w:rsid w:val="003D01BD"/>
    <w:rsid w:val="003E215E"/>
    <w:rsid w:val="003F07ED"/>
    <w:rsid w:val="003F5C71"/>
    <w:rsid w:val="004029D0"/>
    <w:rsid w:val="004042CD"/>
    <w:rsid w:val="00412A54"/>
    <w:rsid w:val="00417489"/>
    <w:rsid w:val="00420726"/>
    <w:rsid w:val="00423E2D"/>
    <w:rsid w:val="004358E7"/>
    <w:rsid w:val="00446E40"/>
    <w:rsid w:val="00452907"/>
    <w:rsid w:val="00453A35"/>
    <w:rsid w:val="00455217"/>
    <w:rsid w:val="00467835"/>
    <w:rsid w:val="00471310"/>
    <w:rsid w:val="00471B9E"/>
    <w:rsid w:val="00471FBD"/>
    <w:rsid w:val="004774F0"/>
    <w:rsid w:val="00482246"/>
    <w:rsid w:val="0048792B"/>
    <w:rsid w:val="0049146B"/>
    <w:rsid w:val="00491D55"/>
    <w:rsid w:val="00494EA6"/>
    <w:rsid w:val="004B0CAC"/>
    <w:rsid w:val="004B20FC"/>
    <w:rsid w:val="004C20CF"/>
    <w:rsid w:val="004C3D8D"/>
    <w:rsid w:val="004D0D2C"/>
    <w:rsid w:val="004E3631"/>
    <w:rsid w:val="004F2E20"/>
    <w:rsid w:val="005015C0"/>
    <w:rsid w:val="005041D4"/>
    <w:rsid w:val="005049E0"/>
    <w:rsid w:val="00505DD7"/>
    <w:rsid w:val="005116E7"/>
    <w:rsid w:val="00513E3A"/>
    <w:rsid w:val="0052067A"/>
    <w:rsid w:val="00526808"/>
    <w:rsid w:val="005305BA"/>
    <w:rsid w:val="0053125E"/>
    <w:rsid w:val="00534B8B"/>
    <w:rsid w:val="00540157"/>
    <w:rsid w:val="0054579A"/>
    <w:rsid w:val="00554544"/>
    <w:rsid w:val="005547B6"/>
    <w:rsid w:val="00560C10"/>
    <w:rsid w:val="00564DA1"/>
    <w:rsid w:val="0057044C"/>
    <w:rsid w:val="00570465"/>
    <w:rsid w:val="0057095A"/>
    <w:rsid w:val="00587C27"/>
    <w:rsid w:val="005901DF"/>
    <w:rsid w:val="005A3591"/>
    <w:rsid w:val="005B0796"/>
    <w:rsid w:val="005C59D8"/>
    <w:rsid w:val="005D5106"/>
    <w:rsid w:val="005D5490"/>
    <w:rsid w:val="005D5D07"/>
    <w:rsid w:val="005D6E67"/>
    <w:rsid w:val="005E6D21"/>
    <w:rsid w:val="0060127B"/>
    <w:rsid w:val="00606A35"/>
    <w:rsid w:val="006149CF"/>
    <w:rsid w:val="00624F93"/>
    <w:rsid w:val="00625173"/>
    <w:rsid w:val="00627914"/>
    <w:rsid w:val="0063013E"/>
    <w:rsid w:val="00646B07"/>
    <w:rsid w:val="00653014"/>
    <w:rsid w:val="00662270"/>
    <w:rsid w:val="00676D3C"/>
    <w:rsid w:val="006771E1"/>
    <w:rsid w:val="00677E87"/>
    <w:rsid w:val="00680037"/>
    <w:rsid w:val="00684273"/>
    <w:rsid w:val="006851CC"/>
    <w:rsid w:val="00691F21"/>
    <w:rsid w:val="00693BDD"/>
    <w:rsid w:val="00694A3E"/>
    <w:rsid w:val="006B3B78"/>
    <w:rsid w:val="006B4206"/>
    <w:rsid w:val="006C14D1"/>
    <w:rsid w:val="006D5565"/>
    <w:rsid w:val="006D6049"/>
    <w:rsid w:val="006D6CD8"/>
    <w:rsid w:val="006E5790"/>
    <w:rsid w:val="006F05C4"/>
    <w:rsid w:val="006F1B62"/>
    <w:rsid w:val="006F7A1A"/>
    <w:rsid w:val="006F7F49"/>
    <w:rsid w:val="007017F1"/>
    <w:rsid w:val="00716DB6"/>
    <w:rsid w:val="007268CA"/>
    <w:rsid w:val="0074709E"/>
    <w:rsid w:val="00763EE6"/>
    <w:rsid w:val="007669EB"/>
    <w:rsid w:val="00766BE9"/>
    <w:rsid w:val="007701A9"/>
    <w:rsid w:val="00772872"/>
    <w:rsid w:val="0077648F"/>
    <w:rsid w:val="00776AA0"/>
    <w:rsid w:val="007845BD"/>
    <w:rsid w:val="007A05D1"/>
    <w:rsid w:val="007A13CC"/>
    <w:rsid w:val="007A5B00"/>
    <w:rsid w:val="007A6E5B"/>
    <w:rsid w:val="007A730F"/>
    <w:rsid w:val="007B0E64"/>
    <w:rsid w:val="007B565F"/>
    <w:rsid w:val="007B584A"/>
    <w:rsid w:val="007C7F22"/>
    <w:rsid w:val="007D56DD"/>
    <w:rsid w:val="007D6C54"/>
    <w:rsid w:val="007E5817"/>
    <w:rsid w:val="007F030F"/>
    <w:rsid w:val="007F2432"/>
    <w:rsid w:val="007F7886"/>
    <w:rsid w:val="008022F8"/>
    <w:rsid w:val="008042B1"/>
    <w:rsid w:val="00806EB2"/>
    <w:rsid w:val="00822E8F"/>
    <w:rsid w:val="00823F5E"/>
    <w:rsid w:val="00824D57"/>
    <w:rsid w:val="00833526"/>
    <w:rsid w:val="0083480B"/>
    <w:rsid w:val="00837C66"/>
    <w:rsid w:val="008406F1"/>
    <w:rsid w:val="00841390"/>
    <w:rsid w:val="00862880"/>
    <w:rsid w:val="00863D19"/>
    <w:rsid w:val="0086426F"/>
    <w:rsid w:val="008666E2"/>
    <w:rsid w:val="00867E6E"/>
    <w:rsid w:val="00872B72"/>
    <w:rsid w:val="00893D17"/>
    <w:rsid w:val="008A16AE"/>
    <w:rsid w:val="008A2358"/>
    <w:rsid w:val="008A33F4"/>
    <w:rsid w:val="008B57D4"/>
    <w:rsid w:val="008B6F8D"/>
    <w:rsid w:val="008C7977"/>
    <w:rsid w:val="008C7B47"/>
    <w:rsid w:val="008D4838"/>
    <w:rsid w:val="008E112B"/>
    <w:rsid w:val="008E16D3"/>
    <w:rsid w:val="008E61BC"/>
    <w:rsid w:val="008F51BE"/>
    <w:rsid w:val="009011BA"/>
    <w:rsid w:val="00902634"/>
    <w:rsid w:val="00906166"/>
    <w:rsid w:val="00913A91"/>
    <w:rsid w:val="009173D4"/>
    <w:rsid w:val="009211B0"/>
    <w:rsid w:val="009252D5"/>
    <w:rsid w:val="00931960"/>
    <w:rsid w:val="009609A4"/>
    <w:rsid w:val="00962A11"/>
    <w:rsid w:val="00963241"/>
    <w:rsid w:val="009648CA"/>
    <w:rsid w:val="00966B73"/>
    <w:rsid w:val="009677A9"/>
    <w:rsid w:val="00972E0C"/>
    <w:rsid w:val="00981A06"/>
    <w:rsid w:val="00981B1B"/>
    <w:rsid w:val="009850A8"/>
    <w:rsid w:val="00985AF8"/>
    <w:rsid w:val="00994F32"/>
    <w:rsid w:val="009A636D"/>
    <w:rsid w:val="009A748F"/>
    <w:rsid w:val="009A7F32"/>
    <w:rsid w:val="009B0B50"/>
    <w:rsid w:val="009B1C52"/>
    <w:rsid w:val="009B2E95"/>
    <w:rsid w:val="009C1067"/>
    <w:rsid w:val="009C3960"/>
    <w:rsid w:val="009C7C01"/>
    <w:rsid w:val="009D1418"/>
    <w:rsid w:val="009D2856"/>
    <w:rsid w:val="009D4EF1"/>
    <w:rsid w:val="009D5B34"/>
    <w:rsid w:val="009D68E2"/>
    <w:rsid w:val="009E3767"/>
    <w:rsid w:val="009F1B95"/>
    <w:rsid w:val="009F1D09"/>
    <w:rsid w:val="009F529A"/>
    <w:rsid w:val="00A0007A"/>
    <w:rsid w:val="00A03F1A"/>
    <w:rsid w:val="00A05238"/>
    <w:rsid w:val="00A1267F"/>
    <w:rsid w:val="00A214DB"/>
    <w:rsid w:val="00A21749"/>
    <w:rsid w:val="00A257B0"/>
    <w:rsid w:val="00A26FF0"/>
    <w:rsid w:val="00A378B8"/>
    <w:rsid w:val="00A37C10"/>
    <w:rsid w:val="00A43A27"/>
    <w:rsid w:val="00A5566B"/>
    <w:rsid w:val="00A626A3"/>
    <w:rsid w:val="00A76629"/>
    <w:rsid w:val="00A772C2"/>
    <w:rsid w:val="00A805B9"/>
    <w:rsid w:val="00A931BA"/>
    <w:rsid w:val="00A95121"/>
    <w:rsid w:val="00AA28F7"/>
    <w:rsid w:val="00AA3864"/>
    <w:rsid w:val="00AA6ABA"/>
    <w:rsid w:val="00AA7DA0"/>
    <w:rsid w:val="00AB1A56"/>
    <w:rsid w:val="00AB1B84"/>
    <w:rsid w:val="00AB6618"/>
    <w:rsid w:val="00AC1FFC"/>
    <w:rsid w:val="00AC3263"/>
    <w:rsid w:val="00AD1F95"/>
    <w:rsid w:val="00AD2BFE"/>
    <w:rsid w:val="00AE2E8C"/>
    <w:rsid w:val="00AE3BE0"/>
    <w:rsid w:val="00AE4490"/>
    <w:rsid w:val="00AF67CF"/>
    <w:rsid w:val="00AF7E9B"/>
    <w:rsid w:val="00B0272F"/>
    <w:rsid w:val="00B07977"/>
    <w:rsid w:val="00B178E9"/>
    <w:rsid w:val="00B357DA"/>
    <w:rsid w:val="00B468A1"/>
    <w:rsid w:val="00B5053E"/>
    <w:rsid w:val="00B544B2"/>
    <w:rsid w:val="00B573FE"/>
    <w:rsid w:val="00B602C8"/>
    <w:rsid w:val="00B700B8"/>
    <w:rsid w:val="00B70890"/>
    <w:rsid w:val="00B71122"/>
    <w:rsid w:val="00B73598"/>
    <w:rsid w:val="00B73D92"/>
    <w:rsid w:val="00B86CA7"/>
    <w:rsid w:val="00B93678"/>
    <w:rsid w:val="00B942E2"/>
    <w:rsid w:val="00B97FC6"/>
    <w:rsid w:val="00BA4C6B"/>
    <w:rsid w:val="00BB063A"/>
    <w:rsid w:val="00BB111D"/>
    <w:rsid w:val="00BB348C"/>
    <w:rsid w:val="00BC46C2"/>
    <w:rsid w:val="00BC6FEF"/>
    <w:rsid w:val="00BD4174"/>
    <w:rsid w:val="00BD54F4"/>
    <w:rsid w:val="00BD676F"/>
    <w:rsid w:val="00BF1405"/>
    <w:rsid w:val="00C0023A"/>
    <w:rsid w:val="00C0271B"/>
    <w:rsid w:val="00C10D52"/>
    <w:rsid w:val="00C11944"/>
    <w:rsid w:val="00C219F6"/>
    <w:rsid w:val="00C27657"/>
    <w:rsid w:val="00C27E30"/>
    <w:rsid w:val="00C30A33"/>
    <w:rsid w:val="00C33A7C"/>
    <w:rsid w:val="00C508FC"/>
    <w:rsid w:val="00C5688C"/>
    <w:rsid w:val="00C65C60"/>
    <w:rsid w:val="00C66020"/>
    <w:rsid w:val="00C826A8"/>
    <w:rsid w:val="00C861F4"/>
    <w:rsid w:val="00C864EF"/>
    <w:rsid w:val="00C873A9"/>
    <w:rsid w:val="00C965BF"/>
    <w:rsid w:val="00C97D7F"/>
    <w:rsid w:val="00CA1AEF"/>
    <w:rsid w:val="00CA3B82"/>
    <w:rsid w:val="00CB19F5"/>
    <w:rsid w:val="00CC0E81"/>
    <w:rsid w:val="00CC4835"/>
    <w:rsid w:val="00CD2D4A"/>
    <w:rsid w:val="00CD35CA"/>
    <w:rsid w:val="00CD68B9"/>
    <w:rsid w:val="00CE216C"/>
    <w:rsid w:val="00CF33A3"/>
    <w:rsid w:val="00CF48A2"/>
    <w:rsid w:val="00D00204"/>
    <w:rsid w:val="00D0155C"/>
    <w:rsid w:val="00D02A47"/>
    <w:rsid w:val="00D04369"/>
    <w:rsid w:val="00D16CD9"/>
    <w:rsid w:val="00D35602"/>
    <w:rsid w:val="00D35B8B"/>
    <w:rsid w:val="00D54A9D"/>
    <w:rsid w:val="00D56CB5"/>
    <w:rsid w:val="00D606DB"/>
    <w:rsid w:val="00D70D2E"/>
    <w:rsid w:val="00D73D5B"/>
    <w:rsid w:val="00D74A61"/>
    <w:rsid w:val="00D76505"/>
    <w:rsid w:val="00D84805"/>
    <w:rsid w:val="00D930EA"/>
    <w:rsid w:val="00DA2DCA"/>
    <w:rsid w:val="00DA3967"/>
    <w:rsid w:val="00DA5171"/>
    <w:rsid w:val="00DA609A"/>
    <w:rsid w:val="00DA7CD1"/>
    <w:rsid w:val="00DB053A"/>
    <w:rsid w:val="00DB23C3"/>
    <w:rsid w:val="00DB5AA7"/>
    <w:rsid w:val="00DC2BDF"/>
    <w:rsid w:val="00DC4EF6"/>
    <w:rsid w:val="00DD452B"/>
    <w:rsid w:val="00DD7292"/>
    <w:rsid w:val="00DF0A07"/>
    <w:rsid w:val="00DF1FD4"/>
    <w:rsid w:val="00E00210"/>
    <w:rsid w:val="00E02077"/>
    <w:rsid w:val="00E04AA2"/>
    <w:rsid w:val="00E04F4A"/>
    <w:rsid w:val="00E148A2"/>
    <w:rsid w:val="00E1703E"/>
    <w:rsid w:val="00E31E84"/>
    <w:rsid w:val="00E374BE"/>
    <w:rsid w:val="00E41F84"/>
    <w:rsid w:val="00E4544A"/>
    <w:rsid w:val="00E46019"/>
    <w:rsid w:val="00E524C9"/>
    <w:rsid w:val="00E60606"/>
    <w:rsid w:val="00E77030"/>
    <w:rsid w:val="00E9071B"/>
    <w:rsid w:val="00E9327A"/>
    <w:rsid w:val="00E95FA8"/>
    <w:rsid w:val="00E9605D"/>
    <w:rsid w:val="00EA41D6"/>
    <w:rsid w:val="00EC12A8"/>
    <w:rsid w:val="00EC2A44"/>
    <w:rsid w:val="00EC51E1"/>
    <w:rsid w:val="00EC77F9"/>
    <w:rsid w:val="00ED0002"/>
    <w:rsid w:val="00ED3FC7"/>
    <w:rsid w:val="00EE4FA0"/>
    <w:rsid w:val="00EE702E"/>
    <w:rsid w:val="00EE7990"/>
    <w:rsid w:val="00EF1CE1"/>
    <w:rsid w:val="00EF5334"/>
    <w:rsid w:val="00F01EF1"/>
    <w:rsid w:val="00F10103"/>
    <w:rsid w:val="00F16C81"/>
    <w:rsid w:val="00F2634D"/>
    <w:rsid w:val="00F301CA"/>
    <w:rsid w:val="00F40AA4"/>
    <w:rsid w:val="00F43EA0"/>
    <w:rsid w:val="00F50602"/>
    <w:rsid w:val="00F50827"/>
    <w:rsid w:val="00F52A8B"/>
    <w:rsid w:val="00F5470B"/>
    <w:rsid w:val="00F5635B"/>
    <w:rsid w:val="00F62617"/>
    <w:rsid w:val="00F637C8"/>
    <w:rsid w:val="00F63E99"/>
    <w:rsid w:val="00F66BCB"/>
    <w:rsid w:val="00F7004F"/>
    <w:rsid w:val="00F828B8"/>
    <w:rsid w:val="00F928F8"/>
    <w:rsid w:val="00F936D0"/>
    <w:rsid w:val="00F96827"/>
    <w:rsid w:val="00FA6F61"/>
    <w:rsid w:val="00FA7B21"/>
    <w:rsid w:val="00FB2257"/>
    <w:rsid w:val="00FB4808"/>
    <w:rsid w:val="00FB6042"/>
    <w:rsid w:val="00FD1A10"/>
    <w:rsid w:val="00FD2788"/>
    <w:rsid w:val="00FD7D49"/>
    <w:rsid w:val="00FE30BE"/>
    <w:rsid w:val="00FE3348"/>
    <w:rsid w:val="00FE7F7C"/>
    <w:rsid w:val="00FF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00AE7"/>
  <w15:chartTrackingRefBased/>
  <w15:docId w15:val="{55B5F78D-EF88-43AF-B731-70C5865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835"/>
    <w:pPr>
      <w:widowControl w:val="0"/>
      <w:jc w:val="both"/>
    </w:pPr>
    <w:rPr>
      <w:kern w:val="2"/>
      <w:sz w:val="21"/>
      <w:szCs w:val="24"/>
    </w:rPr>
  </w:style>
  <w:style w:type="paragraph" w:styleId="1">
    <w:name w:val="heading 1"/>
    <w:basedOn w:val="a"/>
    <w:next w:val="a"/>
    <w:qFormat/>
    <w:pPr>
      <w:keepNext/>
      <w:outlineLvl w:val="0"/>
    </w:pPr>
    <w:rPr>
      <w:b/>
      <w:bCs/>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jc w:val="center"/>
      <w:outlineLvl w:val="3"/>
    </w:pPr>
    <w:rPr>
      <w:b/>
      <w:bCs/>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firstLineChars="171" w:firstLine="359"/>
    </w:pPr>
  </w:style>
  <w:style w:type="character" w:styleId="a4">
    <w:name w:val="Hyperlink"/>
    <w:semiHidden/>
    <w:rPr>
      <w:color w:val="0000FF"/>
      <w:u w:val="single"/>
    </w:rPr>
  </w:style>
  <w:style w:type="paragraph" w:styleId="a5">
    <w:name w:val="Document Map"/>
    <w:basedOn w:val="a"/>
    <w:semiHidden/>
    <w:pPr>
      <w:shd w:val="clear" w:color="auto" w:fill="000080"/>
    </w:pPr>
  </w:style>
  <w:style w:type="paragraph" w:styleId="a6">
    <w:name w:val="Body Text"/>
    <w:basedOn w:val="a"/>
    <w:semiHidden/>
    <w:rPr>
      <w:b/>
      <w:bCs/>
    </w:rPr>
  </w:style>
  <w:style w:type="paragraph" w:styleId="a7">
    <w:name w:val="footnote text"/>
    <w:basedOn w:val="a"/>
    <w:semiHidden/>
    <w:pPr>
      <w:snapToGrid w:val="0"/>
      <w:jc w:val="left"/>
    </w:pPr>
    <w:rPr>
      <w:sz w:val="18"/>
      <w:szCs w:val="18"/>
    </w:rPr>
  </w:style>
  <w:style w:type="character" w:styleId="a8">
    <w:name w:val="footnote reference"/>
    <w:semiHidden/>
    <w:rPr>
      <w:vertAlign w:val="superscript"/>
    </w:rPr>
  </w:style>
  <w:style w:type="paragraph" w:styleId="a9">
    <w:name w:val="header"/>
    <w:basedOn w:val="a"/>
    <w:semiHidden/>
    <w:pPr>
      <w:pBdr>
        <w:bottom w:val="single" w:sz="6" w:space="1" w:color="auto"/>
      </w:pBdr>
      <w:tabs>
        <w:tab w:val="center" w:pos="4153"/>
        <w:tab w:val="right" w:pos="8306"/>
      </w:tabs>
      <w:snapToGrid w:val="0"/>
      <w:jc w:val="center"/>
    </w:pPr>
    <w:rPr>
      <w:sz w:val="18"/>
      <w:szCs w:val="18"/>
    </w:rPr>
  </w:style>
  <w:style w:type="paragraph" w:styleId="aa">
    <w:name w:val="footer"/>
    <w:basedOn w:val="a"/>
    <w:link w:val="ab"/>
    <w:uiPriority w:val="99"/>
    <w:pPr>
      <w:tabs>
        <w:tab w:val="center" w:pos="4153"/>
        <w:tab w:val="right" w:pos="8306"/>
      </w:tabs>
      <w:snapToGrid w:val="0"/>
      <w:jc w:val="left"/>
    </w:pPr>
    <w:rPr>
      <w:sz w:val="18"/>
      <w:szCs w:val="18"/>
      <w:lang w:val="x-none" w:eastAsia="x-none"/>
    </w:rPr>
  </w:style>
  <w:style w:type="character" w:styleId="ac">
    <w:name w:val="page number"/>
    <w:basedOn w:val="a0"/>
    <w:semiHidden/>
  </w:style>
  <w:style w:type="paragraph" w:styleId="ad">
    <w:name w:val="endnote text"/>
    <w:basedOn w:val="a"/>
    <w:semiHidden/>
    <w:pPr>
      <w:snapToGrid w:val="0"/>
      <w:jc w:val="left"/>
    </w:pPr>
  </w:style>
  <w:style w:type="character" w:styleId="ae">
    <w:name w:val="endnote reference"/>
    <w:semiHidden/>
    <w:rPr>
      <w:vertAlign w:val="superscript"/>
    </w:rPr>
  </w:style>
  <w:style w:type="paragraph" w:styleId="af">
    <w:name w:val="Subtitle"/>
    <w:basedOn w:val="a"/>
    <w:next w:val="a"/>
    <w:qFormat/>
    <w:pPr>
      <w:overflowPunct w:val="0"/>
      <w:spacing w:before="320"/>
      <w:outlineLvl w:val="0"/>
    </w:pPr>
    <w:rPr>
      <w:rFonts w:eastAsia="黑体"/>
      <w:sz w:val="36"/>
      <w:szCs w:val="20"/>
    </w:rPr>
  </w:style>
  <w:style w:type="paragraph" w:customStyle="1" w:styleId="af0">
    <w:name w:val="摘要"/>
    <w:basedOn w:val="a6"/>
    <w:next w:val="a"/>
    <w:pPr>
      <w:tabs>
        <w:tab w:val="left" w:pos="798"/>
      </w:tabs>
      <w:overflowPunct w:val="0"/>
      <w:adjustRightInd w:val="0"/>
    </w:pPr>
    <w:rPr>
      <w:rFonts w:eastAsia="楷体_GB2312"/>
      <w:b w:val="0"/>
      <w:bCs w:val="0"/>
      <w:snapToGrid w:val="0"/>
      <w:sz w:val="18"/>
      <w:szCs w:val="20"/>
    </w:rPr>
  </w:style>
  <w:style w:type="paragraph" w:customStyle="1" w:styleId="af1">
    <w:name w:val="关键词"/>
    <w:basedOn w:val="af0"/>
    <w:next w:val="a"/>
    <w:pPr>
      <w:ind w:left="429" w:hangingChars="429" w:hanging="429"/>
    </w:pPr>
  </w:style>
  <w:style w:type="paragraph" w:customStyle="1" w:styleId="DepartCorrespond">
    <w:name w:val="Depart.Correspond"/>
    <w:basedOn w:val="a"/>
    <w:pPr>
      <w:widowControl/>
      <w:ind w:left="66" w:hangingChars="66" w:hanging="66"/>
    </w:pPr>
    <w:rPr>
      <w:iCs/>
      <w:kern w:val="0"/>
      <w:sz w:val="16"/>
      <w:szCs w:val="20"/>
    </w:rPr>
  </w:style>
  <w:style w:type="character" w:customStyle="1" w:styleId="ab">
    <w:name w:val="页脚 字符"/>
    <w:link w:val="aa"/>
    <w:uiPriority w:val="99"/>
    <w:rsid w:val="009011BA"/>
    <w:rPr>
      <w:kern w:val="2"/>
      <w:sz w:val="18"/>
      <w:szCs w:val="18"/>
    </w:rPr>
  </w:style>
  <w:style w:type="paragraph" w:styleId="af2">
    <w:name w:val="Balloon Text"/>
    <w:basedOn w:val="a"/>
    <w:link w:val="af3"/>
    <w:uiPriority w:val="99"/>
    <w:semiHidden/>
    <w:unhideWhenUsed/>
    <w:rsid w:val="009011BA"/>
    <w:rPr>
      <w:sz w:val="18"/>
      <w:szCs w:val="18"/>
      <w:lang w:val="x-none" w:eastAsia="x-none"/>
    </w:rPr>
  </w:style>
  <w:style w:type="character" w:customStyle="1" w:styleId="af3">
    <w:name w:val="批注框文本 字符"/>
    <w:link w:val="af2"/>
    <w:uiPriority w:val="99"/>
    <w:semiHidden/>
    <w:rsid w:val="009011BA"/>
    <w:rPr>
      <w:kern w:val="2"/>
      <w:sz w:val="18"/>
      <w:szCs w:val="18"/>
    </w:rPr>
  </w:style>
  <w:style w:type="character" w:styleId="af4">
    <w:name w:val="Strong"/>
    <w:uiPriority w:val="22"/>
    <w:qFormat/>
    <w:rsid w:val="009011BA"/>
    <w:rPr>
      <w:b/>
      <w:bCs/>
    </w:rPr>
  </w:style>
  <w:style w:type="paragraph" w:customStyle="1" w:styleId="af5">
    <w:name w:val="列出段落"/>
    <w:basedOn w:val="a"/>
    <w:uiPriority w:val="34"/>
    <w:qFormat/>
    <w:rsid w:val="004C20CF"/>
    <w:pPr>
      <w:ind w:firstLineChars="200" w:firstLine="420"/>
    </w:pPr>
  </w:style>
  <w:style w:type="table" w:styleId="af6">
    <w:name w:val="Table Grid"/>
    <w:basedOn w:val="a1"/>
    <w:uiPriority w:val="39"/>
    <w:rsid w:val="00981A06"/>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uiPriority w:val="99"/>
    <w:semiHidden/>
    <w:rsid w:val="00A05238"/>
    <w:rPr>
      <w:color w:val="808080"/>
    </w:rPr>
  </w:style>
  <w:style w:type="paragraph" w:styleId="af8">
    <w:name w:val="Title"/>
    <w:basedOn w:val="a"/>
    <w:next w:val="a"/>
    <w:qFormat/>
    <w:pPr>
      <w:overflowPunct w:val="0"/>
      <w:spacing w:before="320"/>
      <w:outlineLvl w:val="0"/>
    </w:pPr>
    <w:rPr>
      <w:rFonts w:eastAsia="黑体"/>
      <w:sz w:val="36"/>
      <w:szCs w:val="20"/>
    </w:rPr>
  </w:style>
  <w:style w:type="character" w:styleId="af9">
    <w:name w:val="Unresolved Mention"/>
    <w:uiPriority w:val="99"/>
    <w:semiHidden/>
    <w:unhideWhenUsed/>
    <w:rsid w:val="00F66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hyperlink" Target="mailto:24182105@buaa.edu.cn"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4.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oter" Target="footer6.xml"/><Relationship Id="rId30" Type="http://schemas.openxmlformats.org/officeDocument/2006/relationships/footer" Target="footer8.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2865</Words>
  <Characters>4842</Characters>
  <Application>Microsoft Office Word</Application>
  <DocSecurity>0</DocSecurity>
  <Lines>242</Lines>
  <Paragraphs>183</Paragraphs>
  <ScaleCrop>false</ScaleCrop>
  <Company>app</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基于颜色统计与方向梯度特征的图像无监督聚类比较研究</dc:title>
  <dc:subject>数据挖掘导论 图像无监督聚类实验报告</dc:subject>
  <dc:creator>[作者姓名]</dc:creator>
  <cp:keywords>无监督学习 图像聚类 HOG K-Means</cp:keywords>
  <dc:description/>
  <cp:lastModifiedBy>子恒 李</cp:lastModifiedBy>
  <cp:revision>7</cp:revision>
  <cp:lastPrinted>2026-10-27T11:32:00Z</cp:lastPrinted>
  <dcterms:created xsi:type="dcterms:W3CDTF">2026-10-27T00:00:00Z</dcterms:created>
  <dcterms:modified xsi:type="dcterms:W3CDTF">2026-10-27T11:36:00Z</dcterms:modified>
</cp:coreProperties>
</file>