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Project 2: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Design a </w:t>
      </w:r>
      <w:r w:rsidDel="00000000" w:rsidR="00000000" w:rsidRPr="00000000">
        <w:rPr>
          <w:b w:val="1"/>
          <w:rtl w:val="0"/>
        </w:rPr>
        <w:t xml:space="preserve">frequency-modulated typographic poster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dual-spectrum font matrix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two dynamically contrasting font weights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at least one inverted gradient overlay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optical-luminance balancing</w:t>
      </w:r>
      <w:r w:rsidDel="00000000" w:rsidR="00000000" w:rsidRPr="00000000">
        <w:rPr>
          <w:rtl w:val="0"/>
        </w:rPr>
        <w:t xml:space="preserve"> for spatial cohesion.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FigmaSoft, Spectrum Composer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