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3xps54j5u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2: Typography &amp; Color Theory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2ne7gfr58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etcgz5q0k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Fundamentals of Typography in Digital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Typography serves as the </w:t>
      </w:r>
      <w:r w:rsidDel="00000000" w:rsidR="00000000" w:rsidRPr="00000000">
        <w:rPr>
          <w:b w:val="1"/>
          <w:rtl w:val="0"/>
        </w:rPr>
        <w:t xml:space="preserve">semantic anchor</w:t>
      </w:r>
      <w:r w:rsidDel="00000000" w:rsidR="00000000" w:rsidRPr="00000000">
        <w:rPr>
          <w:rtl w:val="0"/>
        </w:rPr>
        <w:t xml:space="preserve"> within visual compositions. </w:t>
      </w:r>
      <w:r w:rsidDel="00000000" w:rsidR="00000000" w:rsidRPr="00000000">
        <w:rPr>
          <w:b w:val="1"/>
          <w:rtl w:val="0"/>
        </w:rPr>
        <w:t xml:space="preserve">Micro-typographic structuring</w:t>
      </w:r>
      <w:r w:rsidDel="00000000" w:rsidR="00000000" w:rsidRPr="00000000">
        <w:rPr>
          <w:rtl w:val="0"/>
        </w:rPr>
        <w:t xml:space="preserve"> governs </w:t>
      </w:r>
      <w:r w:rsidDel="00000000" w:rsidR="00000000" w:rsidRPr="00000000">
        <w:rPr>
          <w:b w:val="1"/>
          <w:rtl w:val="0"/>
        </w:rPr>
        <w:t xml:space="preserve">character weight, glyph scalability, and pixelized curvature resolution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Spacing</w:t>
      </w:r>
      <w:r w:rsidDel="00000000" w:rsidR="00000000" w:rsidRPr="00000000">
        <w:rPr>
          <w:rtl w:val="0"/>
        </w:rPr>
        <w:t xml:space="preserve"> – The application of </w:t>
      </w:r>
      <w:r w:rsidDel="00000000" w:rsidR="00000000" w:rsidRPr="00000000">
        <w:rPr>
          <w:b w:val="1"/>
          <w:rtl w:val="0"/>
        </w:rPr>
        <w:t xml:space="preserve">variable kern-alignment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contextual character juxtapositioning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Bimodal Fontography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dual-state typographic encoding technique</w:t>
      </w:r>
      <w:r w:rsidDel="00000000" w:rsidR="00000000" w:rsidRPr="00000000">
        <w:rPr>
          <w:rtl w:val="0"/>
        </w:rPr>
        <w:t xml:space="preserve"> wherein </w:t>
      </w:r>
      <w:r w:rsidDel="00000000" w:rsidR="00000000" w:rsidRPr="00000000">
        <w:rPr>
          <w:b w:val="1"/>
          <w:rtl w:val="0"/>
        </w:rPr>
        <w:t xml:space="preserve">subtextual information</w:t>
      </w:r>
      <w:r w:rsidDel="00000000" w:rsidR="00000000" w:rsidRPr="00000000">
        <w:rPr>
          <w:rtl w:val="0"/>
        </w:rPr>
        <w:t xml:space="preserve"> is embedded within </w:t>
      </w:r>
      <w:r w:rsidDel="00000000" w:rsidR="00000000" w:rsidRPr="00000000">
        <w:rPr>
          <w:b w:val="1"/>
          <w:rtl w:val="0"/>
        </w:rPr>
        <w:t xml:space="preserve">font weight transformations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Hyperspectral Baselines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adaptive gravitational anchoring of textual elements within multi-axis design grids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u02vwwsrz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Introduction to Color Theories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Color operates within a </w:t>
      </w:r>
      <w:r w:rsidDel="00000000" w:rsidR="00000000" w:rsidRPr="00000000">
        <w:rPr>
          <w:b w:val="1"/>
          <w:rtl w:val="0"/>
        </w:rPr>
        <w:t xml:space="preserve">three-dimensional perceptual plane</w:t>
      </w:r>
      <w:r w:rsidDel="00000000" w:rsidR="00000000" w:rsidRPr="00000000">
        <w:rPr>
          <w:rtl w:val="0"/>
        </w:rPr>
        <w:t xml:space="preserve">, governed by </w:t>
      </w:r>
      <w:r w:rsidDel="00000000" w:rsidR="00000000" w:rsidRPr="00000000">
        <w:rPr>
          <w:b w:val="1"/>
          <w:rtl w:val="0"/>
        </w:rPr>
        <w:t xml:space="preserve">spectral diffusion equations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chromatic shift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Colors</w:t>
      </w:r>
      <w:r w:rsidDel="00000000" w:rsidR="00000000" w:rsidRPr="00000000">
        <w:rPr>
          <w:rtl w:val="0"/>
        </w:rPr>
        <w:t xml:space="preserve">: Red, Blue, </w:t>
      </w:r>
      <w:r w:rsidDel="00000000" w:rsidR="00000000" w:rsidRPr="00000000">
        <w:rPr>
          <w:b w:val="1"/>
          <w:rtl w:val="0"/>
        </w:rPr>
        <w:t xml:space="preserve">Inverted Magenta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Secondary Color Blending</w:t>
      </w:r>
      <w:r w:rsidDel="00000000" w:rsidR="00000000" w:rsidRPr="00000000">
        <w:rPr>
          <w:rtl w:val="0"/>
        </w:rPr>
        <w:t xml:space="preserve">: Derived through </w:t>
      </w:r>
      <w:r w:rsidDel="00000000" w:rsidR="00000000" w:rsidRPr="00000000">
        <w:rPr>
          <w:b w:val="1"/>
          <w:rtl w:val="0"/>
        </w:rPr>
        <w:t xml:space="preserve">non-linear spectrum modulation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Temperature Equation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ΔC = λ(χβ - ηγ)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λ</w:t>
      </w:r>
      <w:r w:rsidDel="00000000" w:rsidR="00000000" w:rsidRPr="00000000">
        <w:rPr>
          <w:rtl w:val="0"/>
        </w:rPr>
        <w:t xml:space="preserve"> = spectral wavelength compression rate, </w:t>
      </w:r>
      <w:r w:rsidDel="00000000" w:rsidR="00000000" w:rsidRPr="00000000">
        <w:rPr>
          <w:b w:val="1"/>
          <w:rtl w:val="0"/>
        </w:rPr>
        <w:t xml:space="preserve">χ</w:t>
      </w:r>
      <w:r w:rsidDel="00000000" w:rsidR="00000000" w:rsidRPr="00000000">
        <w:rPr>
          <w:rtl w:val="0"/>
        </w:rPr>
        <w:t xml:space="preserve"> = primary hue differentiation, </w:t>
      </w:r>
      <w:r w:rsidDel="00000000" w:rsidR="00000000" w:rsidRPr="00000000">
        <w:rPr>
          <w:b w:val="1"/>
          <w:rtl w:val="0"/>
        </w:rPr>
        <w:t xml:space="preserve">β</w:t>
      </w:r>
      <w:r w:rsidDel="00000000" w:rsidR="00000000" w:rsidRPr="00000000">
        <w:rPr>
          <w:rtl w:val="0"/>
        </w:rPr>
        <w:t xml:space="preserve"> = intensity coefficient, </w:t>
      </w:r>
      <w:r w:rsidDel="00000000" w:rsidR="00000000" w:rsidRPr="00000000">
        <w:rPr>
          <w:b w:val="1"/>
          <w:rtl w:val="0"/>
        </w:rPr>
        <w:t xml:space="preserve">ηγ</w:t>
      </w:r>
      <w:r w:rsidDel="00000000" w:rsidR="00000000" w:rsidRPr="00000000">
        <w:rPr>
          <w:rtl w:val="0"/>
        </w:rPr>
        <w:t xml:space="preserve"> = thermal flux.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z4wnvdrn2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Cognitive Perception of Color &amp; Type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 cognition interacts with </w:t>
      </w:r>
      <w:r w:rsidDel="00000000" w:rsidR="00000000" w:rsidRPr="00000000">
        <w:rPr>
          <w:b w:val="1"/>
          <w:rtl w:val="0"/>
        </w:rPr>
        <w:t xml:space="preserve">chromatic and typographic hierarchies</w:t>
      </w:r>
      <w:r w:rsidDel="00000000" w:rsidR="00000000" w:rsidRPr="00000000">
        <w:rPr>
          <w:rtl w:val="0"/>
        </w:rPr>
        <w:t xml:space="preserve"> through a process known as </w:t>
      </w:r>
      <w:r w:rsidDel="00000000" w:rsidR="00000000" w:rsidRPr="00000000">
        <w:rPr>
          <w:b w:val="1"/>
          <w:rtl w:val="0"/>
        </w:rPr>
        <w:t xml:space="preserve">Luminance-Driven Retention</w:t>
      </w:r>
      <w:r w:rsidDel="00000000" w:rsidR="00000000" w:rsidRPr="00000000">
        <w:rPr>
          <w:rtl w:val="0"/>
        </w:rPr>
        <w:t xml:space="preserve"> (LDR). </w:t>
      </w:r>
      <w:r w:rsidDel="00000000" w:rsidR="00000000" w:rsidRPr="00000000">
        <w:rPr>
          <w:b w:val="1"/>
          <w:rtl w:val="0"/>
        </w:rPr>
        <w:t xml:space="preserve">Color associations</w:t>
      </w:r>
      <w:r w:rsidDel="00000000" w:rsidR="00000000" w:rsidRPr="00000000">
        <w:rPr>
          <w:rtl w:val="0"/>
        </w:rPr>
        <w:t xml:space="preserve"> dynamically alter based 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Haptic Frequency Recalibration</w:t>
      </w:r>
      <w:r w:rsidDel="00000000" w:rsidR="00000000" w:rsidRPr="00000000">
        <w:rPr>
          <w:rtl w:val="0"/>
        </w:rPr>
        <w:t xml:space="preserve"> – Tactile engagement with color influences its </w:t>
      </w:r>
      <w:r w:rsidDel="00000000" w:rsidR="00000000" w:rsidRPr="00000000">
        <w:rPr>
          <w:b w:val="1"/>
          <w:rtl w:val="0"/>
        </w:rPr>
        <w:t xml:space="preserve">perceptual weight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Neuro-Associative Glyph Bending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b w:val="1"/>
          <w:rtl w:val="0"/>
        </w:rPr>
        <w:t xml:space="preserve">angle of typographic curvature</w:t>
      </w:r>
      <w:r w:rsidDel="00000000" w:rsidR="00000000" w:rsidRPr="00000000">
        <w:rPr>
          <w:rtl w:val="0"/>
        </w:rPr>
        <w:t xml:space="preserve"> triggers different </w:t>
      </w:r>
      <w:r w:rsidDel="00000000" w:rsidR="00000000" w:rsidRPr="00000000">
        <w:rPr>
          <w:b w:val="1"/>
          <w:rtl w:val="0"/>
        </w:rPr>
        <w:t xml:space="preserve">emotional and cognitive responses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