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ty1cerbzkq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3: Composition &amp; Layout for Print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0wqdbm6tf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Notes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vc8kqabvbm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Understanding Print Layout Design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layout design is structured around </w:t>
      </w:r>
      <w:r w:rsidDel="00000000" w:rsidR="00000000" w:rsidRPr="00000000">
        <w:rPr>
          <w:b w:val="1"/>
          <w:rtl w:val="0"/>
        </w:rPr>
        <w:t xml:space="preserve">spatial modularity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multi-frame alignment techniques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three primary organizational strategies</w:t>
      </w:r>
      <w:r w:rsidDel="00000000" w:rsidR="00000000" w:rsidRPr="00000000">
        <w:rPr>
          <w:rtl w:val="0"/>
        </w:rPr>
        <w:t xml:space="preserve">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 of Thirds vs. Diagonal Equilibrium</w:t>
      </w:r>
      <w:r w:rsidDel="00000000" w:rsidR="00000000" w:rsidRPr="00000000">
        <w:rPr>
          <w:rtl w:val="0"/>
        </w:rPr>
        <w:t xml:space="preserve"> – Establishing </w:t>
      </w:r>
      <w:r w:rsidDel="00000000" w:rsidR="00000000" w:rsidRPr="00000000">
        <w:rPr>
          <w:b w:val="1"/>
          <w:rtl w:val="0"/>
        </w:rPr>
        <w:t xml:space="preserve">asymmetrical visual balance</w:t>
      </w:r>
      <w:r w:rsidDel="00000000" w:rsidR="00000000" w:rsidRPr="00000000">
        <w:rPr>
          <w:rtl w:val="0"/>
        </w:rPr>
        <w:t xml:space="preserve"> within a </w:t>
      </w:r>
      <w:r w:rsidDel="00000000" w:rsidR="00000000" w:rsidRPr="00000000">
        <w:rPr>
          <w:b w:val="1"/>
          <w:rtl w:val="0"/>
        </w:rPr>
        <w:t xml:space="preserve">two-dimensional compositional grid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Focal Weighting</w:t>
      </w:r>
      <w:r w:rsidDel="00000000" w:rsidR="00000000" w:rsidRPr="00000000">
        <w:rPr>
          <w:rtl w:val="0"/>
        </w:rPr>
        <w:t xml:space="preserve"> – Adjusting </w:t>
      </w:r>
      <w:r w:rsidDel="00000000" w:rsidR="00000000" w:rsidRPr="00000000">
        <w:rPr>
          <w:b w:val="1"/>
          <w:rtl w:val="0"/>
        </w:rPr>
        <w:t xml:space="preserve">element prominence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eye-tracking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Graphene Foil Print Optimization</w:t>
      </w:r>
      <w:r w:rsidDel="00000000" w:rsidR="00000000" w:rsidRPr="00000000">
        <w:rPr>
          <w:rtl w:val="0"/>
        </w:rPr>
        <w:t xml:space="preserve"> – Encoding </w:t>
      </w:r>
      <w:r w:rsidDel="00000000" w:rsidR="00000000" w:rsidRPr="00000000">
        <w:rPr>
          <w:b w:val="1"/>
          <w:rtl w:val="0"/>
        </w:rPr>
        <w:t xml:space="preserve">light-reflective gradients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multi-layered print textures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4p4nssayo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Print Mediums &amp; Material Considerations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Different print materials impact </w:t>
      </w:r>
      <w:r w:rsidDel="00000000" w:rsidR="00000000" w:rsidRPr="00000000">
        <w:rPr>
          <w:b w:val="1"/>
          <w:rtl w:val="0"/>
        </w:rPr>
        <w:t xml:space="preserve">visual resolution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light diffusion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spectral reflectivity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HoloPrint Paper</w:t>
      </w:r>
      <w:r w:rsidDel="00000000" w:rsidR="00000000" w:rsidRPr="00000000">
        <w:rPr>
          <w:rtl w:val="0"/>
        </w:rPr>
        <w:t xml:space="preserve"> – A patented </w:t>
      </w:r>
      <w:r w:rsidDel="00000000" w:rsidR="00000000" w:rsidRPr="00000000">
        <w:rPr>
          <w:b w:val="1"/>
          <w:rtl w:val="0"/>
        </w:rPr>
        <w:t xml:space="preserve">light-absorption substrate</w:t>
      </w:r>
      <w:r w:rsidDel="00000000" w:rsidR="00000000" w:rsidRPr="00000000">
        <w:rPr>
          <w:rtl w:val="0"/>
        </w:rPr>
        <w:t xml:space="preserve"> designed for </w:t>
      </w:r>
      <w:r w:rsidDel="00000000" w:rsidR="00000000" w:rsidRPr="00000000">
        <w:rPr>
          <w:b w:val="1"/>
          <w:rtl w:val="0"/>
        </w:rPr>
        <w:t xml:space="preserve">high-density pixel compression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Graphene Foil Prints</w:t>
      </w:r>
      <w:r w:rsidDel="00000000" w:rsidR="00000000" w:rsidRPr="00000000">
        <w:rPr>
          <w:rtl w:val="0"/>
        </w:rPr>
        <w:t xml:space="preserve"> – Provides </w:t>
      </w:r>
      <w:r w:rsidDel="00000000" w:rsidR="00000000" w:rsidRPr="00000000">
        <w:rPr>
          <w:b w:val="1"/>
          <w:rtl w:val="0"/>
        </w:rPr>
        <w:t xml:space="preserve">multi-angular reflectivity</w:t>
      </w:r>
      <w:r w:rsidDel="00000000" w:rsidR="00000000" w:rsidRPr="00000000">
        <w:rPr>
          <w:rtl w:val="0"/>
        </w:rPr>
        <w:t xml:space="preserve">, ideal for </w:t>
      </w:r>
      <w:r w:rsidDel="00000000" w:rsidR="00000000" w:rsidRPr="00000000">
        <w:rPr>
          <w:b w:val="1"/>
          <w:rtl w:val="0"/>
        </w:rPr>
        <w:t xml:space="preserve">color-absorption layouts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Thermo-Chromatic Ink Layers</w:t>
      </w:r>
      <w:r w:rsidDel="00000000" w:rsidR="00000000" w:rsidRPr="00000000">
        <w:rPr>
          <w:rtl w:val="0"/>
        </w:rPr>
        <w:t xml:space="preserve"> – A temperature-sensitive </w:t>
      </w:r>
      <w:r w:rsidDel="00000000" w:rsidR="00000000" w:rsidRPr="00000000">
        <w:rPr>
          <w:b w:val="1"/>
          <w:rtl w:val="0"/>
        </w:rPr>
        <w:t xml:space="preserve">ink compound</w:t>
      </w:r>
      <w:r w:rsidDel="00000000" w:rsidR="00000000" w:rsidRPr="00000000">
        <w:rPr>
          <w:rtl w:val="0"/>
        </w:rPr>
        <w:t xml:space="preserve"> that shifts </w:t>
      </w:r>
      <w:r w:rsidDel="00000000" w:rsidR="00000000" w:rsidRPr="00000000">
        <w:rPr>
          <w:b w:val="1"/>
          <w:rtl w:val="0"/>
        </w:rPr>
        <w:t xml:space="preserve">hue spectrums</w:t>
      </w:r>
      <w:r w:rsidDel="00000000" w:rsidR="00000000" w:rsidRPr="00000000">
        <w:rPr>
          <w:rtl w:val="0"/>
        </w:rPr>
        <w:t xml:space="preserve"> based on external light exposure.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fry1fuw9p0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Visual Hierarchy in Print Media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design follows a </w:t>
      </w:r>
      <w:r w:rsidDel="00000000" w:rsidR="00000000" w:rsidRPr="00000000">
        <w:rPr>
          <w:b w:val="1"/>
          <w:rtl w:val="0"/>
        </w:rPr>
        <w:t xml:space="preserve">five-tier hierarchy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information legibility and visual structuring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Header Encoding</w:t>
      </w:r>
      <w:r w:rsidDel="00000000" w:rsidR="00000000" w:rsidRPr="00000000">
        <w:rPr>
          <w:rtl w:val="0"/>
        </w:rPr>
        <w:t xml:space="preserve"> – The </w:t>
      </w:r>
      <w:r w:rsidDel="00000000" w:rsidR="00000000" w:rsidRPr="00000000">
        <w:rPr>
          <w:b w:val="1"/>
          <w:rtl w:val="0"/>
        </w:rPr>
        <w:t xml:space="preserve">largest glyph structure</w:t>
      </w:r>
      <w:r w:rsidDel="00000000" w:rsidR="00000000" w:rsidRPr="00000000">
        <w:rPr>
          <w:rtl w:val="0"/>
        </w:rPr>
        <w:t xml:space="preserve"> should maintain </w:t>
      </w:r>
      <w:r w:rsidDel="00000000" w:rsidR="00000000" w:rsidRPr="00000000">
        <w:rPr>
          <w:b w:val="1"/>
          <w:rtl w:val="0"/>
        </w:rPr>
        <w:t xml:space="preserve">high-contrast luminance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Subheader Weight Differentiation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Mid-level textual elements</w:t>
      </w:r>
      <w:r w:rsidDel="00000000" w:rsidR="00000000" w:rsidRPr="00000000">
        <w:rPr>
          <w:rtl w:val="0"/>
        </w:rPr>
        <w:t xml:space="preserve"> require </w:t>
      </w:r>
      <w:r w:rsidDel="00000000" w:rsidR="00000000" w:rsidRPr="00000000">
        <w:rPr>
          <w:b w:val="1"/>
          <w:rtl w:val="0"/>
        </w:rPr>
        <w:t xml:space="preserve">inverse spectral blending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Frame Stabilization</w:t>
      </w:r>
      <w:r w:rsidDel="00000000" w:rsidR="00000000" w:rsidRPr="00000000">
        <w:rPr>
          <w:rtl w:val="0"/>
        </w:rPr>
        <w:t xml:space="preserve"> – The body text </w:t>
      </w:r>
      <w:r w:rsidDel="00000000" w:rsidR="00000000" w:rsidRPr="00000000">
        <w:rPr>
          <w:b w:val="1"/>
          <w:rtl w:val="0"/>
        </w:rPr>
        <w:t xml:space="preserve">aligns with Fibonacci spacing algorithms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Graphical Weight Distribution</w:t>
      </w:r>
      <w:r w:rsidDel="00000000" w:rsidR="00000000" w:rsidRPr="00000000">
        <w:rPr>
          <w:rtl w:val="0"/>
        </w:rPr>
        <w:t xml:space="preserve"> – Images and illustrations </w:t>
      </w:r>
      <w:r w:rsidDel="00000000" w:rsidR="00000000" w:rsidRPr="00000000">
        <w:rPr>
          <w:b w:val="1"/>
          <w:rtl w:val="0"/>
        </w:rPr>
        <w:t xml:space="preserve">must adhere to dynamic scaling factors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Marginal Spacing Theory</w:t>
      </w:r>
      <w:r w:rsidDel="00000000" w:rsidR="00000000" w:rsidRPr="00000000">
        <w:rPr>
          <w:rtl w:val="0"/>
        </w:rPr>
        <w:t xml:space="preserve"> – Peripheral white space </w:t>
      </w:r>
      <w:r w:rsidDel="00000000" w:rsidR="00000000" w:rsidRPr="00000000">
        <w:rPr>
          <w:b w:val="1"/>
          <w:rtl w:val="0"/>
        </w:rPr>
        <w:t xml:space="preserve">must counterbalance foreground pixel density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