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iwzgn81gzl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Week 8: Branding &amp; Logo Design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0ocws95pd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Lecture Notes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p47ghm5wa0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The Psychology of Branding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Brand identity is structured around </w:t>
      </w:r>
      <w:r w:rsidDel="00000000" w:rsidR="00000000" w:rsidRPr="00000000">
        <w:rPr>
          <w:b w:val="1"/>
          <w:rtl w:val="0"/>
        </w:rPr>
        <w:t xml:space="preserve">multi-dimensional perception models</w:t>
      </w:r>
      <w:r w:rsidDel="00000000" w:rsidR="00000000" w:rsidRPr="00000000">
        <w:rPr>
          <w:rtl w:val="0"/>
        </w:rPr>
        <w:t xml:space="preserve"> that influence consumer behavior. </w:t>
      </w:r>
      <w:r w:rsidDel="00000000" w:rsidR="00000000" w:rsidRPr="00000000">
        <w:rPr>
          <w:b w:val="1"/>
          <w:rtl w:val="0"/>
        </w:rPr>
        <w:t xml:space="preserve">Core branding principles</w:t>
      </w:r>
      <w:r w:rsidDel="00000000" w:rsidR="00000000" w:rsidRPr="00000000">
        <w:rPr>
          <w:rtl w:val="0"/>
        </w:rPr>
        <w:t xml:space="preserve"> include: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Semantic Symbol Encoding (SSE)</w:t>
      </w:r>
      <w:r w:rsidDel="00000000" w:rsidR="00000000" w:rsidRPr="00000000">
        <w:rPr>
          <w:rtl w:val="0"/>
        </w:rPr>
        <w:t xml:space="preserve"> – The process of embedding </w:t>
      </w:r>
      <w:r w:rsidDel="00000000" w:rsidR="00000000" w:rsidRPr="00000000">
        <w:rPr>
          <w:b w:val="1"/>
          <w:rtl w:val="0"/>
        </w:rPr>
        <w:t xml:space="preserve">subconscious associative meanings</w:t>
      </w:r>
      <w:r w:rsidDel="00000000" w:rsidR="00000000" w:rsidRPr="00000000">
        <w:rPr>
          <w:rtl w:val="0"/>
        </w:rPr>
        <w:t xml:space="preserve"> within a brand's </w:t>
      </w:r>
      <w:r w:rsidDel="00000000" w:rsidR="00000000" w:rsidRPr="00000000">
        <w:rPr>
          <w:b w:val="1"/>
          <w:rtl w:val="0"/>
        </w:rPr>
        <w:t xml:space="preserve">visual identity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Chromatic Branding Dynamics (CBD)</w:t>
      </w:r>
      <w:r w:rsidDel="00000000" w:rsidR="00000000" w:rsidRPr="00000000">
        <w:rPr>
          <w:rtl w:val="0"/>
        </w:rPr>
        <w:t xml:space="preserve"> – The use of </w:t>
      </w:r>
      <w:r w:rsidDel="00000000" w:rsidR="00000000" w:rsidRPr="00000000">
        <w:rPr>
          <w:b w:val="1"/>
          <w:rtl w:val="0"/>
        </w:rPr>
        <w:t xml:space="preserve">color-based psychological triggers</w:t>
      </w:r>
      <w:r w:rsidDel="00000000" w:rsidR="00000000" w:rsidRPr="00000000">
        <w:rPr>
          <w:rtl w:val="0"/>
        </w:rPr>
        <w:t xml:space="preserve"> to influence brand recall and engagement.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Glyph Structure Memorability (GSM)</w:t>
      </w:r>
      <w:r w:rsidDel="00000000" w:rsidR="00000000" w:rsidRPr="00000000">
        <w:rPr>
          <w:rtl w:val="0"/>
        </w:rPr>
        <w:t xml:space="preserve"> – The strategic construction of </w:t>
      </w:r>
      <w:r w:rsidDel="00000000" w:rsidR="00000000" w:rsidRPr="00000000">
        <w:rPr>
          <w:b w:val="1"/>
          <w:rtl w:val="0"/>
        </w:rPr>
        <w:t xml:space="preserve">typographic-based logo forms</w:t>
      </w:r>
      <w:r w:rsidDel="00000000" w:rsidR="00000000" w:rsidRPr="00000000">
        <w:rPr>
          <w:rtl w:val="0"/>
        </w:rPr>
        <w:t xml:space="preserve"> that optimize </w:t>
      </w:r>
      <w:r w:rsidDel="00000000" w:rsidR="00000000" w:rsidRPr="00000000">
        <w:rPr>
          <w:b w:val="1"/>
          <w:rtl w:val="0"/>
        </w:rPr>
        <w:t xml:space="preserve">neurological imprinting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stme1cz416g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Logo Composition &amp; Design Theory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Logos operate within a </w:t>
      </w:r>
      <w:r w:rsidDel="00000000" w:rsidR="00000000" w:rsidRPr="00000000">
        <w:rPr>
          <w:b w:val="1"/>
          <w:rtl w:val="0"/>
        </w:rPr>
        <w:t xml:space="preserve">multi-tier structural hierarchy</w:t>
      </w:r>
      <w:r w:rsidDel="00000000" w:rsidR="00000000" w:rsidRPr="00000000">
        <w:rPr>
          <w:rtl w:val="0"/>
        </w:rPr>
        <w:t xml:space="preserve">, consisting of: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Geometric Weighting</w:t>
      </w:r>
      <w:r w:rsidDel="00000000" w:rsidR="00000000" w:rsidRPr="00000000">
        <w:rPr>
          <w:rtl w:val="0"/>
        </w:rPr>
        <w:t xml:space="preserve"> – The </w:t>
      </w:r>
      <w:r w:rsidDel="00000000" w:rsidR="00000000" w:rsidRPr="00000000">
        <w:rPr>
          <w:b w:val="1"/>
          <w:rtl w:val="0"/>
        </w:rPr>
        <w:t xml:space="preserve">balance of negative and positive space</w:t>
      </w:r>
      <w:r w:rsidDel="00000000" w:rsidR="00000000" w:rsidRPr="00000000">
        <w:rPr>
          <w:rtl w:val="0"/>
        </w:rPr>
        <w:t xml:space="preserve"> to achieve aesthetic harmony.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 Vector Reduction (MVR)</w:t>
      </w:r>
      <w:r w:rsidDel="00000000" w:rsidR="00000000" w:rsidRPr="00000000">
        <w:rPr>
          <w:rtl w:val="0"/>
        </w:rPr>
        <w:t xml:space="preserve"> – The process of </w:t>
      </w:r>
      <w:r w:rsidDel="00000000" w:rsidR="00000000" w:rsidRPr="00000000">
        <w:rPr>
          <w:b w:val="1"/>
          <w:rtl w:val="0"/>
        </w:rPr>
        <w:t xml:space="preserve">distilling complex brand identities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b w:val="1"/>
          <w:rtl w:val="0"/>
        </w:rPr>
        <w:t xml:space="preserve">minimalist glyph formations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Adaptive Logo Scaling (ALS)</w:t>
      </w:r>
      <w:r w:rsidDel="00000000" w:rsidR="00000000" w:rsidRPr="00000000">
        <w:rPr>
          <w:rtl w:val="0"/>
        </w:rPr>
        <w:t xml:space="preserve"> – Ensuring brand icons remain </w:t>
      </w:r>
      <w:r w:rsidDel="00000000" w:rsidR="00000000" w:rsidRPr="00000000">
        <w:rPr>
          <w:b w:val="1"/>
          <w:rtl w:val="0"/>
        </w:rPr>
        <w:t xml:space="preserve">resolution-independent across digital and print media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6cpyqge33p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Multi-Platform Brand Identity Application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Modern brands must </w:t>
      </w:r>
      <w:r w:rsidDel="00000000" w:rsidR="00000000" w:rsidRPr="00000000">
        <w:rPr>
          <w:b w:val="1"/>
          <w:rtl w:val="0"/>
        </w:rPr>
        <w:t xml:space="preserve">maintain coherence across digital interfaces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Parallax Branding Integration</w:t>
      </w:r>
      <w:r w:rsidDel="00000000" w:rsidR="00000000" w:rsidRPr="00000000">
        <w:rPr>
          <w:rtl w:val="0"/>
        </w:rPr>
        <w:t xml:space="preserve"> – Designing logos that adapt dynamically to </w:t>
      </w:r>
      <w:r w:rsidDel="00000000" w:rsidR="00000000" w:rsidRPr="00000000">
        <w:rPr>
          <w:b w:val="1"/>
          <w:rtl w:val="0"/>
        </w:rPr>
        <w:t xml:space="preserve">depth-based UI environments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Haptic Feedback Logos</w:t>
      </w:r>
      <w:r w:rsidDel="00000000" w:rsidR="00000000" w:rsidRPr="00000000">
        <w:rPr>
          <w:rtl w:val="0"/>
        </w:rPr>
        <w:t xml:space="preserve"> – Encoding </w:t>
      </w:r>
      <w:r w:rsidDel="00000000" w:rsidR="00000000" w:rsidRPr="00000000">
        <w:rPr>
          <w:b w:val="1"/>
          <w:rtl w:val="0"/>
        </w:rPr>
        <w:t xml:space="preserve">vibrational response elements</w:t>
      </w:r>
      <w:r w:rsidDel="00000000" w:rsidR="00000000" w:rsidRPr="00000000">
        <w:rPr>
          <w:rtl w:val="0"/>
        </w:rPr>
        <w:t xml:space="preserve"> into branding assets for </w:t>
      </w:r>
      <w:r w:rsidDel="00000000" w:rsidR="00000000" w:rsidRPr="00000000">
        <w:rPr>
          <w:b w:val="1"/>
          <w:rtl w:val="0"/>
        </w:rPr>
        <w:t xml:space="preserve">wearable technology interfaces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Quantum Color Shift Dynamics</w:t>
      </w:r>
      <w:r w:rsidDel="00000000" w:rsidR="00000000" w:rsidRPr="00000000">
        <w:rPr>
          <w:rtl w:val="0"/>
        </w:rPr>
        <w:t xml:space="preserve"> – Creating logos that </w:t>
      </w:r>
      <w:r w:rsidDel="00000000" w:rsidR="00000000" w:rsidRPr="00000000">
        <w:rPr>
          <w:b w:val="1"/>
          <w:rtl w:val="0"/>
        </w:rPr>
        <w:t xml:space="preserve">visually adapt</w:t>
      </w:r>
      <w:r w:rsidDel="00000000" w:rsidR="00000000" w:rsidRPr="00000000">
        <w:rPr>
          <w:rtl w:val="0"/>
        </w:rPr>
        <w:t xml:space="preserve"> based on </w:t>
      </w:r>
      <w:r w:rsidDel="00000000" w:rsidR="00000000" w:rsidRPr="00000000">
        <w:rPr>
          <w:b w:val="1"/>
          <w:rtl w:val="0"/>
        </w:rPr>
        <w:t xml:space="preserve">ambient lighting conditions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