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☐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☒ The authors declare the following financial interests/personal relationships which may be considered as potential competing interests: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Gregory Paradis reports financial support was provided by Natural Sciences and Engineering Research Council of Canada.</w:t>
            </w:r>
            <w:r>
              <w:t xml:space="preserve"> </w:t>
            </w:r>
            <w:r>
              <w:t xml:space="preserve">If there are other authors, they declare that they have no known competing financial interests or personal relationships that could have appeared to influence the work reported in this paper.</w:t>
            </w:r>
          </w:p>
        </w:tc>
      </w:tr>
    </w:tbl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2025-10-18T09:49:08Z</dcterms:created>
  <dcterms:modified xsi:type="dcterms:W3CDTF">2025-10-18T09:49:08Z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