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C7BA0" w14:textId="67D10011" w:rsidR="00FA5DE9" w:rsidRDefault="00FA5DE9" w:rsidP="00FD431C">
      <w:pPr>
        <w:pStyle w:val="Heading2"/>
      </w:pPr>
      <w:bookmarkStart w:id="1" w:name="_Hlk38370450"/>
      <w:bookmarkStart w:id="2" w:name="_Toc2236258"/>
      <w:r w:rsidRPr="00137749">
        <w:t>Pandemic Changes</w:t>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1"/>
    <w:p w14:paraId="7ACE1B08" w14:textId="77777777" w:rsidR="00C3036E" w:rsidRDefault="00C3036E" w:rsidP="00FD431C">
      <w:pPr>
        <w:pStyle w:val="Heading2"/>
      </w:pPr>
    </w:p>
    <w:p w14:paraId="65B293DB" w14:textId="5FE1F703" w:rsidR="003A072F" w:rsidRPr="00FD431C" w:rsidRDefault="002A4D9B" w:rsidP="00FD431C">
      <w:pPr>
        <w:pStyle w:val="Heading2"/>
      </w:pPr>
      <w:r w:rsidRPr="00FD431C">
        <w:t>Course Information</w:t>
      </w:r>
      <w:bookmarkEnd w:id="2"/>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572CA8C9" w:rsidR="004D49B8" w:rsidRPr="00C55CEC" w:rsidRDefault="00C3036E" w:rsidP="00C55CEC">
            <w:r>
              <w:t>Finfish Genetics and Reproduction in Aquaculture</w:t>
            </w:r>
          </w:p>
        </w:tc>
        <w:tc>
          <w:tcPr>
            <w:tcW w:w="1493" w:type="pct"/>
            <w:vAlign w:val="center"/>
          </w:tcPr>
          <w:p w14:paraId="14F87604" w14:textId="59BE76BF" w:rsidR="004D49B8" w:rsidRPr="00C55CEC" w:rsidRDefault="00C3036E" w:rsidP="00C55CEC">
            <w:r>
              <w:t>AQUA 504</w:t>
            </w:r>
          </w:p>
        </w:tc>
        <w:tc>
          <w:tcPr>
            <w:tcW w:w="1152" w:type="pct"/>
            <w:vAlign w:val="center"/>
          </w:tcPr>
          <w:p w14:paraId="1AD42995" w14:textId="426593F8" w:rsidR="004D49B8" w:rsidRPr="00C55CEC" w:rsidRDefault="00C3036E" w:rsidP="00C55CEC">
            <w:r>
              <w:t>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3"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452D608D" w:rsidR="004D49B8" w:rsidRPr="00237D4A" w:rsidRDefault="00CF0FA8" w:rsidP="00C55CEC">
            <w:r w:rsidRPr="00237D4A">
              <w:t>While there is some flexibility in this online course, you are expected to make yourself available to meet virtually on the following dates and times:</w:t>
            </w:r>
          </w:p>
          <w:p w14:paraId="14F7AB75" w14:textId="77777777" w:rsidR="00CF0FA8" w:rsidRDefault="00237D4A" w:rsidP="00CF0FA8">
            <w:pPr>
              <w:pStyle w:val="ListParagraph"/>
              <w:numPr>
                <w:ilvl w:val="0"/>
                <w:numId w:val="19"/>
              </w:numPr>
            </w:pPr>
            <w:r>
              <w:t xml:space="preserve">September </w:t>
            </w:r>
            <w:r w:rsidR="0019250B">
              <w:t>9, 2:00pm-4:00pm</w:t>
            </w:r>
          </w:p>
          <w:p w14:paraId="6711EDEC" w14:textId="09A5E9FD" w:rsidR="0019250B" w:rsidRDefault="0019250B" w:rsidP="00CF0FA8">
            <w:pPr>
              <w:pStyle w:val="ListParagraph"/>
              <w:numPr>
                <w:ilvl w:val="0"/>
                <w:numId w:val="19"/>
              </w:numPr>
            </w:pPr>
            <w:r>
              <w:t>September 16, 2:00pm-4:00pm</w:t>
            </w:r>
          </w:p>
          <w:p w14:paraId="7888FFF8" w14:textId="63AB44CD" w:rsidR="0019250B" w:rsidRDefault="0019250B" w:rsidP="00CF0FA8">
            <w:pPr>
              <w:pStyle w:val="ListParagraph"/>
              <w:numPr>
                <w:ilvl w:val="0"/>
                <w:numId w:val="19"/>
              </w:numPr>
            </w:pPr>
            <w:r>
              <w:t>September 23, 2:00pm-4:00pm</w:t>
            </w:r>
          </w:p>
          <w:p w14:paraId="72F157B8" w14:textId="4F13CAA9" w:rsidR="0019250B" w:rsidRDefault="0019250B" w:rsidP="00CF0FA8">
            <w:pPr>
              <w:pStyle w:val="ListParagraph"/>
              <w:numPr>
                <w:ilvl w:val="0"/>
                <w:numId w:val="19"/>
              </w:numPr>
            </w:pPr>
            <w:r>
              <w:t>September 30, 2:00pm-4:00pm</w:t>
            </w:r>
          </w:p>
          <w:p w14:paraId="2EC90E79" w14:textId="6C59097B" w:rsidR="0019250B" w:rsidRDefault="0019250B" w:rsidP="00CF0FA8">
            <w:pPr>
              <w:pStyle w:val="ListParagraph"/>
              <w:numPr>
                <w:ilvl w:val="0"/>
                <w:numId w:val="19"/>
              </w:numPr>
            </w:pPr>
            <w:r>
              <w:t>October 7, 2:00pm-4:00pm</w:t>
            </w:r>
          </w:p>
          <w:p w14:paraId="2475EC92" w14:textId="0EAF8639" w:rsidR="0019250B" w:rsidRDefault="0019250B" w:rsidP="00CF0FA8">
            <w:pPr>
              <w:pStyle w:val="ListParagraph"/>
              <w:numPr>
                <w:ilvl w:val="0"/>
                <w:numId w:val="19"/>
              </w:numPr>
            </w:pPr>
            <w:r>
              <w:t>October 14, 2:00pm-4:00pm</w:t>
            </w:r>
          </w:p>
          <w:p w14:paraId="1B556824" w14:textId="2348CBEA" w:rsidR="0019250B" w:rsidRDefault="0019250B" w:rsidP="00CF0FA8">
            <w:pPr>
              <w:pStyle w:val="ListParagraph"/>
              <w:numPr>
                <w:ilvl w:val="0"/>
                <w:numId w:val="19"/>
              </w:numPr>
            </w:pPr>
            <w:r>
              <w:t>October 21, 2:00pm-4:00pm</w:t>
            </w:r>
          </w:p>
          <w:p w14:paraId="16A22B5F" w14:textId="17026FC6" w:rsidR="0019250B" w:rsidRDefault="0019250B" w:rsidP="00CF0FA8">
            <w:pPr>
              <w:pStyle w:val="ListParagraph"/>
              <w:numPr>
                <w:ilvl w:val="0"/>
                <w:numId w:val="19"/>
              </w:numPr>
            </w:pPr>
            <w:r>
              <w:t>October 28, 2:00pm-4:00pm</w:t>
            </w:r>
          </w:p>
          <w:p w14:paraId="2710DA7B" w14:textId="162D39B8" w:rsidR="0019250B" w:rsidRDefault="0019250B" w:rsidP="00CF0FA8">
            <w:pPr>
              <w:pStyle w:val="ListParagraph"/>
              <w:numPr>
                <w:ilvl w:val="0"/>
                <w:numId w:val="19"/>
              </w:numPr>
            </w:pPr>
            <w:r>
              <w:t>November 2, 2:00pm-4:00pm</w:t>
            </w:r>
          </w:p>
          <w:p w14:paraId="122F40CB" w14:textId="3B108A2F" w:rsidR="0019250B" w:rsidRDefault="0019250B" w:rsidP="00CF0FA8">
            <w:pPr>
              <w:pStyle w:val="ListParagraph"/>
              <w:numPr>
                <w:ilvl w:val="0"/>
                <w:numId w:val="19"/>
              </w:numPr>
            </w:pPr>
            <w:r>
              <w:t>November 9, 2:00pm-4:00pm</w:t>
            </w:r>
          </w:p>
          <w:p w14:paraId="6A05462D" w14:textId="65147445" w:rsidR="0019250B" w:rsidRDefault="0019250B" w:rsidP="00CF0FA8">
            <w:pPr>
              <w:pStyle w:val="ListParagraph"/>
              <w:numPr>
                <w:ilvl w:val="0"/>
                <w:numId w:val="19"/>
              </w:numPr>
            </w:pPr>
            <w:r>
              <w:t>November 18, 2:00pm-4:00pm</w:t>
            </w:r>
          </w:p>
          <w:p w14:paraId="14B31E45" w14:textId="58D9FEB3" w:rsidR="0019250B" w:rsidRDefault="0019250B" w:rsidP="00CF0FA8">
            <w:pPr>
              <w:pStyle w:val="ListParagraph"/>
              <w:numPr>
                <w:ilvl w:val="0"/>
                <w:numId w:val="19"/>
              </w:numPr>
            </w:pPr>
            <w:r>
              <w:t>November 25, 2:00pm-4:00pm</w:t>
            </w:r>
          </w:p>
          <w:p w14:paraId="582CCA5C" w14:textId="191B5FF6" w:rsidR="0019250B" w:rsidRPr="00C55CEC" w:rsidRDefault="0019250B" w:rsidP="00CF0FA8">
            <w:pPr>
              <w:pStyle w:val="ListParagraph"/>
              <w:numPr>
                <w:ilvl w:val="0"/>
                <w:numId w:val="19"/>
              </w:numPr>
            </w:pPr>
            <w:r>
              <w:t>December 2, 2:00pm-4:00pm</w:t>
            </w:r>
          </w:p>
        </w:tc>
        <w:tc>
          <w:tcPr>
            <w:tcW w:w="1493" w:type="pct"/>
            <w:vAlign w:val="center"/>
          </w:tcPr>
          <w:p w14:paraId="495C069C" w14:textId="168C86EF" w:rsidR="004D49B8" w:rsidRPr="00CF0FA8" w:rsidRDefault="00CF0FA8" w:rsidP="00C55CEC">
            <w:pPr>
              <w:rPr>
                <w:highlight w:val="yellow"/>
              </w:rPr>
            </w:pPr>
            <w:r w:rsidRPr="00CB27C1">
              <w:t>UBC Canvas Site</w:t>
            </w:r>
          </w:p>
        </w:tc>
        <w:tc>
          <w:tcPr>
            <w:tcW w:w="1152" w:type="pct"/>
            <w:vAlign w:val="center"/>
          </w:tcPr>
          <w:p w14:paraId="6A766AAE" w14:textId="159D5C42" w:rsidR="004D49B8" w:rsidRPr="00C55CEC" w:rsidRDefault="00CB27C1" w:rsidP="00C55CEC">
            <w:r>
              <w:t>2020W</w:t>
            </w:r>
          </w:p>
        </w:tc>
      </w:tr>
    </w:tbl>
    <w:p w14:paraId="5EAC518F" w14:textId="53AA37B4" w:rsidR="00BE2ACC" w:rsidRDefault="00C3036E" w:rsidP="00BE2ACC">
      <w:pPr>
        <w:pStyle w:val="Heading3"/>
      </w:pPr>
      <w:r>
        <w:t xml:space="preserve">Finfish </w:t>
      </w:r>
      <w:r w:rsidR="00BE2ACC">
        <w:t>Calendar Description</w:t>
      </w:r>
    </w:p>
    <w:p w14:paraId="46718E66" w14:textId="77777777" w:rsidR="009C2324" w:rsidRPr="00A51B44" w:rsidRDefault="009C2324" w:rsidP="009C2324">
      <w:pPr>
        <w:pStyle w:val="WPNormal"/>
        <w:rPr>
          <w:rStyle w:val="None"/>
          <w:rFonts w:asciiTheme="minorHAnsi" w:eastAsia="Times New Roman" w:hAnsiTheme="minorHAnsi" w:cstheme="minorHAnsi"/>
          <w:sz w:val="22"/>
          <w:szCs w:val="22"/>
        </w:rPr>
      </w:pPr>
      <w:r w:rsidRPr="00A51B44">
        <w:rPr>
          <w:rStyle w:val="None"/>
          <w:rFonts w:asciiTheme="minorHAnsi" w:hAnsiTheme="minorHAnsi" w:cstheme="minorHAnsi"/>
          <w:sz w:val="22"/>
          <w:szCs w:val="22"/>
        </w:rPr>
        <w:t xml:space="preserve">Genetics and Reproduction in Aquaculture is a graduate level course that will provide students with the initial knowledge and tools required to critically review and integrate a genetic approach to aquaculture management and development. </w:t>
      </w:r>
    </w:p>
    <w:p w14:paraId="75B6D513" w14:textId="77777777" w:rsidR="00CD2C42" w:rsidRPr="00BE2ACC" w:rsidRDefault="00CD2C42" w:rsidP="00414243"/>
    <w:p w14:paraId="615A7E91" w14:textId="77777777" w:rsidR="002A4D9B" w:rsidRPr="00FD431C" w:rsidRDefault="002A4D9B" w:rsidP="00FD431C">
      <w:pPr>
        <w:pStyle w:val="Heading3"/>
      </w:pPr>
      <w:r w:rsidRPr="00FD431C">
        <w:t>Prerequisites</w:t>
      </w:r>
      <w:bookmarkEnd w:id="3"/>
    </w:p>
    <w:p w14:paraId="67B67184" w14:textId="3AA35B92" w:rsidR="002A4D9B" w:rsidRDefault="00A51B44" w:rsidP="005F77B5">
      <w:r>
        <w:t>None</w:t>
      </w:r>
    </w:p>
    <w:p w14:paraId="5D2DC3EC" w14:textId="77777777" w:rsidR="00414243" w:rsidRPr="00414243" w:rsidRDefault="00414243" w:rsidP="00414243"/>
    <w:p w14:paraId="3FC20EF3" w14:textId="77777777" w:rsidR="002A4D9B" w:rsidRPr="002A4D9B" w:rsidRDefault="002A4D9B" w:rsidP="00FD431C">
      <w:pPr>
        <w:pStyle w:val="Heading3"/>
      </w:pPr>
      <w:bookmarkStart w:id="4" w:name="_Toc2236261"/>
      <w:r w:rsidRPr="002A4D9B">
        <w:lastRenderedPageBreak/>
        <w:t>Corequisites</w:t>
      </w:r>
      <w:bookmarkEnd w:id="4"/>
    </w:p>
    <w:p w14:paraId="12C44E6E" w14:textId="0AF8B6D8" w:rsidR="002A4D9B" w:rsidRDefault="00A51B44" w:rsidP="005F77B5">
      <w:r>
        <w:t>None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r w:rsidRPr="00F55AB7">
        <w:rPr>
          <w:lang w:val="en-US"/>
        </w:rPr>
        <w:t>Course Structure</w:t>
      </w:r>
    </w:p>
    <w:p w14:paraId="05319709" w14:textId="77777777" w:rsidR="001B6216" w:rsidRPr="001B6216" w:rsidRDefault="001B6216" w:rsidP="001B6216">
      <w:pPr>
        <w:pStyle w:val="WPNormal"/>
        <w:rPr>
          <w:rStyle w:val="None"/>
          <w:rFonts w:ascii="Times New Roman" w:eastAsia="Times New Roman" w:hAnsi="Times New Roman" w:cs="Times New Roman"/>
          <w:sz w:val="20"/>
          <w:szCs w:val="20"/>
        </w:rPr>
      </w:pPr>
      <w:r w:rsidRPr="001B6216">
        <w:rPr>
          <w:rStyle w:val="None"/>
          <w:rFonts w:asciiTheme="minorHAnsi" w:hAnsiTheme="minorHAnsi" w:cstheme="minorHAnsi"/>
          <w:sz w:val="20"/>
          <w:szCs w:val="20"/>
        </w:rPr>
        <w:t>This course will be structured as thirteen (13) modules.  Each module will have a 2-hour timeslot for lectures and class discussion.  The lecture will be delivered by the instructor or a guest lecturer who is involved with research related to the module topic.  After the lecture we will have class discussion, followed by student-led critical review of current research papers relevant to the module.  The Canvas learning platform will be used for this course</w:t>
      </w:r>
      <w:r w:rsidRPr="001B6216">
        <w:rPr>
          <w:rStyle w:val="None"/>
          <w:rFonts w:ascii="Times New Roman" w:hAnsi="Times New Roman"/>
          <w:sz w:val="20"/>
          <w:szCs w:val="20"/>
        </w:rPr>
        <w:t>.</w:t>
      </w:r>
    </w:p>
    <w:p w14:paraId="0BA0B5A1" w14:textId="77777777" w:rsidR="002B524C" w:rsidRPr="00414243" w:rsidRDefault="002B524C" w:rsidP="00414243"/>
    <w:p w14:paraId="2F64A560" w14:textId="77777777" w:rsidR="002A4D9B" w:rsidRPr="008651FD" w:rsidRDefault="00FD431C" w:rsidP="00FD431C">
      <w:pPr>
        <w:pStyle w:val="Heading2"/>
      </w:pPr>
      <w:bookmarkStart w:id="5" w:name="_Toc2236262"/>
      <w:r>
        <w:t>Instructor Information</w:t>
      </w:r>
      <w:bookmarkEnd w:id="5"/>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264"/>
        <w:gridCol w:w="2126"/>
        <w:gridCol w:w="1588"/>
        <w:gridCol w:w="1687"/>
        <w:gridCol w:w="1685"/>
      </w:tblGrid>
      <w:tr w:rsidR="00C55CEC" w:rsidRPr="008651FD" w14:paraId="08C1A632" w14:textId="77777777" w:rsidTr="00F55AB7">
        <w:trPr>
          <w:cantSplit/>
          <w:trHeight w:val="167"/>
          <w:tblHeader/>
        </w:trPr>
        <w:tc>
          <w:tcPr>
            <w:tcW w:w="1210"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1137"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849"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F55AB7" w:rsidRDefault="00C55CEC" w:rsidP="00BE2ACC">
            <w:pPr>
              <w:spacing w:after="0"/>
            </w:pPr>
            <w:r w:rsidRPr="00F55AB7">
              <w:t>Office Location</w:t>
            </w:r>
          </w:p>
        </w:tc>
        <w:tc>
          <w:tcPr>
            <w:tcW w:w="901" w:type="pct"/>
            <w:shd w:val="clear" w:color="auto" w:fill="D9D9D9" w:themeFill="background1" w:themeFillShade="D9"/>
            <w:vAlign w:val="center"/>
          </w:tcPr>
          <w:p w14:paraId="013C7E30" w14:textId="77777777" w:rsidR="00C55CEC" w:rsidRPr="00F55AB7" w:rsidRDefault="00C55CEC" w:rsidP="00BE2ACC">
            <w:pPr>
              <w:spacing w:after="0"/>
            </w:pPr>
            <w:r w:rsidRPr="00F55AB7">
              <w:t>Office Hours</w:t>
            </w:r>
          </w:p>
        </w:tc>
      </w:tr>
      <w:tr w:rsidR="00C55CEC" w:rsidRPr="008651FD" w14:paraId="548142B9" w14:textId="77777777" w:rsidTr="00F55AB7">
        <w:trPr>
          <w:cantSplit/>
        </w:trPr>
        <w:tc>
          <w:tcPr>
            <w:tcW w:w="1210" w:type="pct"/>
          </w:tcPr>
          <w:p w14:paraId="08118CD5" w14:textId="0B8D478C" w:rsidR="00C55CEC" w:rsidRPr="008651FD" w:rsidRDefault="00F55AB7" w:rsidP="002348A2">
            <w:pPr>
              <w:rPr>
                <w:sz w:val="22"/>
                <w:szCs w:val="22"/>
              </w:rPr>
            </w:pPr>
            <w:r>
              <w:t>Wendy Vandersteen, PhD</w:t>
            </w:r>
          </w:p>
        </w:tc>
        <w:tc>
          <w:tcPr>
            <w:tcW w:w="1137" w:type="pct"/>
          </w:tcPr>
          <w:p w14:paraId="24547CFE" w14:textId="3B860CE7" w:rsidR="00C55CEC" w:rsidRPr="008651FD" w:rsidRDefault="00F55AB7" w:rsidP="002348A2">
            <w:r>
              <w:t>wvanders@mail.ubc.ca</w:t>
            </w:r>
          </w:p>
        </w:tc>
        <w:tc>
          <w:tcPr>
            <w:tcW w:w="849" w:type="pct"/>
          </w:tcPr>
          <w:p w14:paraId="584BE18B" w14:textId="4A67362A" w:rsidR="00C55CEC" w:rsidRPr="008651FD" w:rsidRDefault="00F55AB7" w:rsidP="002348A2">
            <w:r>
              <w:t>778-628-9179</w:t>
            </w:r>
          </w:p>
        </w:tc>
        <w:tc>
          <w:tcPr>
            <w:tcW w:w="902" w:type="pct"/>
          </w:tcPr>
          <w:p w14:paraId="72187BB4" w14:textId="339BB94F" w:rsidR="00C55CEC" w:rsidRPr="00F55AB7" w:rsidRDefault="00F55AB7" w:rsidP="002348A2">
            <w:r>
              <w:t>N/A</w:t>
            </w:r>
          </w:p>
        </w:tc>
        <w:tc>
          <w:tcPr>
            <w:tcW w:w="901" w:type="pct"/>
          </w:tcPr>
          <w:p w14:paraId="304EA79F" w14:textId="03FE11BF" w:rsidR="00C55CEC" w:rsidRPr="00F55AB7" w:rsidRDefault="00F55AB7" w:rsidP="002348A2">
            <w:r>
              <w:t>As needed</w:t>
            </w:r>
          </w:p>
        </w:tc>
      </w:tr>
    </w:tbl>
    <w:p w14:paraId="5498F9E0" w14:textId="77777777" w:rsidR="004862E2" w:rsidRDefault="004862E2" w:rsidP="004862E2">
      <w:bookmarkStart w:id="6" w:name="_Toc2236263"/>
    </w:p>
    <w:p w14:paraId="0BB6E4DD" w14:textId="6D6FC550" w:rsidR="0061059E" w:rsidRPr="004862E2" w:rsidRDefault="0061059E" w:rsidP="00C55CEC">
      <w:pPr>
        <w:pStyle w:val="Heading3"/>
        <w:rPr>
          <w:color w:val="C00000"/>
          <w:lang w:val="en-US"/>
        </w:rPr>
      </w:pPr>
      <w:r>
        <w:t>Welcome Message</w:t>
      </w:r>
      <w:r w:rsidR="004862E2">
        <w:t xml:space="preserve"> </w:t>
      </w:r>
    </w:p>
    <w:p w14:paraId="0276A7A3" w14:textId="5173317C" w:rsidR="004862E2" w:rsidRDefault="009F5788" w:rsidP="005F77B5">
      <w:r>
        <w:t xml:space="preserve">Welcome to </w:t>
      </w:r>
      <w:r w:rsidR="0038644A">
        <w:t xml:space="preserve">Finfish Genetics and Reproduction, part of the requirements for your Aquaculture Certificate.  </w:t>
      </w:r>
      <w:proofErr w:type="gramStart"/>
      <w:r w:rsidR="0038644A">
        <w:t>I’m</w:t>
      </w:r>
      <w:proofErr w:type="gramEnd"/>
      <w:r w:rsidR="0038644A">
        <w:t xml:space="preserve"> excited to share my </w:t>
      </w:r>
      <w:r w:rsidR="00DB33EA">
        <w:t xml:space="preserve">knowledge of </w:t>
      </w:r>
      <w:proofErr w:type="spellStart"/>
      <w:r w:rsidR="00DB33EA">
        <w:t>broodstock</w:t>
      </w:r>
      <w:proofErr w:type="spellEnd"/>
      <w:r w:rsidR="00DB33EA">
        <w:t xml:space="preserve"> development in aquaculture, and of course my enthusiasm for the industry as a whole.  </w:t>
      </w:r>
      <w:r w:rsidR="0027738D">
        <w:t>You are entering into an industr</w:t>
      </w:r>
      <w:r w:rsidR="00772F1F">
        <w:t xml:space="preserve">y that can offer much potential, and my role is not only to provide you with the tools you need to navigate this industry successfully, but also to help you </w:t>
      </w:r>
      <w:r w:rsidR="00570E59">
        <w:t>define the path that best meets your needs and interests.</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2DCF96A9" w:rsidR="004862E2" w:rsidRDefault="00570E59" w:rsidP="005F77B5">
      <w:r>
        <w:t xml:space="preserve">Email is the best way to contact me.  I will reply as soon as I can.  If you would like an online virtual meeting, </w:t>
      </w:r>
      <w:proofErr w:type="gramStart"/>
      <w:r>
        <w:t>I’m</w:t>
      </w:r>
      <w:proofErr w:type="gramEnd"/>
      <w:r>
        <w:t xml:space="preserve"> also happy to accommodate that as required.</w:t>
      </w:r>
    </w:p>
    <w:p w14:paraId="6AEA986B" w14:textId="77777777" w:rsidR="00414243" w:rsidRPr="004862E2" w:rsidRDefault="00414243" w:rsidP="00414243"/>
    <w:p w14:paraId="44E623A0" w14:textId="77777777" w:rsidR="00BE2ACC" w:rsidRDefault="00BE2ACC" w:rsidP="00FD431C">
      <w:pPr>
        <w:pStyle w:val="Heading2"/>
      </w:pPr>
      <w:bookmarkStart w:id="7" w:name="_Toc2236265"/>
      <w:bookmarkEnd w:id="6"/>
      <w:r>
        <w:t>Course Description</w:t>
      </w:r>
    </w:p>
    <w:p w14:paraId="4BF19A8C" w14:textId="77777777" w:rsidR="00FA3381" w:rsidRDefault="00FA3381" w:rsidP="00FA3381">
      <w:pPr>
        <w:pStyle w:val="Heading3"/>
        <w:rPr>
          <w:lang w:val="en-US"/>
        </w:rPr>
      </w:pPr>
      <w:r>
        <w:rPr>
          <w:lang w:val="en-US"/>
        </w:rPr>
        <w:t>Course Overview</w:t>
      </w:r>
    </w:p>
    <w:p w14:paraId="60079DB6" w14:textId="77777777" w:rsidR="00B4440F" w:rsidRPr="00BC1BB7" w:rsidRDefault="00B4440F" w:rsidP="00B4440F">
      <w:pPr>
        <w:pStyle w:val="WPNormal"/>
        <w:rPr>
          <w:rStyle w:val="None"/>
          <w:rFonts w:ascii="Calibri" w:eastAsia="Times New Roman" w:hAnsi="Calibri" w:cs="Calibri"/>
          <w:sz w:val="20"/>
          <w:szCs w:val="20"/>
        </w:rPr>
      </w:pPr>
      <w:r w:rsidRPr="00BC1BB7">
        <w:rPr>
          <w:rStyle w:val="None"/>
          <w:rFonts w:ascii="Calibri" w:hAnsi="Calibri" w:cs="Calibri"/>
          <w:sz w:val="20"/>
          <w:szCs w:val="20"/>
        </w:rPr>
        <w:t>Production of fish and seafood by aquaculture is required to meet a global supply shortage that is expected to increase substantially in the next 20 years; in fact, it is predicted that global production will double by 2025.  Within this context, aquaculture is a rapidly developing and dynamic industry and better integration of genomic approaches to strain development will facilitate economically and environmentally sustainable growth of the industry.  Relative to other livestock industries, aquaculture diversification is highly skewed such that production of only 30 species provides about 90% of total aquaculture production; this illustrates the high need for application of genetic and reproductive knowledge to the aquaculture industry.</w:t>
      </w:r>
    </w:p>
    <w:p w14:paraId="1F3A4462" w14:textId="77777777" w:rsidR="00B4440F" w:rsidRPr="00BC1BB7" w:rsidRDefault="00B4440F" w:rsidP="00B4440F">
      <w:pPr>
        <w:pStyle w:val="WPNormal"/>
        <w:rPr>
          <w:rStyle w:val="None"/>
          <w:rFonts w:ascii="Calibri" w:eastAsia="Times New Roman" w:hAnsi="Calibri" w:cs="Calibri"/>
          <w:sz w:val="20"/>
          <w:szCs w:val="20"/>
        </w:rPr>
      </w:pPr>
    </w:p>
    <w:p w14:paraId="4B31FA38" w14:textId="77777777" w:rsidR="00B4440F" w:rsidRPr="00BC1BB7" w:rsidRDefault="00B4440F" w:rsidP="00B4440F">
      <w:pPr>
        <w:pStyle w:val="WPNormal"/>
        <w:rPr>
          <w:rStyle w:val="None"/>
          <w:rFonts w:ascii="Calibri" w:eastAsia="Times New Roman" w:hAnsi="Calibri" w:cs="Calibri"/>
          <w:b/>
          <w:bCs/>
          <w:sz w:val="20"/>
          <w:szCs w:val="20"/>
        </w:rPr>
      </w:pPr>
    </w:p>
    <w:p w14:paraId="57591A99" w14:textId="77777777" w:rsidR="00B4440F" w:rsidRPr="00BC1BB7" w:rsidRDefault="00B4440F" w:rsidP="00B4440F">
      <w:pPr>
        <w:pStyle w:val="WPNormal"/>
        <w:numPr>
          <w:ilvl w:val="0"/>
          <w:numId w:val="26"/>
        </w:numPr>
        <w:rPr>
          <w:rFonts w:ascii="Calibri" w:hAnsi="Calibri" w:cs="Calibri"/>
          <w:i/>
          <w:iCs/>
          <w:sz w:val="20"/>
          <w:szCs w:val="20"/>
        </w:rPr>
      </w:pPr>
      <w:r w:rsidRPr="00BC1BB7">
        <w:rPr>
          <w:rFonts w:ascii="Calibri" w:hAnsi="Calibri" w:cs="Calibri"/>
          <w:i/>
          <w:iCs/>
          <w:sz w:val="20"/>
          <w:szCs w:val="20"/>
        </w:rPr>
        <w:lastRenderedPageBreak/>
        <w:t xml:space="preserve">Introduction and General Overview of Genetics </w:t>
      </w:r>
    </w:p>
    <w:p w14:paraId="105E3AC6" w14:textId="77777777" w:rsidR="00B4440F" w:rsidRPr="00BC1BB7" w:rsidRDefault="00B4440F" w:rsidP="00B4440F">
      <w:pPr>
        <w:pStyle w:val="WPNormal"/>
        <w:ind w:left="720"/>
        <w:rPr>
          <w:rStyle w:val="None"/>
          <w:rFonts w:ascii="Calibri" w:eastAsia="Times New Roman" w:hAnsi="Calibri" w:cs="Calibri"/>
          <w:sz w:val="20"/>
          <w:szCs w:val="20"/>
        </w:rPr>
      </w:pPr>
      <w:r w:rsidRPr="00BC1BB7">
        <w:rPr>
          <w:rStyle w:val="None"/>
          <w:rFonts w:ascii="Calibri" w:hAnsi="Calibri" w:cs="Calibri"/>
          <w:sz w:val="20"/>
          <w:szCs w:val="20"/>
        </w:rPr>
        <w:t xml:space="preserve">Students will be introduced to the principles of genetics and provided with an historical overview of genetic applications in aquaculture development.  We will discuss </w:t>
      </w:r>
      <w:proofErr w:type="gramStart"/>
      <w:r w:rsidRPr="00BC1BB7">
        <w:rPr>
          <w:rStyle w:val="None"/>
          <w:rFonts w:ascii="Calibri" w:hAnsi="Calibri" w:cs="Calibri"/>
          <w:sz w:val="20"/>
          <w:szCs w:val="20"/>
        </w:rPr>
        <w:t>current status</w:t>
      </w:r>
      <w:proofErr w:type="gramEnd"/>
      <w:r w:rsidRPr="00BC1BB7">
        <w:rPr>
          <w:rStyle w:val="None"/>
          <w:rFonts w:ascii="Calibri" w:hAnsi="Calibri" w:cs="Calibri"/>
          <w:sz w:val="20"/>
          <w:szCs w:val="20"/>
        </w:rPr>
        <w:t xml:space="preserve"> of finfish strains used in aquaculture and will critically review characteristics that would be desirable for aquaculture production systems.</w:t>
      </w:r>
    </w:p>
    <w:p w14:paraId="0A017395" w14:textId="77777777" w:rsidR="00B4440F" w:rsidRPr="00BC1BB7" w:rsidRDefault="00B4440F" w:rsidP="00B4440F">
      <w:pPr>
        <w:pStyle w:val="WPNormal"/>
        <w:ind w:left="720"/>
        <w:rPr>
          <w:rStyle w:val="None"/>
          <w:rFonts w:ascii="Calibri" w:eastAsia="Times New Roman" w:hAnsi="Calibri" w:cs="Calibri"/>
          <w:sz w:val="20"/>
          <w:szCs w:val="20"/>
        </w:rPr>
      </w:pPr>
    </w:p>
    <w:p w14:paraId="74BBD0B3" w14:textId="77777777" w:rsidR="00B4440F" w:rsidRPr="00BC1BB7" w:rsidRDefault="00B4440F" w:rsidP="00B4440F">
      <w:pPr>
        <w:pStyle w:val="WPNormal"/>
        <w:ind w:left="720"/>
        <w:rPr>
          <w:rStyle w:val="None"/>
          <w:rFonts w:ascii="Calibri" w:eastAsia="Times New Roman" w:hAnsi="Calibri" w:cs="Calibri"/>
          <w:sz w:val="20"/>
          <w:szCs w:val="20"/>
        </w:rPr>
      </w:pPr>
    </w:p>
    <w:p w14:paraId="64425E5C" w14:textId="77777777" w:rsidR="00B4440F" w:rsidRPr="00BC1BB7" w:rsidRDefault="00B4440F" w:rsidP="00B4440F">
      <w:pPr>
        <w:pStyle w:val="WPNormal"/>
        <w:numPr>
          <w:ilvl w:val="0"/>
          <w:numId w:val="26"/>
        </w:numPr>
        <w:rPr>
          <w:rFonts w:ascii="Calibri" w:hAnsi="Calibri" w:cs="Calibri"/>
          <w:sz w:val="20"/>
          <w:szCs w:val="20"/>
        </w:rPr>
      </w:pPr>
      <w:r w:rsidRPr="00BC1BB7">
        <w:rPr>
          <w:rStyle w:val="None"/>
          <w:rFonts w:ascii="Calibri" w:hAnsi="Calibri" w:cs="Calibri"/>
          <w:i/>
          <w:iCs/>
          <w:sz w:val="20"/>
          <w:szCs w:val="20"/>
        </w:rPr>
        <w:t>Tools of the Trade – Understanding Genetic Markers and Gene Expression</w:t>
      </w:r>
    </w:p>
    <w:p w14:paraId="612AC8A9" w14:textId="77777777" w:rsidR="00B4440F" w:rsidRPr="00BC1BB7" w:rsidRDefault="00B4440F" w:rsidP="00B4440F">
      <w:pPr>
        <w:pStyle w:val="WPNormal"/>
        <w:ind w:left="720"/>
        <w:rPr>
          <w:rStyle w:val="None"/>
          <w:rFonts w:ascii="Calibri" w:eastAsia="Times New Roman" w:hAnsi="Calibri" w:cs="Calibri"/>
          <w:sz w:val="20"/>
          <w:szCs w:val="20"/>
        </w:rPr>
      </w:pPr>
      <w:r w:rsidRPr="00BC1BB7">
        <w:rPr>
          <w:rStyle w:val="None"/>
          <w:rFonts w:ascii="Calibri" w:hAnsi="Calibri" w:cs="Calibri"/>
          <w:sz w:val="20"/>
          <w:szCs w:val="20"/>
        </w:rPr>
        <w:t>Students will learn about techniques available for applying genetic concepts to strain development.  This will include discussion on what genetic markers are, how they are detected, and what tools can be developed to enable applying this knowledge for strain development.  We will also discussion gene expression, which is the measurement of the effect of genetic variation.  Students will hear a guest lecture from a scientist involved with a large-scale salmonid genomics project.</w:t>
      </w:r>
    </w:p>
    <w:p w14:paraId="4160E20C" w14:textId="77777777" w:rsidR="00B4440F" w:rsidRPr="00BC1BB7" w:rsidRDefault="00B4440F" w:rsidP="00B4440F">
      <w:pPr>
        <w:pStyle w:val="WPNormal"/>
        <w:ind w:left="720"/>
        <w:rPr>
          <w:rStyle w:val="None"/>
          <w:rFonts w:ascii="Calibri" w:eastAsia="Times New Roman" w:hAnsi="Calibri" w:cs="Calibri"/>
          <w:sz w:val="20"/>
          <w:szCs w:val="20"/>
        </w:rPr>
      </w:pPr>
    </w:p>
    <w:p w14:paraId="3CCCBA5B" w14:textId="77777777" w:rsidR="00B4440F" w:rsidRPr="00BC1BB7" w:rsidRDefault="00B4440F" w:rsidP="00B4440F">
      <w:pPr>
        <w:pStyle w:val="WPNormal"/>
        <w:numPr>
          <w:ilvl w:val="0"/>
          <w:numId w:val="26"/>
        </w:numPr>
        <w:rPr>
          <w:rFonts w:ascii="Calibri" w:hAnsi="Calibri" w:cs="Calibri"/>
          <w:i/>
          <w:iCs/>
          <w:sz w:val="20"/>
          <w:szCs w:val="20"/>
        </w:rPr>
      </w:pPr>
      <w:r w:rsidRPr="00BC1BB7">
        <w:rPr>
          <w:rFonts w:ascii="Calibri" w:hAnsi="Calibri" w:cs="Calibri"/>
          <w:i/>
          <w:iCs/>
          <w:sz w:val="20"/>
          <w:szCs w:val="20"/>
        </w:rPr>
        <w:t>Sex Control and Reproduction of Fish</w:t>
      </w:r>
    </w:p>
    <w:p w14:paraId="1516004A" w14:textId="77777777" w:rsidR="00B4440F" w:rsidRPr="00BC1BB7" w:rsidRDefault="00B4440F" w:rsidP="00B4440F">
      <w:pPr>
        <w:pStyle w:val="WPNormal"/>
        <w:ind w:left="720"/>
        <w:rPr>
          <w:rStyle w:val="None"/>
          <w:rFonts w:ascii="Calibri" w:eastAsia="Times New Roman" w:hAnsi="Calibri" w:cs="Calibri"/>
          <w:sz w:val="20"/>
          <w:szCs w:val="20"/>
        </w:rPr>
      </w:pPr>
      <w:r w:rsidRPr="00BC1BB7">
        <w:rPr>
          <w:rStyle w:val="None"/>
          <w:rFonts w:ascii="Calibri" w:hAnsi="Calibri" w:cs="Calibri"/>
          <w:sz w:val="20"/>
          <w:szCs w:val="20"/>
        </w:rPr>
        <w:t>The ability to manipulate sex and reproduction of finfish is a crucial component of a successful aquaculture operation.  This module will present fundamental knowledge on the genetic basis of sex in finfish, development of the reproduction system, and general behavior and physiology of reproduction.  The module will include discussion on the methods available to control sex and reproduction.</w:t>
      </w:r>
    </w:p>
    <w:p w14:paraId="0815D873" w14:textId="77777777" w:rsidR="00B4440F" w:rsidRPr="00BC1BB7" w:rsidRDefault="00B4440F" w:rsidP="00B4440F">
      <w:pPr>
        <w:pStyle w:val="WPNormal"/>
        <w:ind w:left="720"/>
        <w:rPr>
          <w:rStyle w:val="None"/>
          <w:rFonts w:ascii="Calibri" w:eastAsia="Times New Roman" w:hAnsi="Calibri" w:cs="Calibri"/>
          <w:sz w:val="20"/>
          <w:szCs w:val="20"/>
        </w:rPr>
      </w:pPr>
    </w:p>
    <w:p w14:paraId="491D64C8" w14:textId="77777777" w:rsidR="00B4440F" w:rsidRPr="00BC1BB7" w:rsidRDefault="00B4440F" w:rsidP="00B4440F">
      <w:pPr>
        <w:pStyle w:val="WPNormal"/>
        <w:numPr>
          <w:ilvl w:val="0"/>
          <w:numId w:val="26"/>
        </w:numPr>
        <w:rPr>
          <w:rFonts w:ascii="Calibri" w:hAnsi="Calibri" w:cs="Calibri"/>
          <w:i/>
          <w:iCs/>
          <w:sz w:val="20"/>
          <w:szCs w:val="20"/>
        </w:rPr>
      </w:pPr>
      <w:r w:rsidRPr="00BC1BB7">
        <w:rPr>
          <w:rFonts w:ascii="Calibri" w:hAnsi="Calibri" w:cs="Calibri"/>
          <w:i/>
          <w:iCs/>
          <w:sz w:val="20"/>
          <w:szCs w:val="20"/>
        </w:rPr>
        <w:t>Selection and Domestication</w:t>
      </w:r>
    </w:p>
    <w:p w14:paraId="07B01E8E" w14:textId="77777777" w:rsidR="00B4440F" w:rsidRPr="00BC1BB7" w:rsidRDefault="00B4440F" w:rsidP="00B4440F">
      <w:pPr>
        <w:pStyle w:val="WPNormal"/>
        <w:ind w:left="720"/>
        <w:rPr>
          <w:rStyle w:val="None"/>
          <w:rFonts w:ascii="Calibri" w:eastAsia="Times New Roman" w:hAnsi="Calibri" w:cs="Calibri"/>
          <w:sz w:val="20"/>
          <w:szCs w:val="20"/>
        </w:rPr>
      </w:pPr>
      <w:r w:rsidRPr="00BC1BB7">
        <w:rPr>
          <w:rStyle w:val="None"/>
          <w:rFonts w:ascii="Calibri" w:hAnsi="Calibri" w:cs="Calibri"/>
          <w:sz w:val="20"/>
          <w:szCs w:val="20"/>
        </w:rPr>
        <w:t>The best strains for any agricultural industry, including aquaculture, are typically highly selected and domesticated.  This module will present more in-depth review of finfish selection and will include a guest lecture who does extensive management of selective breeding programs for the aquaculture industry.  Class discussion will focus on how to establish and maintain a selective breeding program and what traits should be the focus for the future of aquaculture.</w:t>
      </w:r>
    </w:p>
    <w:p w14:paraId="0A90F585" w14:textId="77777777" w:rsidR="00B4440F" w:rsidRPr="00BC1BB7" w:rsidRDefault="00B4440F" w:rsidP="00B4440F">
      <w:pPr>
        <w:pStyle w:val="WPNormal"/>
        <w:rPr>
          <w:rStyle w:val="None"/>
          <w:rFonts w:ascii="Calibri" w:eastAsia="Times New Roman" w:hAnsi="Calibri" w:cs="Calibri"/>
          <w:i/>
          <w:iCs/>
          <w:sz w:val="20"/>
          <w:szCs w:val="20"/>
        </w:rPr>
      </w:pPr>
    </w:p>
    <w:p w14:paraId="7627B12D" w14:textId="77777777" w:rsidR="00B4440F" w:rsidRPr="00BC1BB7" w:rsidRDefault="00B4440F" w:rsidP="00B4440F">
      <w:pPr>
        <w:pStyle w:val="WPNormal"/>
        <w:numPr>
          <w:ilvl w:val="0"/>
          <w:numId w:val="26"/>
        </w:numPr>
        <w:rPr>
          <w:rFonts w:ascii="Calibri" w:hAnsi="Calibri" w:cs="Calibri"/>
          <w:i/>
          <w:iCs/>
          <w:sz w:val="20"/>
          <w:szCs w:val="20"/>
        </w:rPr>
      </w:pPr>
      <w:r w:rsidRPr="00BC1BB7">
        <w:rPr>
          <w:rFonts w:ascii="Calibri" w:hAnsi="Calibri" w:cs="Calibri"/>
          <w:i/>
          <w:iCs/>
          <w:sz w:val="20"/>
          <w:szCs w:val="20"/>
        </w:rPr>
        <w:t xml:space="preserve">Genetic Engineering  </w:t>
      </w:r>
    </w:p>
    <w:p w14:paraId="6BC4FE96" w14:textId="77777777" w:rsidR="00B4440F" w:rsidRPr="00BC1BB7" w:rsidRDefault="00B4440F" w:rsidP="00B4440F">
      <w:pPr>
        <w:pStyle w:val="WPNormal"/>
        <w:ind w:left="720"/>
        <w:rPr>
          <w:rStyle w:val="None"/>
          <w:rFonts w:ascii="Calibri" w:eastAsia="Times New Roman" w:hAnsi="Calibri" w:cs="Calibri"/>
          <w:sz w:val="20"/>
          <w:szCs w:val="20"/>
        </w:rPr>
      </w:pPr>
      <w:r w:rsidRPr="00BC1BB7">
        <w:rPr>
          <w:rStyle w:val="None"/>
          <w:rFonts w:ascii="Calibri" w:hAnsi="Calibri" w:cs="Calibri"/>
          <w:sz w:val="20"/>
          <w:szCs w:val="20"/>
        </w:rPr>
        <w:t>As more genomic sequencing information on fish is obtained, along with better understanding of how the genes interact to control physiological systems within the animal, we can develop methods to engineer strains with specific desired traits.  This is a rapidly developing area of aquaculture and student will be guided to develop their ability to critically assess novel approaches and directions for strain development.  Students will have a guest lecturer discuss the development of a transgenic salmon strain and the extensive risk assessment done to outline the uncertainty of threat posed by escape of these or similar strains into the wild.  Class discussion will continue with a critical analysis of the costs and benefits of genetic engineering and social acceptance of the technology.  The course will wrap up with student presentations on their version of the ideal aquaculture strain.</w:t>
      </w:r>
    </w:p>
    <w:p w14:paraId="520C1499" w14:textId="77777777" w:rsidR="00FA3381" w:rsidRPr="00F5259E" w:rsidRDefault="00FA3381" w:rsidP="00FA3381"/>
    <w:p w14:paraId="347F201A" w14:textId="77777777" w:rsidR="00BE2ACC" w:rsidRDefault="00BE2ACC" w:rsidP="00BE2ACC">
      <w:pPr>
        <w:pStyle w:val="Heading3"/>
        <w:rPr>
          <w:lang w:val="en-US"/>
        </w:rPr>
      </w:pPr>
      <w:r w:rsidRPr="004C34C6">
        <w:rPr>
          <w:lang w:val="en-US"/>
        </w:rPr>
        <w:t>Learning Outcomes</w:t>
      </w:r>
    </w:p>
    <w:p w14:paraId="394F3B44" w14:textId="77777777" w:rsidR="00C06D0E" w:rsidRPr="00BC1BB7" w:rsidRDefault="00C06D0E" w:rsidP="00C06D0E">
      <w:pPr>
        <w:pStyle w:val="WPNormal"/>
        <w:rPr>
          <w:rStyle w:val="None"/>
          <w:rFonts w:ascii="Calibri" w:eastAsia="Times New Roman" w:hAnsi="Calibri" w:cs="Calibri"/>
          <w:sz w:val="20"/>
          <w:szCs w:val="20"/>
        </w:rPr>
      </w:pPr>
      <w:r w:rsidRPr="00BC1BB7">
        <w:rPr>
          <w:rStyle w:val="None"/>
          <w:rFonts w:ascii="Calibri" w:hAnsi="Calibri" w:cs="Calibri"/>
          <w:sz w:val="20"/>
          <w:szCs w:val="20"/>
        </w:rPr>
        <w:t>After completing this course, students should be able to:</w:t>
      </w:r>
    </w:p>
    <w:p w14:paraId="2FA169F5" w14:textId="77777777" w:rsidR="00C06D0E" w:rsidRPr="00BC1BB7" w:rsidRDefault="00C06D0E" w:rsidP="00C06D0E">
      <w:pPr>
        <w:pStyle w:val="WPNormal"/>
        <w:numPr>
          <w:ilvl w:val="0"/>
          <w:numId w:val="21"/>
        </w:numPr>
        <w:rPr>
          <w:rFonts w:ascii="Calibri" w:hAnsi="Calibri" w:cs="Calibri"/>
          <w:sz w:val="20"/>
          <w:szCs w:val="20"/>
        </w:rPr>
      </w:pPr>
      <w:r w:rsidRPr="00BC1BB7">
        <w:rPr>
          <w:rFonts w:ascii="Calibri" w:hAnsi="Calibri" w:cs="Calibri"/>
          <w:sz w:val="20"/>
          <w:szCs w:val="20"/>
        </w:rPr>
        <w:t xml:space="preserve">Differentiate the genetic basis of traits in finfish, including control of sex and </w:t>
      </w:r>
      <w:proofErr w:type="gramStart"/>
      <w:r w:rsidRPr="00BC1BB7">
        <w:rPr>
          <w:rFonts w:ascii="Calibri" w:hAnsi="Calibri" w:cs="Calibri"/>
          <w:sz w:val="20"/>
          <w:szCs w:val="20"/>
        </w:rPr>
        <w:t>reproduction;</w:t>
      </w:r>
      <w:proofErr w:type="gramEnd"/>
      <w:r w:rsidRPr="00BC1BB7">
        <w:rPr>
          <w:rFonts w:ascii="Calibri" w:hAnsi="Calibri" w:cs="Calibri"/>
          <w:sz w:val="20"/>
          <w:szCs w:val="20"/>
        </w:rPr>
        <w:t xml:space="preserve"> </w:t>
      </w:r>
    </w:p>
    <w:p w14:paraId="5E6AB611" w14:textId="77777777" w:rsidR="00C06D0E" w:rsidRPr="00BC1BB7" w:rsidRDefault="00C06D0E" w:rsidP="00C06D0E">
      <w:pPr>
        <w:pStyle w:val="WPNormal"/>
        <w:numPr>
          <w:ilvl w:val="0"/>
          <w:numId w:val="21"/>
        </w:numPr>
        <w:rPr>
          <w:rFonts w:ascii="Calibri" w:hAnsi="Calibri" w:cs="Calibri"/>
          <w:sz w:val="20"/>
          <w:szCs w:val="20"/>
        </w:rPr>
      </w:pPr>
      <w:r w:rsidRPr="00BC1BB7">
        <w:rPr>
          <w:rFonts w:ascii="Calibri" w:hAnsi="Calibri" w:cs="Calibri"/>
          <w:sz w:val="20"/>
          <w:szCs w:val="20"/>
        </w:rPr>
        <w:t xml:space="preserve">Evaluate traditional and current genetic and genomic approaches to aquaculture </w:t>
      </w:r>
      <w:proofErr w:type="gramStart"/>
      <w:r w:rsidRPr="00BC1BB7">
        <w:rPr>
          <w:rFonts w:ascii="Calibri" w:hAnsi="Calibri" w:cs="Calibri"/>
          <w:sz w:val="20"/>
          <w:szCs w:val="20"/>
        </w:rPr>
        <w:t>development;</w:t>
      </w:r>
      <w:proofErr w:type="gramEnd"/>
    </w:p>
    <w:p w14:paraId="3ED790C1" w14:textId="77777777" w:rsidR="00C06D0E" w:rsidRPr="00BC1BB7" w:rsidRDefault="00C06D0E" w:rsidP="00C06D0E">
      <w:pPr>
        <w:pStyle w:val="WPNormal"/>
        <w:numPr>
          <w:ilvl w:val="0"/>
          <w:numId w:val="21"/>
        </w:numPr>
        <w:rPr>
          <w:rFonts w:ascii="Calibri" w:hAnsi="Calibri" w:cs="Calibri"/>
          <w:sz w:val="20"/>
          <w:szCs w:val="20"/>
        </w:rPr>
      </w:pPr>
      <w:r w:rsidRPr="00BC1BB7">
        <w:rPr>
          <w:rFonts w:ascii="Calibri" w:hAnsi="Calibri" w:cs="Calibri"/>
          <w:sz w:val="20"/>
          <w:szCs w:val="20"/>
        </w:rPr>
        <w:t xml:space="preserve">Identify traits that would improve production within a defined system from both an economically and environmentally sustainable </w:t>
      </w:r>
      <w:proofErr w:type="gramStart"/>
      <w:r w:rsidRPr="00BC1BB7">
        <w:rPr>
          <w:rFonts w:ascii="Calibri" w:hAnsi="Calibri" w:cs="Calibri"/>
          <w:sz w:val="20"/>
          <w:szCs w:val="20"/>
        </w:rPr>
        <w:t>perspective;</w:t>
      </w:r>
      <w:proofErr w:type="gramEnd"/>
    </w:p>
    <w:p w14:paraId="6ED90923" w14:textId="77777777" w:rsidR="00C06D0E" w:rsidRPr="00BC1BB7" w:rsidRDefault="00C06D0E" w:rsidP="00C06D0E">
      <w:pPr>
        <w:pStyle w:val="WPNormal"/>
        <w:numPr>
          <w:ilvl w:val="0"/>
          <w:numId w:val="21"/>
        </w:numPr>
        <w:rPr>
          <w:rFonts w:ascii="Calibri" w:hAnsi="Calibri" w:cs="Calibri"/>
          <w:sz w:val="20"/>
          <w:szCs w:val="20"/>
        </w:rPr>
      </w:pPr>
      <w:r w:rsidRPr="00BC1BB7">
        <w:rPr>
          <w:rFonts w:ascii="Calibri" w:hAnsi="Calibri" w:cs="Calibri"/>
          <w:sz w:val="20"/>
          <w:szCs w:val="20"/>
        </w:rPr>
        <w:t xml:space="preserve">Evaluate and apply the basic requirements for developing and managing a selective breeding program for the aquaculture </w:t>
      </w:r>
      <w:proofErr w:type="gramStart"/>
      <w:r w:rsidRPr="00BC1BB7">
        <w:rPr>
          <w:rFonts w:ascii="Calibri" w:hAnsi="Calibri" w:cs="Calibri"/>
          <w:sz w:val="20"/>
          <w:szCs w:val="20"/>
        </w:rPr>
        <w:t>industry;</w:t>
      </w:r>
      <w:proofErr w:type="gramEnd"/>
    </w:p>
    <w:p w14:paraId="1740796E" w14:textId="77777777" w:rsidR="00C06D0E" w:rsidRPr="00BC1BB7" w:rsidRDefault="00C06D0E" w:rsidP="00C06D0E">
      <w:pPr>
        <w:pStyle w:val="WPNormal"/>
        <w:numPr>
          <w:ilvl w:val="0"/>
          <w:numId w:val="21"/>
        </w:numPr>
        <w:rPr>
          <w:rFonts w:ascii="Calibri" w:hAnsi="Calibri" w:cs="Calibri"/>
          <w:sz w:val="20"/>
          <w:szCs w:val="20"/>
        </w:rPr>
      </w:pPr>
      <w:r w:rsidRPr="00BC1BB7">
        <w:rPr>
          <w:rFonts w:ascii="Calibri" w:hAnsi="Calibri" w:cs="Calibri"/>
          <w:sz w:val="20"/>
          <w:szCs w:val="20"/>
        </w:rPr>
        <w:t>Develop the ability to critically assess this rapidly evolving science and its application to aquaculture.</w:t>
      </w:r>
    </w:p>
    <w:p w14:paraId="36FE106D" w14:textId="77777777" w:rsidR="00FF6C4B" w:rsidRDefault="00FF6C4B" w:rsidP="00BE2ACC">
      <w:pPr>
        <w:pStyle w:val="Heading3"/>
        <w:rPr>
          <w:lang w:val="en-US"/>
        </w:rPr>
      </w:pPr>
      <w:r w:rsidRPr="008C20FD">
        <w:rPr>
          <w:lang w:val="en-US"/>
        </w:rPr>
        <w:lastRenderedPageBreak/>
        <w:t>Learning Activities</w:t>
      </w:r>
    </w:p>
    <w:p w14:paraId="77BA125F" w14:textId="44647B6D" w:rsidR="002B524C" w:rsidRDefault="00B63561" w:rsidP="002B524C">
      <w:pPr>
        <w:rPr>
          <w:lang w:val="en-US"/>
        </w:rPr>
      </w:pPr>
      <w:r>
        <w:rPr>
          <w:lang w:val="en-US"/>
        </w:rPr>
        <w:t>This material will be delivered through live virtual sessions</w:t>
      </w:r>
      <w:r w:rsidR="00F91FC6">
        <w:rPr>
          <w:lang w:val="en-US"/>
        </w:rPr>
        <w:t xml:space="preserve">, with opportunity for in-class and online discussion.  Students will be expected to participate in discussions as required.  </w:t>
      </w:r>
      <w:r w:rsidR="005024FB">
        <w:rPr>
          <w:lang w:val="en-US"/>
        </w:rPr>
        <w:t xml:space="preserve">There will also be a quiz, individual </w:t>
      </w:r>
      <w:proofErr w:type="gramStart"/>
      <w:r w:rsidR="005024FB">
        <w:rPr>
          <w:lang w:val="en-US"/>
        </w:rPr>
        <w:t>assignments</w:t>
      </w:r>
      <w:proofErr w:type="gramEnd"/>
      <w:r w:rsidR="005024FB">
        <w:rPr>
          <w:lang w:val="en-US"/>
        </w:rPr>
        <w:t xml:space="preserve"> and an in-class presentation.  </w:t>
      </w: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r w:rsidRPr="00FD169A">
        <w:rPr>
          <w:lang w:val="en-US"/>
        </w:rPr>
        <w:t>Learning Materials</w:t>
      </w:r>
    </w:p>
    <w:p w14:paraId="5391A395" w14:textId="77777777" w:rsidR="00C45CED" w:rsidRPr="00BC1BB7" w:rsidRDefault="00C45CED" w:rsidP="00C45CED">
      <w:pPr>
        <w:pStyle w:val="WPNormal"/>
        <w:rPr>
          <w:rStyle w:val="None"/>
          <w:rFonts w:ascii="Calibri" w:eastAsia="Times New Roman" w:hAnsi="Calibri" w:cs="Calibri"/>
          <w:b/>
          <w:bCs/>
          <w:sz w:val="20"/>
          <w:szCs w:val="20"/>
          <w:u w:val="single"/>
        </w:rPr>
      </w:pPr>
      <w:r w:rsidRPr="00BC1BB7">
        <w:rPr>
          <w:rStyle w:val="None"/>
          <w:rFonts w:ascii="Calibri" w:hAnsi="Calibri" w:cs="Calibri"/>
          <w:b/>
          <w:bCs/>
          <w:sz w:val="20"/>
          <w:szCs w:val="20"/>
          <w:u w:val="single"/>
        </w:rPr>
        <w:t>Required Readings</w:t>
      </w:r>
    </w:p>
    <w:p w14:paraId="153D6306" w14:textId="77777777" w:rsidR="00C45CED" w:rsidRPr="00BC1BB7" w:rsidRDefault="00C45CED" w:rsidP="00C45CED">
      <w:pPr>
        <w:pStyle w:val="WPNormal"/>
        <w:rPr>
          <w:rStyle w:val="None"/>
          <w:rFonts w:ascii="Calibri" w:eastAsia="Times New Roman" w:hAnsi="Calibri" w:cs="Calibri"/>
          <w:sz w:val="20"/>
          <w:szCs w:val="20"/>
        </w:rPr>
      </w:pPr>
    </w:p>
    <w:p w14:paraId="6F0C9320" w14:textId="77777777" w:rsidR="00C45CED" w:rsidRPr="00BC1BB7" w:rsidRDefault="00C45CED" w:rsidP="00C45CED">
      <w:pPr>
        <w:pStyle w:val="WPNormal"/>
        <w:rPr>
          <w:rStyle w:val="None"/>
          <w:rFonts w:ascii="Calibri" w:eastAsia="Times New Roman" w:hAnsi="Calibri" w:cs="Calibri"/>
          <w:sz w:val="20"/>
          <w:szCs w:val="20"/>
        </w:rPr>
      </w:pPr>
      <w:r w:rsidRPr="00BC1BB7">
        <w:rPr>
          <w:rStyle w:val="None"/>
          <w:rFonts w:ascii="Calibri" w:hAnsi="Calibri" w:cs="Calibri"/>
          <w:sz w:val="20"/>
          <w:szCs w:val="20"/>
        </w:rPr>
        <w:t xml:space="preserve">All required readings will be available and accessible online. </w:t>
      </w:r>
    </w:p>
    <w:p w14:paraId="50752A6F" w14:textId="77777777" w:rsidR="00C45CED" w:rsidRPr="00BC1BB7" w:rsidRDefault="00C45CED" w:rsidP="00C45CED">
      <w:pPr>
        <w:pStyle w:val="WPNormal"/>
        <w:rPr>
          <w:rStyle w:val="None"/>
          <w:rFonts w:ascii="Calibri" w:eastAsia="Times New Roman" w:hAnsi="Calibri" w:cs="Calibri"/>
          <w:sz w:val="20"/>
          <w:szCs w:val="20"/>
        </w:rPr>
      </w:pPr>
    </w:p>
    <w:p w14:paraId="39E9CF3F" w14:textId="77777777" w:rsidR="00C45CED" w:rsidRPr="00BC1BB7" w:rsidRDefault="00C45CED" w:rsidP="00C45CED">
      <w:pPr>
        <w:pStyle w:val="WPNormal"/>
        <w:numPr>
          <w:ilvl w:val="0"/>
          <w:numId w:val="23"/>
        </w:numPr>
        <w:rPr>
          <w:rFonts w:ascii="Calibri" w:hAnsi="Calibri" w:cs="Calibri"/>
          <w:b/>
          <w:bCs/>
          <w:sz w:val="20"/>
          <w:szCs w:val="20"/>
        </w:rPr>
      </w:pPr>
      <w:r w:rsidRPr="00BC1BB7">
        <w:rPr>
          <w:rFonts w:ascii="Calibri" w:hAnsi="Calibri" w:cs="Calibri"/>
          <w:b/>
          <w:bCs/>
          <w:sz w:val="20"/>
          <w:szCs w:val="20"/>
        </w:rPr>
        <w:t xml:space="preserve">Abernathy JW, </w:t>
      </w:r>
      <w:proofErr w:type="spellStart"/>
      <w:r w:rsidRPr="00BC1BB7">
        <w:rPr>
          <w:rFonts w:ascii="Calibri" w:hAnsi="Calibri" w:cs="Calibri"/>
          <w:b/>
          <w:bCs/>
          <w:sz w:val="20"/>
          <w:szCs w:val="20"/>
        </w:rPr>
        <w:t>Peatman</w:t>
      </w:r>
      <w:proofErr w:type="spellEnd"/>
      <w:r w:rsidRPr="00BC1BB7">
        <w:rPr>
          <w:rFonts w:ascii="Calibri" w:hAnsi="Calibri" w:cs="Calibri"/>
          <w:b/>
          <w:bCs/>
          <w:sz w:val="20"/>
          <w:szCs w:val="20"/>
        </w:rPr>
        <w:t xml:space="preserve"> E, Liu Z. 2010. Basic aquaculture genetics. SRAC Publication No. 5001.  </w:t>
      </w:r>
    </w:p>
    <w:p w14:paraId="59C08571" w14:textId="77777777" w:rsidR="00C45CED" w:rsidRPr="00BC1BB7" w:rsidRDefault="00C45CED" w:rsidP="00C45CED">
      <w:pPr>
        <w:pStyle w:val="WPNormal"/>
        <w:numPr>
          <w:ilvl w:val="0"/>
          <w:numId w:val="23"/>
        </w:numPr>
        <w:rPr>
          <w:rFonts w:ascii="Calibri" w:hAnsi="Calibri" w:cs="Calibri"/>
          <w:b/>
          <w:bCs/>
          <w:sz w:val="20"/>
          <w:szCs w:val="20"/>
        </w:rPr>
      </w:pPr>
      <w:r w:rsidRPr="00BC1BB7">
        <w:rPr>
          <w:rFonts w:ascii="Calibri" w:hAnsi="Calibri" w:cs="Calibri"/>
          <w:b/>
          <w:bCs/>
          <w:sz w:val="20"/>
          <w:szCs w:val="20"/>
        </w:rPr>
        <w:t xml:space="preserve">Georges M, </w:t>
      </w:r>
      <w:proofErr w:type="spellStart"/>
      <w:r w:rsidRPr="00BC1BB7">
        <w:rPr>
          <w:rFonts w:ascii="Calibri" w:hAnsi="Calibri" w:cs="Calibri"/>
          <w:b/>
          <w:bCs/>
          <w:sz w:val="20"/>
          <w:szCs w:val="20"/>
        </w:rPr>
        <w:t>Charlier</w:t>
      </w:r>
      <w:proofErr w:type="spellEnd"/>
      <w:r w:rsidRPr="00BC1BB7">
        <w:rPr>
          <w:rFonts w:ascii="Calibri" w:hAnsi="Calibri" w:cs="Calibri"/>
          <w:b/>
          <w:bCs/>
          <w:sz w:val="20"/>
          <w:szCs w:val="20"/>
        </w:rPr>
        <w:t xml:space="preserve"> C, Hayes B. 2019. Harnessing genomic information for livestock improvement. Nature Reviews Genetics 20: 135-156.</w:t>
      </w:r>
    </w:p>
    <w:p w14:paraId="49CC2CEC" w14:textId="77777777" w:rsidR="00C45CED" w:rsidRPr="00BC1BB7" w:rsidRDefault="00C45CED" w:rsidP="00C45CED">
      <w:pPr>
        <w:pStyle w:val="WPNormal"/>
        <w:numPr>
          <w:ilvl w:val="0"/>
          <w:numId w:val="23"/>
        </w:numPr>
        <w:rPr>
          <w:rFonts w:ascii="Calibri" w:hAnsi="Calibri" w:cs="Calibri"/>
          <w:b/>
          <w:bCs/>
          <w:sz w:val="20"/>
          <w:szCs w:val="20"/>
        </w:rPr>
      </w:pPr>
      <w:proofErr w:type="spellStart"/>
      <w:r w:rsidRPr="00BC1BB7">
        <w:rPr>
          <w:rFonts w:ascii="Calibri" w:hAnsi="Calibri" w:cs="Calibri"/>
          <w:b/>
          <w:bCs/>
          <w:sz w:val="20"/>
          <w:szCs w:val="20"/>
        </w:rPr>
        <w:t>Piferrer</w:t>
      </w:r>
      <w:proofErr w:type="spellEnd"/>
      <w:r w:rsidRPr="00BC1BB7">
        <w:rPr>
          <w:rFonts w:ascii="Calibri" w:hAnsi="Calibri" w:cs="Calibri"/>
          <w:b/>
          <w:bCs/>
          <w:sz w:val="20"/>
          <w:szCs w:val="20"/>
        </w:rPr>
        <w:t xml:space="preserve"> F, Martinez P, </w:t>
      </w:r>
      <w:proofErr w:type="spellStart"/>
      <w:r w:rsidRPr="00BC1BB7">
        <w:rPr>
          <w:rFonts w:ascii="Calibri" w:hAnsi="Calibri" w:cs="Calibri"/>
          <w:b/>
          <w:bCs/>
          <w:sz w:val="20"/>
          <w:szCs w:val="20"/>
        </w:rPr>
        <w:t>Ribas</w:t>
      </w:r>
      <w:proofErr w:type="spellEnd"/>
      <w:r w:rsidRPr="00BC1BB7">
        <w:rPr>
          <w:rFonts w:ascii="Calibri" w:hAnsi="Calibri" w:cs="Calibri"/>
          <w:b/>
          <w:bCs/>
          <w:sz w:val="20"/>
          <w:szCs w:val="20"/>
        </w:rPr>
        <w:t xml:space="preserve"> L, Vinas A, Diaz N. 2012. Functional genomic analysis of sex determination and differentiation in teleost fish. In: Functional Genomics in Aquaculture, Edited by </w:t>
      </w:r>
      <w:proofErr w:type="spellStart"/>
      <w:r w:rsidRPr="00BC1BB7">
        <w:rPr>
          <w:rFonts w:ascii="Calibri" w:hAnsi="Calibri" w:cs="Calibri"/>
          <w:b/>
          <w:bCs/>
          <w:sz w:val="20"/>
          <w:szCs w:val="20"/>
        </w:rPr>
        <w:t>Saroglia</w:t>
      </w:r>
      <w:proofErr w:type="spellEnd"/>
      <w:r w:rsidRPr="00BC1BB7">
        <w:rPr>
          <w:rFonts w:ascii="Calibri" w:hAnsi="Calibri" w:cs="Calibri"/>
          <w:b/>
          <w:bCs/>
          <w:sz w:val="20"/>
          <w:szCs w:val="20"/>
        </w:rPr>
        <w:t xml:space="preserve"> M and Zhanjiang L. Wiley &amp; Sons, Inc.</w:t>
      </w:r>
    </w:p>
    <w:p w14:paraId="38E430A7" w14:textId="77777777" w:rsidR="00C45CED" w:rsidRPr="00BC1BB7" w:rsidRDefault="00C45CED" w:rsidP="00C45CED">
      <w:pPr>
        <w:pStyle w:val="WPNormal"/>
        <w:numPr>
          <w:ilvl w:val="0"/>
          <w:numId w:val="23"/>
        </w:numPr>
        <w:rPr>
          <w:rFonts w:ascii="Calibri" w:hAnsi="Calibri" w:cs="Calibri"/>
          <w:b/>
          <w:bCs/>
          <w:sz w:val="20"/>
          <w:szCs w:val="20"/>
        </w:rPr>
      </w:pPr>
      <w:proofErr w:type="spellStart"/>
      <w:r w:rsidRPr="00BC1BB7">
        <w:rPr>
          <w:rFonts w:ascii="Calibri" w:hAnsi="Calibri" w:cs="Calibri"/>
          <w:b/>
          <w:bCs/>
          <w:sz w:val="20"/>
          <w:szCs w:val="20"/>
        </w:rPr>
        <w:t>Teletchea</w:t>
      </w:r>
      <w:proofErr w:type="spellEnd"/>
      <w:r w:rsidRPr="00BC1BB7">
        <w:rPr>
          <w:rFonts w:ascii="Calibri" w:hAnsi="Calibri" w:cs="Calibri"/>
          <w:b/>
          <w:bCs/>
          <w:sz w:val="20"/>
          <w:szCs w:val="20"/>
        </w:rPr>
        <w:t xml:space="preserve"> F, Fontaine P. 2012. Levels of domestication in fish: implications for the sustainable future of aquaculture. Fish and Fisheries 15: 181-195.</w:t>
      </w:r>
    </w:p>
    <w:p w14:paraId="252B451F" w14:textId="77777777" w:rsidR="00C45CED" w:rsidRPr="00BC1BB7" w:rsidRDefault="00C45CED" w:rsidP="00C45CED">
      <w:pPr>
        <w:pStyle w:val="WPNormal"/>
        <w:numPr>
          <w:ilvl w:val="0"/>
          <w:numId w:val="23"/>
        </w:numPr>
        <w:rPr>
          <w:rFonts w:ascii="Calibri" w:hAnsi="Calibri" w:cs="Calibri"/>
          <w:b/>
          <w:bCs/>
          <w:sz w:val="20"/>
          <w:szCs w:val="20"/>
        </w:rPr>
      </w:pPr>
      <w:proofErr w:type="spellStart"/>
      <w:r w:rsidRPr="00BC1BB7">
        <w:rPr>
          <w:rFonts w:ascii="Calibri" w:hAnsi="Calibri" w:cs="Calibri"/>
          <w:b/>
          <w:bCs/>
          <w:sz w:val="20"/>
          <w:szCs w:val="20"/>
        </w:rPr>
        <w:t>Sonesson</w:t>
      </w:r>
      <w:proofErr w:type="spellEnd"/>
      <w:r w:rsidRPr="00BC1BB7">
        <w:rPr>
          <w:rFonts w:ascii="Calibri" w:hAnsi="Calibri" w:cs="Calibri"/>
          <w:b/>
          <w:bCs/>
          <w:sz w:val="20"/>
          <w:szCs w:val="20"/>
        </w:rPr>
        <w:t xml:space="preserve"> AK, </w:t>
      </w:r>
      <w:proofErr w:type="spellStart"/>
      <w:r w:rsidRPr="00BC1BB7">
        <w:rPr>
          <w:rFonts w:ascii="Calibri" w:hAnsi="Calibri" w:cs="Calibri"/>
          <w:b/>
          <w:bCs/>
          <w:sz w:val="20"/>
          <w:szCs w:val="20"/>
        </w:rPr>
        <w:t>Odegard</w:t>
      </w:r>
      <w:proofErr w:type="spellEnd"/>
      <w:r w:rsidRPr="00BC1BB7">
        <w:rPr>
          <w:rFonts w:ascii="Calibri" w:hAnsi="Calibri" w:cs="Calibri"/>
          <w:b/>
          <w:bCs/>
          <w:sz w:val="20"/>
          <w:szCs w:val="20"/>
        </w:rPr>
        <w:t xml:space="preserve"> J. Mating structures for genomic selection breeding programs in aquaculture. In: Genetics, Selection, Evolution. Vol 48. London.</w:t>
      </w:r>
    </w:p>
    <w:p w14:paraId="0807708F" w14:textId="77777777" w:rsidR="00C45CED" w:rsidRPr="00BC1BB7" w:rsidRDefault="00C45CED" w:rsidP="00C45CED">
      <w:pPr>
        <w:pStyle w:val="WPNormal"/>
        <w:numPr>
          <w:ilvl w:val="0"/>
          <w:numId w:val="23"/>
        </w:numPr>
        <w:rPr>
          <w:rFonts w:ascii="Calibri" w:hAnsi="Calibri" w:cs="Calibri"/>
          <w:b/>
          <w:bCs/>
          <w:sz w:val="20"/>
          <w:szCs w:val="20"/>
        </w:rPr>
      </w:pPr>
      <w:proofErr w:type="spellStart"/>
      <w:r w:rsidRPr="00BC1BB7">
        <w:rPr>
          <w:rFonts w:ascii="Calibri" w:hAnsi="Calibri" w:cs="Calibri"/>
          <w:b/>
          <w:bCs/>
          <w:sz w:val="20"/>
          <w:szCs w:val="20"/>
        </w:rPr>
        <w:t>Gjedrem</w:t>
      </w:r>
      <w:proofErr w:type="spellEnd"/>
      <w:r w:rsidRPr="00BC1BB7">
        <w:rPr>
          <w:rFonts w:ascii="Calibri" w:hAnsi="Calibri" w:cs="Calibri"/>
          <w:b/>
          <w:bCs/>
          <w:sz w:val="20"/>
          <w:szCs w:val="20"/>
        </w:rPr>
        <w:t xml:space="preserve"> T. 2005. Selection and Breeding Programs in Aquaculture. Springer.  </w:t>
      </w:r>
    </w:p>
    <w:p w14:paraId="2075DD91" w14:textId="77777777" w:rsidR="00C45CED" w:rsidRPr="00BC1BB7" w:rsidRDefault="00C45CED" w:rsidP="00C45CED">
      <w:pPr>
        <w:pStyle w:val="WPNormal"/>
        <w:numPr>
          <w:ilvl w:val="0"/>
          <w:numId w:val="23"/>
        </w:numPr>
        <w:rPr>
          <w:rFonts w:ascii="Calibri" w:hAnsi="Calibri" w:cs="Calibri"/>
          <w:b/>
          <w:bCs/>
          <w:sz w:val="20"/>
          <w:szCs w:val="20"/>
        </w:rPr>
      </w:pPr>
      <w:proofErr w:type="spellStart"/>
      <w:r w:rsidRPr="00BC1BB7">
        <w:rPr>
          <w:rFonts w:ascii="Calibri" w:hAnsi="Calibri" w:cs="Calibri"/>
          <w:b/>
          <w:bCs/>
          <w:sz w:val="20"/>
          <w:szCs w:val="20"/>
        </w:rPr>
        <w:t>Clauesen</w:t>
      </w:r>
      <w:proofErr w:type="spellEnd"/>
      <w:r w:rsidRPr="00BC1BB7">
        <w:rPr>
          <w:rFonts w:ascii="Calibri" w:hAnsi="Calibri" w:cs="Calibri"/>
          <w:b/>
          <w:bCs/>
          <w:sz w:val="20"/>
          <w:szCs w:val="20"/>
        </w:rPr>
        <w:t xml:space="preserve"> R, Longo SF, Clark B. 2016. Fishy business: genetic engineering and salmon aquaculture. In: Genetically Modified Organisms in Food. II Social and Economic Context of GMO Foods. </w:t>
      </w:r>
    </w:p>
    <w:p w14:paraId="64C1BF51" w14:textId="77777777" w:rsidR="00C45CED" w:rsidRPr="00BC1BB7" w:rsidRDefault="00C45CED" w:rsidP="00C45CED">
      <w:pPr>
        <w:pStyle w:val="WPNormal"/>
        <w:ind w:left="720"/>
        <w:rPr>
          <w:rStyle w:val="None"/>
          <w:rFonts w:ascii="Calibri" w:eastAsia="Times New Roman" w:hAnsi="Calibri" w:cs="Calibri"/>
          <w:b/>
          <w:bCs/>
          <w:sz w:val="20"/>
          <w:szCs w:val="20"/>
        </w:rPr>
      </w:pPr>
    </w:p>
    <w:p w14:paraId="77D576BD" w14:textId="77777777" w:rsidR="00C45CED" w:rsidRPr="00BC1BB7" w:rsidRDefault="00C45CED" w:rsidP="00C45CED">
      <w:pPr>
        <w:pStyle w:val="WPNormal"/>
        <w:rPr>
          <w:rStyle w:val="None"/>
          <w:rFonts w:ascii="Calibri" w:eastAsia="Times New Roman" w:hAnsi="Calibri" w:cs="Calibri"/>
          <w:b/>
          <w:bCs/>
          <w:sz w:val="20"/>
          <w:szCs w:val="20"/>
        </w:rPr>
      </w:pPr>
    </w:p>
    <w:p w14:paraId="53393B94" w14:textId="77777777" w:rsidR="00C45CED" w:rsidRPr="00BC1BB7" w:rsidRDefault="00C45CED" w:rsidP="00C45CED">
      <w:pPr>
        <w:pStyle w:val="WPNormal"/>
        <w:rPr>
          <w:rStyle w:val="None"/>
          <w:rFonts w:ascii="Calibri" w:eastAsia="Times New Roman" w:hAnsi="Calibri" w:cs="Calibri"/>
          <w:b/>
          <w:bCs/>
          <w:sz w:val="20"/>
          <w:szCs w:val="20"/>
          <w:u w:val="single"/>
        </w:rPr>
      </w:pPr>
      <w:r w:rsidRPr="00BC1BB7">
        <w:rPr>
          <w:rStyle w:val="None"/>
          <w:rFonts w:ascii="Calibri" w:hAnsi="Calibri" w:cs="Calibri"/>
          <w:b/>
          <w:bCs/>
          <w:sz w:val="20"/>
          <w:szCs w:val="20"/>
          <w:u w:val="single"/>
        </w:rPr>
        <w:t>Optional Readings</w:t>
      </w:r>
    </w:p>
    <w:p w14:paraId="55AF6D9D" w14:textId="77777777" w:rsidR="00C45CED" w:rsidRPr="00BC1BB7" w:rsidRDefault="00C45CED" w:rsidP="00C45CED">
      <w:pPr>
        <w:pStyle w:val="WPNormal"/>
        <w:rPr>
          <w:rStyle w:val="None"/>
          <w:rFonts w:ascii="Calibri" w:eastAsia="Times New Roman" w:hAnsi="Calibri" w:cs="Calibri"/>
          <w:sz w:val="20"/>
          <w:szCs w:val="20"/>
        </w:rPr>
      </w:pPr>
    </w:p>
    <w:p w14:paraId="460CF980" w14:textId="77777777" w:rsidR="00C45CED" w:rsidRPr="00BC1BB7" w:rsidRDefault="00C45CED" w:rsidP="00C45CED">
      <w:pPr>
        <w:pStyle w:val="WPNormal"/>
        <w:rPr>
          <w:rStyle w:val="None"/>
          <w:rFonts w:ascii="Calibri" w:eastAsia="Times New Roman" w:hAnsi="Calibri" w:cs="Calibri"/>
          <w:sz w:val="20"/>
          <w:szCs w:val="20"/>
        </w:rPr>
      </w:pPr>
      <w:r w:rsidRPr="00BC1BB7">
        <w:rPr>
          <w:rStyle w:val="None"/>
          <w:rFonts w:ascii="Calibri" w:hAnsi="Calibri" w:cs="Calibri"/>
          <w:sz w:val="20"/>
          <w:szCs w:val="20"/>
        </w:rPr>
        <w:t xml:space="preserve">Additional optional readings will be provided </w:t>
      </w:r>
      <w:proofErr w:type="gramStart"/>
      <w:r w:rsidRPr="00BC1BB7">
        <w:rPr>
          <w:rStyle w:val="None"/>
          <w:rFonts w:ascii="Calibri" w:hAnsi="Calibri" w:cs="Calibri"/>
          <w:sz w:val="20"/>
          <w:szCs w:val="20"/>
        </w:rPr>
        <w:t>during the course of</w:t>
      </w:r>
      <w:proofErr w:type="gramEnd"/>
      <w:r w:rsidRPr="00BC1BB7">
        <w:rPr>
          <w:rStyle w:val="None"/>
          <w:rFonts w:ascii="Calibri" w:hAnsi="Calibri" w:cs="Calibri"/>
          <w:sz w:val="20"/>
          <w:szCs w:val="20"/>
        </w:rPr>
        <w:t xml:space="preserve"> the class, and will be derived based on current research, current issues in aquaculture development, and student interests.</w:t>
      </w:r>
    </w:p>
    <w:p w14:paraId="1A51140D" w14:textId="4917B507"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8" w:name="_Toc2236270"/>
      <w:bookmarkEnd w:id="7"/>
      <w:r w:rsidRPr="00FD169A">
        <w:t>Assessments</w:t>
      </w:r>
      <w:r w:rsidR="00030FD1" w:rsidRPr="00FD169A">
        <w:t xml:space="preserve"> for</w:t>
      </w:r>
      <w:r w:rsidRPr="00FD169A">
        <w:t xml:space="preserve"> Learning</w:t>
      </w:r>
      <w:bookmarkEnd w:id="8"/>
    </w:p>
    <w:p w14:paraId="111ACE4D" w14:textId="77777777" w:rsidR="002D3415" w:rsidRDefault="002D3415" w:rsidP="002D3415">
      <w:pPr>
        <w:pStyle w:val="Heading3"/>
      </w:pPr>
      <w:r>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75" w:type="pct"/>
        <w:tblBorders>
          <w:left w:val="none" w:sz="0" w:space="0" w:color="auto"/>
          <w:right w:val="none" w:sz="0" w:space="0" w:color="auto"/>
        </w:tblBorders>
        <w:tblLayout w:type="fixed"/>
        <w:tblLook w:val="04A0" w:firstRow="1" w:lastRow="0" w:firstColumn="1" w:lastColumn="0" w:noHBand="0" w:noVBand="1"/>
      </w:tblPr>
      <w:tblGrid>
        <w:gridCol w:w="448"/>
        <w:gridCol w:w="3523"/>
        <w:gridCol w:w="849"/>
      </w:tblGrid>
      <w:tr w:rsidR="003C1755" w:rsidRPr="002348A2" w14:paraId="27E26925" w14:textId="77777777" w:rsidTr="00B17D05">
        <w:trPr>
          <w:cantSplit/>
          <w:trHeight w:val="50"/>
          <w:tblHeader/>
        </w:trPr>
        <w:tc>
          <w:tcPr>
            <w:tcW w:w="464" w:type="pct"/>
            <w:shd w:val="clear" w:color="auto" w:fill="D9D9D9" w:themeFill="background1" w:themeFillShade="D9"/>
          </w:tcPr>
          <w:p w14:paraId="772A284A" w14:textId="77777777" w:rsidR="003C1755" w:rsidRDefault="003C1755" w:rsidP="003C1755">
            <w:pPr>
              <w:spacing w:after="0"/>
              <w:jc w:val="center"/>
            </w:pPr>
            <w:r>
              <w:t>#</w:t>
            </w:r>
          </w:p>
        </w:tc>
        <w:tc>
          <w:tcPr>
            <w:tcW w:w="3655"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882"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B17D05">
        <w:trPr>
          <w:cantSplit/>
        </w:trPr>
        <w:tc>
          <w:tcPr>
            <w:tcW w:w="464" w:type="pct"/>
          </w:tcPr>
          <w:p w14:paraId="33E86591" w14:textId="77777777" w:rsidR="003C1755" w:rsidRDefault="003C1755" w:rsidP="003C1755">
            <w:pPr>
              <w:spacing w:after="0"/>
              <w:jc w:val="center"/>
            </w:pPr>
            <w:r>
              <w:t>1</w:t>
            </w:r>
          </w:p>
        </w:tc>
        <w:tc>
          <w:tcPr>
            <w:tcW w:w="3655" w:type="pct"/>
          </w:tcPr>
          <w:p w14:paraId="758D3D32" w14:textId="6D88A065" w:rsidR="003C1755" w:rsidRPr="008651FD" w:rsidRDefault="00AF245A" w:rsidP="00C60C03">
            <w:pPr>
              <w:spacing w:after="0"/>
            </w:pPr>
            <w:r>
              <w:t>Quiz</w:t>
            </w:r>
          </w:p>
        </w:tc>
        <w:tc>
          <w:tcPr>
            <w:tcW w:w="882" w:type="pct"/>
          </w:tcPr>
          <w:p w14:paraId="467198FB" w14:textId="2D7E2F44" w:rsidR="003C1755" w:rsidRPr="008651FD" w:rsidRDefault="00AF245A" w:rsidP="00C60C03">
            <w:pPr>
              <w:spacing w:after="0"/>
              <w:jc w:val="right"/>
            </w:pPr>
            <w:r>
              <w:t>5</w:t>
            </w:r>
            <w:r w:rsidR="003C1755">
              <w:t>%</w:t>
            </w:r>
          </w:p>
        </w:tc>
      </w:tr>
      <w:tr w:rsidR="003C1755" w:rsidRPr="008651FD" w14:paraId="654F985C" w14:textId="77777777" w:rsidTr="00B17D05">
        <w:trPr>
          <w:cantSplit/>
        </w:trPr>
        <w:tc>
          <w:tcPr>
            <w:tcW w:w="464" w:type="pct"/>
          </w:tcPr>
          <w:p w14:paraId="0DF6D08C" w14:textId="77777777" w:rsidR="003C1755" w:rsidRDefault="003C1755" w:rsidP="003C1755">
            <w:pPr>
              <w:spacing w:after="0"/>
              <w:jc w:val="center"/>
            </w:pPr>
            <w:r>
              <w:t>2</w:t>
            </w:r>
          </w:p>
        </w:tc>
        <w:tc>
          <w:tcPr>
            <w:tcW w:w="3655" w:type="pct"/>
          </w:tcPr>
          <w:p w14:paraId="50AB3365" w14:textId="2A92E77B" w:rsidR="003C1755" w:rsidRDefault="00AF245A" w:rsidP="00C60C03">
            <w:pPr>
              <w:spacing w:after="0"/>
            </w:pPr>
            <w:r>
              <w:t>Bibliography</w:t>
            </w:r>
          </w:p>
        </w:tc>
        <w:tc>
          <w:tcPr>
            <w:tcW w:w="882" w:type="pct"/>
          </w:tcPr>
          <w:p w14:paraId="52DF8DCB" w14:textId="60C71C5E" w:rsidR="003C1755" w:rsidRDefault="00AF245A" w:rsidP="00C60C03">
            <w:pPr>
              <w:spacing w:after="0"/>
              <w:jc w:val="right"/>
            </w:pPr>
            <w:r>
              <w:t>5</w:t>
            </w:r>
            <w:r w:rsidR="003C1755">
              <w:t>%</w:t>
            </w:r>
          </w:p>
        </w:tc>
      </w:tr>
      <w:tr w:rsidR="003C1755" w:rsidRPr="008651FD" w14:paraId="680A6817" w14:textId="77777777" w:rsidTr="00B17D05">
        <w:trPr>
          <w:cantSplit/>
        </w:trPr>
        <w:tc>
          <w:tcPr>
            <w:tcW w:w="464" w:type="pct"/>
          </w:tcPr>
          <w:p w14:paraId="3994E5AD" w14:textId="77777777" w:rsidR="003C1755" w:rsidRDefault="003C1755" w:rsidP="003C1755">
            <w:pPr>
              <w:spacing w:after="0"/>
              <w:jc w:val="center"/>
            </w:pPr>
            <w:r>
              <w:t>3</w:t>
            </w:r>
          </w:p>
        </w:tc>
        <w:tc>
          <w:tcPr>
            <w:tcW w:w="3655" w:type="pct"/>
          </w:tcPr>
          <w:p w14:paraId="203BF90A" w14:textId="6BED56E6" w:rsidR="003C1755" w:rsidRDefault="00B344E8" w:rsidP="00C60C03">
            <w:pPr>
              <w:spacing w:after="0"/>
            </w:pPr>
            <w:r>
              <w:t>Research paper summary</w:t>
            </w:r>
          </w:p>
        </w:tc>
        <w:tc>
          <w:tcPr>
            <w:tcW w:w="882" w:type="pct"/>
          </w:tcPr>
          <w:p w14:paraId="37CDAA48" w14:textId="249E3F9C" w:rsidR="003C1755" w:rsidRDefault="00B344E8" w:rsidP="00C60C03">
            <w:pPr>
              <w:spacing w:after="0"/>
              <w:jc w:val="right"/>
            </w:pPr>
            <w:r>
              <w:t>20</w:t>
            </w:r>
            <w:r w:rsidR="003C1755">
              <w:t>%</w:t>
            </w:r>
          </w:p>
        </w:tc>
      </w:tr>
      <w:tr w:rsidR="003C1755" w:rsidRPr="008651FD" w14:paraId="20D59B16" w14:textId="77777777" w:rsidTr="00B17D05">
        <w:trPr>
          <w:cantSplit/>
        </w:trPr>
        <w:tc>
          <w:tcPr>
            <w:tcW w:w="464" w:type="pct"/>
          </w:tcPr>
          <w:p w14:paraId="724835AF" w14:textId="77777777" w:rsidR="003C1755" w:rsidRDefault="003C1755" w:rsidP="003C1755">
            <w:pPr>
              <w:spacing w:after="0"/>
              <w:jc w:val="center"/>
            </w:pPr>
            <w:r>
              <w:t>4</w:t>
            </w:r>
          </w:p>
        </w:tc>
        <w:tc>
          <w:tcPr>
            <w:tcW w:w="3655" w:type="pct"/>
          </w:tcPr>
          <w:p w14:paraId="57407A07" w14:textId="0CF8D6A9" w:rsidR="003C1755" w:rsidRDefault="00B344E8" w:rsidP="00C60C03">
            <w:pPr>
              <w:spacing w:after="0"/>
            </w:pPr>
            <w:r>
              <w:t>Critical review and discussion</w:t>
            </w:r>
          </w:p>
        </w:tc>
        <w:tc>
          <w:tcPr>
            <w:tcW w:w="882" w:type="pct"/>
          </w:tcPr>
          <w:p w14:paraId="5F963755" w14:textId="747022ED" w:rsidR="003C1755" w:rsidRDefault="00B344E8" w:rsidP="00C60C03">
            <w:pPr>
              <w:spacing w:after="0"/>
              <w:jc w:val="right"/>
            </w:pPr>
            <w:r>
              <w:t>20</w:t>
            </w:r>
            <w:r w:rsidR="003C1755">
              <w:t>%</w:t>
            </w:r>
          </w:p>
        </w:tc>
      </w:tr>
      <w:tr w:rsidR="003C1755" w:rsidRPr="008651FD" w14:paraId="6BDA771D" w14:textId="77777777" w:rsidTr="00B17D05">
        <w:trPr>
          <w:cantSplit/>
        </w:trPr>
        <w:tc>
          <w:tcPr>
            <w:tcW w:w="464" w:type="pct"/>
          </w:tcPr>
          <w:p w14:paraId="3DAB615A" w14:textId="77777777" w:rsidR="003C1755" w:rsidRDefault="003C1755" w:rsidP="003C1755">
            <w:pPr>
              <w:spacing w:after="0"/>
              <w:jc w:val="center"/>
            </w:pPr>
            <w:r>
              <w:t>5</w:t>
            </w:r>
          </w:p>
        </w:tc>
        <w:tc>
          <w:tcPr>
            <w:tcW w:w="3655" w:type="pct"/>
          </w:tcPr>
          <w:p w14:paraId="72C282AC" w14:textId="2741B732" w:rsidR="003C1755" w:rsidRDefault="00F36290" w:rsidP="00C60C03">
            <w:pPr>
              <w:spacing w:after="0"/>
            </w:pPr>
            <w:r>
              <w:t xml:space="preserve">Final </w:t>
            </w:r>
            <w:r w:rsidR="00721E7D">
              <w:t>project – Breeding program design</w:t>
            </w:r>
          </w:p>
        </w:tc>
        <w:tc>
          <w:tcPr>
            <w:tcW w:w="882" w:type="pct"/>
          </w:tcPr>
          <w:p w14:paraId="2B1BFD8B" w14:textId="5603D83C" w:rsidR="003C1755" w:rsidRDefault="00721E7D" w:rsidP="00C60C03">
            <w:pPr>
              <w:spacing w:after="0"/>
              <w:jc w:val="right"/>
            </w:pPr>
            <w:r>
              <w:t>40</w:t>
            </w:r>
            <w:r w:rsidR="003C1755">
              <w:t>%</w:t>
            </w:r>
          </w:p>
        </w:tc>
      </w:tr>
      <w:tr w:rsidR="00721E7D" w:rsidRPr="008651FD" w14:paraId="703F631A" w14:textId="77777777" w:rsidTr="00B17D05">
        <w:trPr>
          <w:cantSplit/>
        </w:trPr>
        <w:tc>
          <w:tcPr>
            <w:tcW w:w="464" w:type="pct"/>
          </w:tcPr>
          <w:p w14:paraId="065D79D5" w14:textId="4AC9DDC5" w:rsidR="00721E7D" w:rsidRDefault="00721E7D" w:rsidP="003C1755">
            <w:pPr>
              <w:spacing w:after="0"/>
              <w:jc w:val="center"/>
            </w:pPr>
            <w:r>
              <w:t>6</w:t>
            </w:r>
          </w:p>
        </w:tc>
        <w:tc>
          <w:tcPr>
            <w:tcW w:w="3655" w:type="pct"/>
          </w:tcPr>
          <w:p w14:paraId="4B179667" w14:textId="7F12C8F2" w:rsidR="00721E7D" w:rsidRDefault="00AD3264" w:rsidP="00C60C03">
            <w:pPr>
              <w:spacing w:after="0"/>
            </w:pPr>
            <w:r>
              <w:t>Presentation</w:t>
            </w:r>
          </w:p>
        </w:tc>
        <w:tc>
          <w:tcPr>
            <w:tcW w:w="882" w:type="pct"/>
          </w:tcPr>
          <w:p w14:paraId="62F1C5D5" w14:textId="50A945C1" w:rsidR="00721E7D" w:rsidRDefault="00B17D05" w:rsidP="00C60C03">
            <w:pPr>
              <w:spacing w:after="0"/>
              <w:jc w:val="right"/>
            </w:pPr>
            <w:r>
              <w:t>10%</w:t>
            </w:r>
          </w:p>
        </w:tc>
      </w:tr>
      <w:tr w:rsidR="003C1755" w:rsidRPr="008651FD" w14:paraId="2443B53E" w14:textId="77777777" w:rsidTr="00B17D05">
        <w:trPr>
          <w:cantSplit/>
        </w:trPr>
        <w:tc>
          <w:tcPr>
            <w:tcW w:w="464" w:type="pct"/>
            <w:shd w:val="clear" w:color="auto" w:fill="D0CECE" w:themeFill="background2" w:themeFillShade="E6"/>
          </w:tcPr>
          <w:p w14:paraId="37188786" w14:textId="77777777" w:rsidR="003C1755" w:rsidRDefault="003C1755" w:rsidP="003C1755">
            <w:pPr>
              <w:spacing w:after="0"/>
              <w:jc w:val="center"/>
            </w:pPr>
          </w:p>
        </w:tc>
        <w:tc>
          <w:tcPr>
            <w:tcW w:w="3655" w:type="pct"/>
            <w:shd w:val="clear" w:color="auto" w:fill="D0CECE" w:themeFill="background2" w:themeFillShade="E6"/>
          </w:tcPr>
          <w:p w14:paraId="4314006A" w14:textId="77777777" w:rsidR="003C1755" w:rsidRDefault="003C1755" w:rsidP="00C60C03">
            <w:pPr>
              <w:spacing w:after="0"/>
            </w:pPr>
            <w:r>
              <w:t>Total</w:t>
            </w:r>
          </w:p>
        </w:tc>
        <w:tc>
          <w:tcPr>
            <w:tcW w:w="882"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lastRenderedPageBreak/>
        <w:t>Details of Assessments</w:t>
      </w:r>
    </w:p>
    <w:tbl>
      <w:tblPr>
        <w:tblW w:w="95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0"/>
        <w:gridCol w:w="1904"/>
        <w:gridCol w:w="4014"/>
        <w:gridCol w:w="937"/>
        <w:gridCol w:w="821"/>
      </w:tblGrid>
      <w:tr w:rsidR="00CF2F20" w:rsidRPr="00BC1BB7" w14:paraId="0DEF6EF6" w14:textId="77777777" w:rsidTr="00213A45">
        <w:trPr>
          <w:trHeight w:val="49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0DEA9"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b/>
                <w:bCs/>
                <w:sz w:val="20"/>
                <w:szCs w:val="20"/>
              </w:rPr>
              <w:t>GOAL</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AB18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b/>
                <w:bCs/>
                <w:sz w:val="20"/>
                <w:szCs w:val="20"/>
              </w:rPr>
              <w:t>Assessment</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8F0AB"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b/>
                <w:bCs/>
                <w:sz w:val="20"/>
                <w:szCs w:val="20"/>
              </w:rPr>
              <w:t>Grading Criteria</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59031"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b/>
                <w:bCs/>
                <w:sz w:val="20"/>
                <w:szCs w:val="20"/>
              </w:rPr>
              <w:t>Percent Weight</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9578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b/>
                <w:bCs/>
                <w:sz w:val="20"/>
                <w:szCs w:val="20"/>
              </w:rPr>
              <w:t>Due Dates</w:t>
            </w:r>
          </w:p>
        </w:tc>
      </w:tr>
      <w:tr w:rsidR="00CF2F20" w:rsidRPr="00BC1BB7" w14:paraId="1269D3D7" w14:textId="77777777" w:rsidTr="00213A45">
        <w:trPr>
          <w:trHeight w:val="169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082F3"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General Knowledge</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C64DE"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 xml:space="preserve">Quiz based on an introductory lecture that </w:t>
            </w:r>
            <w:proofErr w:type="gramStart"/>
            <w:r w:rsidRPr="00BC1BB7">
              <w:rPr>
                <w:rStyle w:val="None"/>
                <w:rFonts w:ascii="Calibri" w:hAnsi="Calibri" w:cs="Calibri"/>
                <w:sz w:val="20"/>
                <w:szCs w:val="20"/>
              </w:rPr>
              <w:t>provides an introduction to</w:t>
            </w:r>
            <w:proofErr w:type="gramEnd"/>
            <w:r w:rsidRPr="00BC1BB7">
              <w:rPr>
                <w:rStyle w:val="None"/>
                <w:rFonts w:ascii="Calibri" w:hAnsi="Calibri" w:cs="Calibri"/>
                <w:sz w:val="20"/>
                <w:szCs w:val="20"/>
              </w:rPr>
              <w:t xml:space="preserve"> genetics in aquaculture.</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66228"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1. Correct responses on the quiz.</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5346"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5%</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78DDB"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Week 2</w:t>
            </w:r>
          </w:p>
        </w:tc>
      </w:tr>
      <w:tr w:rsidR="00CF2F20" w:rsidRPr="00BC1BB7" w14:paraId="6D5CA32C" w14:textId="77777777" w:rsidTr="00213A45">
        <w:trPr>
          <w:trHeight w:val="169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0AB50"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Information Acquisition</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8C520"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Preparation of a bibliography and list of resources related to an assigned production problem.</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F24C9"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1. In-depth coverage of topic.</w:t>
            </w:r>
          </w:p>
          <w:p w14:paraId="5A92EEEC"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2. Use of a wide range of resources.</w:t>
            </w:r>
          </w:p>
          <w:p w14:paraId="51E4C942"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3. Compilation of resources.</w:t>
            </w:r>
          </w:p>
          <w:p w14:paraId="5109D253"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4. Indication of the reliability of the source.</w:t>
            </w:r>
          </w:p>
          <w:p w14:paraId="00D6A2D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5. Indication of the search criteria or method used.</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6F57"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5%</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92BA9"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Week 4</w:t>
            </w:r>
          </w:p>
        </w:tc>
      </w:tr>
      <w:tr w:rsidR="00CF2F20" w:rsidRPr="00BC1BB7" w14:paraId="12D1CE48" w14:textId="77777777" w:rsidTr="00213A45">
        <w:trPr>
          <w:trHeight w:val="121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CB258"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Information Synthesis</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2880D"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Presenting a summary of a research paper related to the module topic</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A2967"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1. Ability to read a research paper and comprehend the conclusion(s) presented.</w:t>
            </w:r>
          </w:p>
          <w:p w14:paraId="3102FD41"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 xml:space="preserve">2. Ability to </w:t>
            </w:r>
            <w:proofErr w:type="gramStart"/>
            <w:r w:rsidRPr="00BC1BB7">
              <w:rPr>
                <w:rStyle w:val="None"/>
                <w:rFonts w:ascii="Calibri" w:hAnsi="Calibri" w:cs="Calibri"/>
                <w:sz w:val="20"/>
                <w:szCs w:val="20"/>
              </w:rPr>
              <w:t>concisely, clearly, and accurately present the idea(s) of a research paper</w:t>
            </w:r>
            <w:proofErr w:type="gramEnd"/>
            <w:r w:rsidRPr="00BC1BB7">
              <w:rPr>
                <w:rStyle w:val="None"/>
                <w:rFonts w:ascii="Calibri" w:hAnsi="Calibri" w:cs="Calibri"/>
                <w:sz w:val="20"/>
                <w:szCs w:val="20"/>
              </w:rPr>
              <w:t xml:space="preserve"> to the class.</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A803A"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20%</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61433"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Week 8</w:t>
            </w:r>
          </w:p>
        </w:tc>
      </w:tr>
      <w:tr w:rsidR="00CF2F20" w:rsidRPr="00BC1BB7" w14:paraId="7BDC87E3" w14:textId="77777777" w:rsidTr="00213A45">
        <w:trPr>
          <w:trHeight w:val="193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36D43"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Critical Analysis and Review</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3534B"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Critical review of research papers related to module topics</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F47AD"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1. Ability to present a critical assessment your own selected research paper; outline strengths and weaknesses of the paper, relevance to industry, generality of results, and implications.</w:t>
            </w:r>
          </w:p>
          <w:p w14:paraId="4B6D931C"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2. Contribute to discussion on critical analysis and review of other student paper summaries.</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17C27"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20%</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4BBFC"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Week 11</w:t>
            </w:r>
          </w:p>
        </w:tc>
      </w:tr>
      <w:tr w:rsidR="00CF2F20" w:rsidRPr="00BC1BB7" w14:paraId="284BD615" w14:textId="77777777" w:rsidTr="00213A45">
        <w:trPr>
          <w:trHeight w:val="288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60B6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Application of Concepts</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0C51"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Preparation of a selective breeding program outlining specifics about the technology, species, and infrastructure.</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5451C"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1. A breeding program that specifies the species, the technology applied, and the structure of the program.</w:t>
            </w:r>
          </w:p>
          <w:p w14:paraId="50991A2A"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2. Justification for the choices made in the plan.</w:t>
            </w:r>
          </w:p>
          <w:p w14:paraId="1C8D92AE"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3. Consideration of the environmental and socio-economic implications of the program.</w:t>
            </w:r>
          </w:p>
          <w:p w14:paraId="7E40D361"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4. Evidence of long-term contingency planning and identification of any limitations on achieving the outlined goal.</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A3CF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40%</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3B46"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At end of the course</w:t>
            </w:r>
          </w:p>
        </w:tc>
      </w:tr>
      <w:tr w:rsidR="00CF2F20" w:rsidRPr="00BC1BB7" w14:paraId="7B355A7B" w14:textId="77777777" w:rsidTr="00213A45">
        <w:trPr>
          <w:trHeight w:val="2171"/>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09B9B"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lastRenderedPageBreak/>
              <w:t>Innovation and Creation</w:t>
            </w:r>
          </w:p>
        </w:tc>
        <w:tc>
          <w:tcPr>
            <w:tcW w:w="1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E30B9"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Design of the “ideal” aquaculture finfish strain (individual presentations during last class)</w:t>
            </w:r>
          </w:p>
        </w:tc>
        <w:tc>
          <w:tcPr>
            <w:tcW w:w="4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FF185"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1. Identification of a challenge or opportunity that can be solved with a genetic approach.</w:t>
            </w:r>
          </w:p>
          <w:p w14:paraId="634121A9" w14:textId="77777777" w:rsidR="00CF2F20" w:rsidRPr="00BC1BB7" w:rsidRDefault="00CF2F20" w:rsidP="00213A45">
            <w:pPr>
              <w:pStyle w:val="WPNormal"/>
              <w:rPr>
                <w:rStyle w:val="None"/>
                <w:rFonts w:ascii="Calibri" w:eastAsia="Times New Roman" w:hAnsi="Calibri" w:cs="Calibri"/>
                <w:sz w:val="20"/>
                <w:szCs w:val="20"/>
              </w:rPr>
            </w:pPr>
            <w:r w:rsidRPr="00BC1BB7">
              <w:rPr>
                <w:rStyle w:val="None"/>
                <w:rFonts w:ascii="Calibri" w:hAnsi="Calibri" w:cs="Calibri"/>
                <w:sz w:val="20"/>
                <w:szCs w:val="20"/>
              </w:rPr>
              <w:t>2. Identification of an innovation solution to the challenge or opportunity using a genetic approach.</w:t>
            </w:r>
          </w:p>
          <w:p w14:paraId="54B53215"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3. Contribution to discussion on development of an ideal strain.</w:t>
            </w:r>
          </w:p>
        </w:tc>
        <w:tc>
          <w:tcPr>
            <w:tcW w:w="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F2BF1"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10%</w:t>
            </w:r>
          </w:p>
        </w:tc>
        <w:tc>
          <w:tcPr>
            <w:tcW w:w="8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58DFF" w14:textId="77777777" w:rsidR="00CF2F20" w:rsidRPr="00BC1BB7" w:rsidRDefault="00CF2F20" w:rsidP="00213A45">
            <w:pPr>
              <w:pStyle w:val="WPNormal"/>
              <w:rPr>
                <w:rFonts w:ascii="Calibri" w:hAnsi="Calibri" w:cs="Calibri"/>
                <w:sz w:val="20"/>
                <w:szCs w:val="20"/>
              </w:rPr>
            </w:pPr>
            <w:r w:rsidRPr="00BC1BB7">
              <w:rPr>
                <w:rStyle w:val="None"/>
                <w:rFonts w:ascii="Calibri" w:hAnsi="Calibri" w:cs="Calibri"/>
                <w:sz w:val="20"/>
                <w:szCs w:val="20"/>
              </w:rPr>
              <w:t>Week 13</w:t>
            </w:r>
          </w:p>
        </w:tc>
      </w:tr>
    </w:tbl>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5F321F7E" w:rsidR="00A27621" w:rsidRPr="007E6C95" w:rsidRDefault="0099378C" w:rsidP="005F77B5">
      <w:r>
        <w:t>Late assignments will be deducted 10% per day</w:t>
      </w:r>
      <w:r w:rsidR="0039377D">
        <w:t>.  Missed assignments will receive a score of 0.</w:t>
      </w:r>
    </w:p>
    <w:p w14:paraId="0C0A5F68" w14:textId="4F032BB9" w:rsidR="00DD6D32" w:rsidRDefault="00DD6D32" w:rsidP="007E6C95"/>
    <w:p w14:paraId="47B12CA7" w14:textId="66E9A665" w:rsidR="005F77B5" w:rsidRDefault="005F77B5" w:rsidP="007E6C95"/>
    <w:p w14:paraId="2CA16B47" w14:textId="41D500AD" w:rsidR="00370928" w:rsidRDefault="00370928" w:rsidP="007E6C95"/>
    <w:p w14:paraId="2387B741" w14:textId="288DFA41" w:rsidR="0090751A" w:rsidRDefault="0090751A" w:rsidP="007E6C95"/>
    <w:p w14:paraId="69C64795" w14:textId="714E4F4A" w:rsidR="0090751A" w:rsidRDefault="0090751A" w:rsidP="007E6C95"/>
    <w:p w14:paraId="6444AF7C" w14:textId="0EB5260D" w:rsidR="0090751A" w:rsidRDefault="0090751A" w:rsidP="007E6C95"/>
    <w:p w14:paraId="56817CAA" w14:textId="4834BF82" w:rsidR="0090751A" w:rsidRDefault="0090751A" w:rsidP="007E6C95"/>
    <w:p w14:paraId="2AA3C208" w14:textId="4BD5C6E6" w:rsidR="0090751A" w:rsidRDefault="0090751A" w:rsidP="007E6C95"/>
    <w:p w14:paraId="633C4FA7" w14:textId="1FD05C93" w:rsidR="0090751A" w:rsidRDefault="0090751A" w:rsidP="007E6C95"/>
    <w:p w14:paraId="177C424E" w14:textId="18877036" w:rsidR="0090751A" w:rsidRDefault="0090751A" w:rsidP="007E6C95"/>
    <w:p w14:paraId="1EE87C98" w14:textId="77777777" w:rsidR="0090751A" w:rsidRDefault="0090751A" w:rsidP="007E6C95"/>
    <w:p w14:paraId="04FACA3D" w14:textId="77777777" w:rsidR="000141AA" w:rsidRPr="008651FD" w:rsidRDefault="004A022A" w:rsidP="000141AA">
      <w:pPr>
        <w:pStyle w:val="Heading2"/>
      </w:pPr>
      <w:bookmarkStart w:id="9" w:name="_Toc2236271"/>
      <w:r w:rsidRPr="000F04F4">
        <w:lastRenderedPageBreak/>
        <w:t>Course Schedule</w:t>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54DC0964" w:rsidR="000141AA" w:rsidRDefault="0056762A" w:rsidP="000141AA">
            <w:pPr>
              <w:spacing w:after="0"/>
            </w:pPr>
            <w:r>
              <w:t xml:space="preserve">Sept </w:t>
            </w:r>
            <w:r w:rsidR="006B2E85">
              <w:t>9</w:t>
            </w:r>
          </w:p>
        </w:tc>
        <w:tc>
          <w:tcPr>
            <w:tcW w:w="2500" w:type="pct"/>
          </w:tcPr>
          <w:p w14:paraId="56AF58C2" w14:textId="77777777" w:rsidR="000141AA" w:rsidRDefault="006B2E85" w:rsidP="000141AA">
            <w:pPr>
              <w:spacing w:after="0"/>
            </w:pPr>
            <w:r>
              <w:t>Introduction to Course and Principles of Genetics</w:t>
            </w:r>
          </w:p>
          <w:p w14:paraId="3709CA58" w14:textId="5603DF7E" w:rsidR="006B2E85" w:rsidRDefault="00906006" w:rsidP="006B2E85">
            <w:pPr>
              <w:pStyle w:val="ListParagraph"/>
              <w:numPr>
                <w:ilvl w:val="0"/>
                <w:numId w:val="24"/>
              </w:numPr>
              <w:spacing w:after="0"/>
            </w:pPr>
            <w:r>
              <w:t>Read Ref (1) and (6) Ch 2</w:t>
            </w:r>
          </w:p>
        </w:tc>
        <w:tc>
          <w:tcPr>
            <w:tcW w:w="1346" w:type="pct"/>
          </w:tcPr>
          <w:p w14:paraId="0DA457CE" w14:textId="657732AF" w:rsidR="000141AA" w:rsidRDefault="00906006" w:rsidP="000141AA">
            <w:pPr>
              <w:spacing w:after="0"/>
            </w:pPr>
            <w:r>
              <w:t xml:space="preserve">Quiz: Due </w:t>
            </w:r>
            <w:r w:rsidR="00D17F63">
              <w:t>Sept 16 by 2:00pm</w:t>
            </w:r>
          </w:p>
        </w:tc>
      </w:tr>
      <w:tr w:rsidR="000141AA" w:rsidRPr="008651FD" w14:paraId="36F8F6A0" w14:textId="77777777" w:rsidTr="000141AA">
        <w:trPr>
          <w:cantSplit/>
        </w:trPr>
        <w:tc>
          <w:tcPr>
            <w:tcW w:w="433" w:type="pct"/>
          </w:tcPr>
          <w:p w14:paraId="66859498" w14:textId="433D33D4" w:rsidR="000141AA" w:rsidRDefault="00906006" w:rsidP="000141AA">
            <w:pPr>
              <w:spacing w:after="0"/>
              <w:ind w:hanging="20"/>
            </w:pPr>
            <w:r>
              <w:t>2</w:t>
            </w:r>
          </w:p>
        </w:tc>
        <w:tc>
          <w:tcPr>
            <w:tcW w:w="721" w:type="pct"/>
          </w:tcPr>
          <w:p w14:paraId="2DA268A8" w14:textId="26FD3D80" w:rsidR="000141AA" w:rsidRDefault="006C4EDA" w:rsidP="000141AA">
            <w:pPr>
              <w:spacing w:after="0"/>
            </w:pPr>
            <w:r>
              <w:t>Sept 16</w:t>
            </w:r>
          </w:p>
        </w:tc>
        <w:tc>
          <w:tcPr>
            <w:tcW w:w="2500" w:type="pct"/>
          </w:tcPr>
          <w:p w14:paraId="1456143C" w14:textId="77777777" w:rsidR="000141AA" w:rsidRDefault="00D17F63" w:rsidP="000141AA">
            <w:pPr>
              <w:spacing w:after="0"/>
            </w:pPr>
            <w:r>
              <w:t>History of Genetic Applications in Aquaculture</w:t>
            </w:r>
          </w:p>
          <w:p w14:paraId="4A95BBEA" w14:textId="79CBE1FA" w:rsidR="00D17F63" w:rsidRDefault="00D17F63" w:rsidP="00D17F63">
            <w:pPr>
              <w:pStyle w:val="ListParagraph"/>
              <w:numPr>
                <w:ilvl w:val="0"/>
                <w:numId w:val="24"/>
              </w:numPr>
              <w:spacing w:after="0"/>
            </w:pPr>
            <w:r>
              <w:t>Read Ref (1) and (6) Ch 1</w:t>
            </w: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6441856A" w:rsidR="000141AA" w:rsidRDefault="006C4EDA" w:rsidP="000141AA">
            <w:pPr>
              <w:spacing w:after="0"/>
              <w:ind w:hanging="20"/>
            </w:pPr>
            <w:r>
              <w:t>3</w:t>
            </w:r>
          </w:p>
        </w:tc>
        <w:tc>
          <w:tcPr>
            <w:tcW w:w="721" w:type="pct"/>
          </w:tcPr>
          <w:p w14:paraId="71491366" w14:textId="5EE79E50" w:rsidR="000141AA" w:rsidRDefault="006C4EDA" w:rsidP="000141AA">
            <w:pPr>
              <w:spacing w:after="0"/>
            </w:pPr>
            <w:r>
              <w:t>Sept 23</w:t>
            </w:r>
          </w:p>
        </w:tc>
        <w:tc>
          <w:tcPr>
            <w:tcW w:w="2500" w:type="pct"/>
          </w:tcPr>
          <w:p w14:paraId="6507B239" w14:textId="77777777" w:rsidR="000141AA" w:rsidRDefault="0001313F" w:rsidP="000141AA">
            <w:pPr>
              <w:spacing w:after="0"/>
            </w:pPr>
            <w:r>
              <w:t>Tools of the Trade – What are Genetic Markers?</w:t>
            </w:r>
          </w:p>
          <w:p w14:paraId="1B7A1E20" w14:textId="57CCC156" w:rsidR="0001313F" w:rsidRDefault="0001313F" w:rsidP="0001313F">
            <w:pPr>
              <w:pStyle w:val="ListParagraph"/>
              <w:numPr>
                <w:ilvl w:val="0"/>
                <w:numId w:val="24"/>
              </w:numPr>
              <w:spacing w:after="0"/>
            </w:pPr>
            <w:r>
              <w:t xml:space="preserve">Read Ref (2) </w:t>
            </w: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0A62E59C" w:rsidR="000141AA" w:rsidRDefault="006C4EDA" w:rsidP="000141AA">
            <w:pPr>
              <w:spacing w:after="0"/>
              <w:ind w:hanging="20"/>
            </w:pPr>
            <w:r>
              <w:t>4</w:t>
            </w:r>
          </w:p>
        </w:tc>
        <w:tc>
          <w:tcPr>
            <w:tcW w:w="721" w:type="pct"/>
          </w:tcPr>
          <w:p w14:paraId="5100FB7C" w14:textId="51050C90" w:rsidR="000141AA" w:rsidRDefault="006C4EDA" w:rsidP="000141AA">
            <w:pPr>
              <w:spacing w:after="0"/>
            </w:pPr>
            <w:r>
              <w:t>Sept 30</w:t>
            </w:r>
          </w:p>
        </w:tc>
        <w:tc>
          <w:tcPr>
            <w:tcW w:w="2500" w:type="pct"/>
          </w:tcPr>
          <w:p w14:paraId="37D3AF48" w14:textId="77777777" w:rsidR="000141AA" w:rsidRDefault="00BF2355" w:rsidP="000141AA">
            <w:pPr>
              <w:spacing w:after="0"/>
            </w:pPr>
            <w:r>
              <w:t>Tools of the Trade – Understanding Genomics</w:t>
            </w:r>
          </w:p>
          <w:p w14:paraId="2DBCB21E" w14:textId="7065E836" w:rsidR="00BF2355" w:rsidRDefault="00BF2355" w:rsidP="00BF2355">
            <w:pPr>
              <w:pStyle w:val="ListParagraph"/>
              <w:numPr>
                <w:ilvl w:val="0"/>
                <w:numId w:val="24"/>
              </w:numPr>
              <w:spacing w:after="0"/>
            </w:pPr>
            <w:r>
              <w:t>Continue reading Ref (2)</w:t>
            </w:r>
          </w:p>
        </w:tc>
        <w:tc>
          <w:tcPr>
            <w:tcW w:w="1346" w:type="pct"/>
          </w:tcPr>
          <w:p w14:paraId="3B09FC38" w14:textId="6A3DFA0A" w:rsidR="000141AA" w:rsidRDefault="008C0433" w:rsidP="000141AA">
            <w:pPr>
              <w:spacing w:after="0"/>
            </w:pPr>
            <w:r>
              <w:t>Assignment #1: Due Sept 30 by 11:59pm</w:t>
            </w:r>
          </w:p>
        </w:tc>
      </w:tr>
      <w:tr w:rsidR="00A738D8" w:rsidRPr="008651FD" w14:paraId="462A8F44" w14:textId="77777777" w:rsidTr="000141AA">
        <w:trPr>
          <w:cantSplit/>
        </w:trPr>
        <w:tc>
          <w:tcPr>
            <w:tcW w:w="433" w:type="pct"/>
          </w:tcPr>
          <w:p w14:paraId="56CB3FC8" w14:textId="5DEBE9A4" w:rsidR="00A738D8" w:rsidRDefault="006C4EDA" w:rsidP="00A738D8">
            <w:pPr>
              <w:spacing w:after="0"/>
              <w:ind w:hanging="20"/>
            </w:pPr>
            <w:r>
              <w:t>5</w:t>
            </w:r>
          </w:p>
        </w:tc>
        <w:tc>
          <w:tcPr>
            <w:tcW w:w="721" w:type="pct"/>
          </w:tcPr>
          <w:p w14:paraId="4E5AAFA6" w14:textId="70E388A5" w:rsidR="00A738D8" w:rsidRDefault="008D2FE0" w:rsidP="00A738D8">
            <w:pPr>
              <w:spacing w:after="0"/>
            </w:pPr>
            <w:r>
              <w:t>Oct 7</w:t>
            </w:r>
          </w:p>
        </w:tc>
        <w:tc>
          <w:tcPr>
            <w:tcW w:w="2500" w:type="pct"/>
          </w:tcPr>
          <w:p w14:paraId="43634D12" w14:textId="77777777" w:rsidR="00A738D8" w:rsidRDefault="008C0433" w:rsidP="00A738D8">
            <w:pPr>
              <w:spacing w:after="0"/>
            </w:pPr>
            <w:r>
              <w:t>Tools of the Trade – What About Gene Expression?</w:t>
            </w:r>
          </w:p>
          <w:p w14:paraId="081164E6" w14:textId="22CD91E9" w:rsidR="008C0433" w:rsidRDefault="008C0433" w:rsidP="00A738D8">
            <w:pPr>
              <w:spacing w:after="0"/>
            </w:pPr>
          </w:p>
        </w:tc>
        <w:tc>
          <w:tcPr>
            <w:tcW w:w="1346" w:type="pct"/>
          </w:tcPr>
          <w:p w14:paraId="1E588D1F" w14:textId="7D317467" w:rsidR="00A738D8" w:rsidRDefault="00A738D8" w:rsidP="00A738D8">
            <w:pPr>
              <w:spacing w:after="0"/>
            </w:pPr>
          </w:p>
        </w:tc>
      </w:tr>
      <w:tr w:rsidR="008D2FE0" w:rsidRPr="008651FD" w14:paraId="6A71A906" w14:textId="77777777" w:rsidTr="000141AA">
        <w:trPr>
          <w:cantSplit/>
        </w:trPr>
        <w:tc>
          <w:tcPr>
            <w:tcW w:w="433" w:type="pct"/>
          </w:tcPr>
          <w:p w14:paraId="5AC481C6" w14:textId="319E33B2" w:rsidR="008D2FE0" w:rsidRDefault="008D2FE0" w:rsidP="00A738D8">
            <w:pPr>
              <w:spacing w:after="0"/>
              <w:ind w:hanging="20"/>
            </w:pPr>
            <w:r>
              <w:t>6</w:t>
            </w:r>
          </w:p>
        </w:tc>
        <w:tc>
          <w:tcPr>
            <w:tcW w:w="721" w:type="pct"/>
          </w:tcPr>
          <w:p w14:paraId="3FB37D38" w14:textId="527B70F6" w:rsidR="008D2FE0" w:rsidRDefault="008D2FE0" w:rsidP="00A738D8">
            <w:pPr>
              <w:spacing w:after="0"/>
            </w:pPr>
            <w:r>
              <w:t>Oct 14</w:t>
            </w:r>
          </w:p>
        </w:tc>
        <w:tc>
          <w:tcPr>
            <w:tcW w:w="2500" w:type="pct"/>
          </w:tcPr>
          <w:p w14:paraId="25565EDB" w14:textId="77777777" w:rsidR="008D2FE0" w:rsidRDefault="00EA53ED" w:rsidP="00A738D8">
            <w:pPr>
              <w:spacing w:after="0"/>
            </w:pPr>
            <w:r>
              <w:t xml:space="preserve">Sex Control and Reproduction of Fish </w:t>
            </w:r>
            <w:r w:rsidR="00285C5C">
              <w:t>– Overview</w:t>
            </w:r>
          </w:p>
          <w:p w14:paraId="63D7A396" w14:textId="64DA3752" w:rsidR="00285C5C" w:rsidRDefault="00285C5C" w:rsidP="00285C5C">
            <w:pPr>
              <w:pStyle w:val="ListParagraph"/>
              <w:numPr>
                <w:ilvl w:val="0"/>
                <w:numId w:val="24"/>
              </w:numPr>
              <w:spacing w:after="0"/>
            </w:pPr>
            <w:r>
              <w:t>Read Ref (3) and (6) Ch 8</w:t>
            </w:r>
          </w:p>
        </w:tc>
        <w:tc>
          <w:tcPr>
            <w:tcW w:w="1346" w:type="pct"/>
          </w:tcPr>
          <w:p w14:paraId="62AB8DF4" w14:textId="2036C12F" w:rsidR="008D2FE0" w:rsidRDefault="007E3925" w:rsidP="00A738D8">
            <w:pPr>
              <w:spacing w:after="0"/>
            </w:pPr>
            <w:r>
              <w:t xml:space="preserve">Assignment #2: Due </w:t>
            </w:r>
            <w:r w:rsidR="00440680">
              <w:t>Oct 14</w:t>
            </w:r>
            <w:r w:rsidR="002D5B97">
              <w:t xml:space="preserve"> in class</w:t>
            </w:r>
          </w:p>
        </w:tc>
      </w:tr>
      <w:tr w:rsidR="008D2FE0" w:rsidRPr="008651FD" w14:paraId="03C40AA9" w14:textId="77777777" w:rsidTr="000141AA">
        <w:trPr>
          <w:cantSplit/>
        </w:trPr>
        <w:tc>
          <w:tcPr>
            <w:tcW w:w="433" w:type="pct"/>
          </w:tcPr>
          <w:p w14:paraId="22C7F8F4" w14:textId="1D320EB4" w:rsidR="008D2FE0" w:rsidRDefault="008D2FE0" w:rsidP="00A738D8">
            <w:pPr>
              <w:spacing w:after="0"/>
              <w:ind w:hanging="20"/>
            </w:pPr>
            <w:r>
              <w:t>7</w:t>
            </w:r>
          </w:p>
        </w:tc>
        <w:tc>
          <w:tcPr>
            <w:tcW w:w="721" w:type="pct"/>
          </w:tcPr>
          <w:p w14:paraId="6CA67AAF" w14:textId="486ECC3A" w:rsidR="008D2FE0" w:rsidRDefault="008D2FE0" w:rsidP="00A738D8">
            <w:pPr>
              <w:spacing w:after="0"/>
            </w:pPr>
            <w:r>
              <w:t>Oct 21</w:t>
            </w:r>
          </w:p>
        </w:tc>
        <w:tc>
          <w:tcPr>
            <w:tcW w:w="2500" w:type="pct"/>
          </w:tcPr>
          <w:p w14:paraId="53D20F93" w14:textId="77777777" w:rsidR="008D2FE0" w:rsidRDefault="00285C5C" w:rsidP="00A738D8">
            <w:pPr>
              <w:spacing w:after="0"/>
            </w:pPr>
            <w:r>
              <w:t>Sex Control and Reproduction of Fish – Manipulation Strategies</w:t>
            </w:r>
          </w:p>
          <w:p w14:paraId="49BD87CE" w14:textId="6BE6EFF6" w:rsidR="00285C5C" w:rsidRDefault="00285C5C" w:rsidP="00285C5C">
            <w:pPr>
              <w:pStyle w:val="ListParagraph"/>
              <w:numPr>
                <w:ilvl w:val="0"/>
                <w:numId w:val="24"/>
              </w:numPr>
              <w:spacing w:after="0"/>
            </w:pPr>
            <w:r>
              <w:t>Continue reading Ref (3) and (6) Ch 8</w:t>
            </w:r>
          </w:p>
        </w:tc>
        <w:tc>
          <w:tcPr>
            <w:tcW w:w="1346" w:type="pct"/>
          </w:tcPr>
          <w:p w14:paraId="070FC9F9" w14:textId="77777777" w:rsidR="008D2FE0" w:rsidRDefault="008D2FE0" w:rsidP="00A738D8">
            <w:pPr>
              <w:spacing w:after="0"/>
            </w:pPr>
          </w:p>
        </w:tc>
      </w:tr>
      <w:tr w:rsidR="008D2FE0" w:rsidRPr="008651FD" w14:paraId="7CAD86EA" w14:textId="77777777" w:rsidTr="000141AA">
        <w:trPr>
          <w:cantSplit/>
        </w:trPr>
        <w:tc>
          <w:tcPr>
            <w:tcW w:w="433" w:type="pct"/>
          </w:tcPr>
          <w:p w14:paraId="1309C144" w14:textId="246ADD78" w:rsidR="008D2FE0" w:rsidRDefault="008D2FE0" w:rsidP="00A738D8">
            <w:pPr>
              <w:spacing w:after="0"/>
              <w:ind w:hanging="20"/>
            </w:pPr>
            <w:r>
              <w:t>8</w:t>
            </w:r>
          </w:p>
        </w:tc>
        <w:tc>
          <w:tcPr>
            <w:tcW w:w="721" w:type="pct"/>
          </w:tcPr>
          <w:p w14:paraId="78481AE0" w14:textId="5C5F11DD" w:rsidR="008D2FE0" w:rsidRDefault="008D2FE0" w:rsidP="00A738D8">
            <w:pPr>
              <w:spacing w:after="0"/>
            </w:pPr>
            <w:r>
              <w:t xml:space="preserve">Oct </w:t>
            </w:r>
            <w:r w:rsidR="000A54C2">
              <w:t>28</w:t>
            </w:r>
          </w:p>
        </w:tc>
        <w:tc>
          <w:tcPr>
            <w:tcW w:w="2500" w:type="pct"/>
          </w:tcPr>
          <w:p w14:paraId="6FC76E0B" w14:textId="2E070001" w:rsidR="008D2FE0" w:rsidRDefault="00F43354" w:rsidP="00A738D8">
            <w:pPr>
              <w:spacing w:after="0"/>
            </w:pPr>
            <w:r>
              <w:t>Selection and Domestication – Introduction</w:t>
            </w:r>
          </w:p>
          <w:p w14:paraId="013C0707" w14:textId="3D1B0ED6" w:rsidR="00F43354" w:rsidRDefault="00F43354" w:rsidP="00F43354">
            <w:pPr>
              <w:pStyle w:val="ListParagraph"/>
              <w:numPr>
                <w:ilvl w:val="0"/>
                <w:numId w:val="24"/>
              </w:numPr>
              <w:spacing w:after="0"/>
            </w:pPr>
            <w:r>
              <w:t>Read Ref (6) Ch 5</w:t>
            </w:r>
          </w:p>
        </w:tc>
        <w:tc>
          <w:tcPr>
            <w:tcW w:w="1346" w:type="pct"/>
          </w:tcPr>
          <w:p w14:paraId="76E6508F" w14:textId="64AADC0F" w:rsidR="008D2FE0" w:rsidRDefault="001E15DB" w:rsidP="00A738D8">
            <w:pPr>
              <w:spacing w:after="0"/>
            </w:pPr>
            <w:r>
              <w:t>Assignment #3: Due Oct 28 in class</w:t>
            </w:r>
          </w:p>
        </w:tc>
      </w:tr>
      <w:tr w:rsidR="008D2FE0" w:rsidRPr="008651FD" w14:paraId="033D1E6F" w14:textId="77777777" w:rsidTr="000141AA">
        <w:trPr>
          <w:cantSplit/>
        </w:trPr>
        <w:tc>
          <w:tcPr>
            <w:tcW w:w="433" w:type="pct"/>
          </w:tcPr>
          <w:p w14:paraId="6EEAD644" w14:textId="32BF0269" w:rsidR="008D2FE0" w:rsidRDefault="008D2FE0" w:rsidP="00A738D8">
            <w:pPr>
              <w:spacing w:after="0"/>
              <w:ind w:hanging="20"/>
            </w:pPr>
            <w:r>
              <w:t>9</w:t>
            </w:r>
          </w:p>
        </w:tc>
        <w:tc>
          <w:tcPr>
            <w:tcW w:w="721" w:type="pct"/>
          </w:tcPr>
          <w:p w14:paraId="422AD2F5" w14:textId="265DAB2F" w:rsidR="008D2FE0" w:rsidRDefault="000A54C2" w:rsidP="00A738D8">
            <w:pPr>
              <w:spacing w:after="0"/>
            </w:pPr>
            <w:r>
              <w:t>Nov 2</w:t>
            </w:r>
          </w:p>
        </w:tc>
        <w:tc>
          <w:tcPr>
            <w:tcW w:w="2500" w:type="pct"/>
          </w:tcPr>
          <w:p w14:paraId="2AB5D5CC" w14:textId="1C5A4969" w:rsidR="008D2FE0" w:rsidRDefault="00F43354" w:rsidP="00A738D8">
            <w:pPr>
              <w:spacing w:after="0"/>
            </w:pPr>
            <w:r>
              <w:t>Selection and Domestication – Methods</w:t>
            </w:r>
          </w:p>
          <w:p w14:paraId="7FEBDC57" w14:textId="6599FF29" w:rsidR="00F43354" w:rsidRDefault="00F43354" w:rsidP="00F43354">
            <w:pPr>
              <w:pStyle w:val="ListParagraph"/>
              <w:numPr>
                <w:ilvl w:val="0"/>
                <w:numId w:val="24"/>
              </w:numPr>
              <w:spacing w:after="0"/>
            </w:pPr>
            <w:r>
              <w:t>Read Re</w:t>
            </w:r>
            <w:r w:rsidR="007E2CAE">
              <w:t>f (6) Ch 7, 10, 11</w:t>
            </w:r>
          </w:p>
        </w:tc>
        <w:tc>
          <w:tcPr>
            <w:tcW w:w="1346" w:type="pct"/>
          </w:tcPr>
          <w:p w14:paraId="1670DF8F" w14:textId="77777777" w:rsidR="008D2FE0" w:rsidRDefault="008D2FE0" w:rsidP="00A738D8">
            <w:pPr>
              <w:spacing w:after="0"/>
            </w:pPr>
          </w:p>
        </w:tc>
      </w:tr>
      <w:tr w:rsidR="008D2FE0" w:rsidRPr="008651FD" w14:paraId="1D3E3F28" w14:textId="77777777" w:rsidTr="000141AA">
        <w:trPr>
          <w:cantSplit/>
        </w:trPr>
        <w:tc>
          <w:tcPr>
            <w:tcW w:w="433" w:type="pct"/>
          </w:tcPr>
          <w:p w14:paraId="5148CDD5" w14:textId="0C4DB1EC" w:rsidR="008D2FE0" w:rsidRDefault="008D2FE0" w:rsidP="00A738D8">
            <w:pPr>
              <w:spacing w:after="0"/>
              <w:ind w:hanging="20"/>
            </w:pPr>
            <w:r>
              <w:t>10</w:t>
            </w:r>
          </w:p>
        </w:tc>
        <w:tc>
          <w:tcPr>
            <w:tcW w:w="721" w:type="pct"/>
          </w:tcPr>
          <w:p w14:paraId="710D48C8" w14:textId="19CE20A6" w:rsidR="008D2FE0" w:rsidRDefault="000A54C2" w:rsidP="00A738D8">
            <w:pPr>
              <w:spacing w:after="0"/>
            </w:pPr>
            <w:r>
              <w:t>Nov 9</w:t>
            </w:r>
          </w:p>
        </w:tc>
        <w:tc>
          <w:tcPr>
            <w:tcW w:w="2500" w:type="pct"/>
          </w:tcPr>
          <w:p w14:paraId="6E4BF90A" w14:textId="0B458442" w:rsidR="008D2FE0" w:rsidRDefault="007E2CAE" w:rsidP="00A738D8">
            <w:pPr>
              <w:spacing w:after="0"/>
            </w:pPr>
            <w:r>
              <w:t>Selection and Domestication – Implementation</w:t>
            </w:r>
          </w:p>
          <w:p w14:paraId="25AE09C8" w14:textId="5B175D57" w:rsidR="007E2CAE" w:rsidRDefault="007E2CAE" w:rsidP="007E2CAE">
            <w:pPr>
              <w:pStyle w:val="ListParagraph"/>
              <w:numPr>
                <w:ilvl w:val="0"/>
                <w:numId w:val="24"/>
              </w:numPr>
              <w:spacing w:after="0"/>
            </w:pPr>
            <w:r>
              <w:t>Read Ref (5) and (6) Ch 12, 16, 17</w:t>
            </w:r>
          </w:p>
        </w:tc>
        <w:tc>
          <w:tcPr>
            <w:tcW w:w="1346" w:type="pct"/>
          </w:tcPr>
          <w:p w14:paraId="20BA1181" w14:textId="77777777" w:rsidR="008D2FE0" w:rsidRDefault="008D2FE0" w:rsidP="00A738D8">
            <w:pPr>
              <w:spacing w:after="0"/>
            </w:pPr>
          </w:p>
        </w:tc>
      </w:tr>
      <w:tr w:rsidR="008D2FE0" w:rsidRPr="008651FD" w14:paraId="69A0AA95" w14:textId="77777777" w:rsidTr="000141AA">
        <w:trPr>
          <w:cantSplit/>
        </w:trPr>
        <w:tc>
          <w:tcPr>
            <w:tcW w:w="433" w:type="pct"/>
          </w:tcPr>
          <w:p w14:paraId="0395774C" w14:textId="32002C51" w:rsidR="008D2FE0" w:rsidRDefault="008D2FE0" w:rsidP="00A738D8">
            <w:pPr>
              <w:spacing w:after="0"/>
              <w:ind w:hanging="20"/>
            </w:pPr>
            <w:r>
              <w:t>11</w:t>
            </w:r>
          </w:p>
        </w:tc>
        <w:tc>
          <w:tcPr>
            <w:tcW w:w="721" w:type="pct"/>
          </w:tcPr>
          <w:p w14:paraId="180E41FA" w14:textId="4C509393" w:rsidR="008D2FE0" w:rsidRDefault="000A54C2" w:rsidP="00A738D8">
            <w:pPr>
              <w:spacing w:after="0"/>
            </w:pPr>
            <w:r>
              <w:t>Nov 18</w:t>
            </w:r>
          </w:p>
        </w:tc>
        <w:tc>
          <w:tcPr>
            <w:tcW w:w="2500" w:type="pct"/>
          </w:tcPr>
          <w:p w14:paraId="1700E481" w14:textId="77777777" w:rsidR="008D2FE0" w:rsidRDefault="0036736A" w:rsidP="00A738D8">
            <w:pPr>
              <w:spacing w:after="0"/>
            </w:pPr>
            <w:r>
              <w:t>Genetic Engineering in Aquaculture – Where Are We?</w:t>
            </w:r>
          </w:p>
          <w:p w14:paraId="7605E377" w14:textId="301F9474" w:rsidR="0036736A" w:rsidRDefault="0036736A" w:rsidP="0036736A">
            <w:pPr>
              <w:pStyle w:val="ListParagraph"/>
              <w:numPr>
                <w:ilvl w:val="0"/>
                <w:numId w:val="24"/>
              </w:numPr>
              <w:spacing w:after="0"/>
            </w:pPr>
            <w:r>
              <w:t>Read Ref (7)</w:t>
            </w:r>
          </w:p>
        </w:tc>
        <w:tc>
          <w:tcPr>
            <w:tcW w:w="1346" w:type="pct"/>
          </w:tcPr>
          <w:p w14:paraId="5AF44FA7" w14:textId="77777777" w:rsidR="008D2FE0" w:rsidRDefault="008D2FE0" w:rsidP="00A738D8">
            <w:pPr>
              <w:spacing w:after="0"/>
            </w:pPr>
          </w:p>
        </w:tc>
      </w:tr>
      <w:tr w:rsidR="008D2FE0" w:rsidRPr="008651FD" w14:paraId="0AD138BC" w14:textId="77777777" w:rsidTr="000141AA">
        <w:trPr>
          <w:cantSplit/>
        </w:trPr>
        <w:tc>
          <w:tcPr>
            <w:tcW w:w="433" w:type="pct"/>
          </w:tcPr>
          <w:p w14:paraId="72BC7B9D" w14:textId="5C917751" w:rsidR="008D2FE0" w:rsidRDefault="008D2FE0" w:rsidP="00A738D8">
            <w:pPr>
              <w:spacing w:after="0"/>
              <w:ind w:hanging="20"/>
            </w:pPr>
            <w:r>
              <w:t>12</w:t>
            </w:r>
          </w:p>
        </w:tc>
        <w:tc>
          <w:tcPr>
            <w:tcW w:w="721" w:type="pct"/>
          </w:tcPr>
          <w:p w14:paraId="43DF1F62" w14:textId="285977CE" w:rsidR="008D2FE0" w:rsidRDefault="000A54C2" w:rsidP="00A738D8">
            <w:pPr>
              <w:spacing w:after="0"/>
            </w:pPr>
            <w:r>
              <w:t>Nov 25</w:t>
            </w:r>
          </w:p>
        </w:tc>
        <w:tc>
          <w:tcPr>
            <w:tcW w:w="2500" w:type="pct"/>
          </w:tcPr>
          <w:p w14:paraId="5C191058" w14:textId="77777777" w:rsidR="008D2FE0" w:rsidRDefault="0036736A" w:rsidP="00A738D8">
            <w:pPr>
              <w:spacing w:after="0"/>
            </w:pPr>
            <w:r>
              <w:t>Genetic Engineering in Aquaculture – Looking Ahead</w:t>
            </w:r>
          </w:p>
          <w:p w14:paraId="61C3DB6D" w14:textId="7082919C" w:rsidR="0036736A" w:rsidRDefault="0036736A" w:rsidP="00A738D8">
            <w:pPr>
              <w:spacing w:after="0"/>
            </w:pPr>
          </w:p>
        </w:tc>
        <w:tc>
          <w:tcPr>
            <w:tcW w:w="1346" w:type="pct"/>
          </w:tcPr>
          <w:p w14:paraId="31C5C2DC" w14:textId="297F60E9" w:rsidR="008D2FE0" w:rsidRDefault="003605C9" w:rsidP="00A738D8">
            <w:pPr>
              <w:spacing w:after="0"/>
            </w:pPr>
            <w:r>
              <w:t>Assignment #4</w:t>
            </w:r>
            <w:r w:rsidR="004439FE">
              <w:t>: Due Nov 25 in class</w:t>
            </w:r>
          </w:p>
        </w:tc>
      </w:tr>
      <w:tr w:rsidR="008D2FE0" w:rsidRPr="008651FD" w14:paraId="25D83A37" w14:textId="77777777" w:rsidTr="000141AA">
        <w:trPr>
          <w:cantSplit/>
        </w:trPr>
        <w:tc>
          <w:tcPr>
            <w:tcW w:w="433" w:type="pct"/>
          </w:tcPr>
          <w:p w14:paraId="40D5EA4C" w14:textId="07C9D7D9" w:rsidR="008D2FE0" w:rsidRDefault="008D2FE0" w:rsidP="00A738D8">
            <w:pPr>
              <w:spacing w:after="0"/>
              <w:ind w:hanging="20"/>
            </w:pPr>
            <w:r>
              <w:t>13</w:t>
            </w:r>
          </w:p>
        </w:tc>
        <w:tc>
          <w:tcPr>
            <w:tcW w:w="721" w:type="pct"/>
          </w:tcPr>
          <w:p w14:paraId="698A370E" w14:textId="041F16E6" w:rsidR="008D2FE0" w:rsidRDefault="000A54C2" w:rsidP="00A738D8">
            <w:pPr>
              <w:spacing w:after="0"/>
            </w:pPr>
            <w:r>
              <w:t>Dec 2</w:t>
            </w:r>
          </w:p>
        </w:tc>
        <w:tc>
          <w:tcPr>
            <w:tcW w:w="2500" w:type="pct"/>
          </w:tcPr>
          <w:p w14:paraId="766EFEEE" w14:textId="0AAF1318" w:rsidR="008D2FE0" w:rsidRDefault="00AB18C3" w:rsidP="00A738D8">
            <w:pPr>
              <w:spacing w:after="0"/>
            </w:pPr>
            <w:r>
              <w:t>Conclusion and Review</w:t>
            </w:r>
          </w:p>
        </w:tc>
        <w:tc>
          <w:tcPr>
            <w:tcW w:w="1346" w:type="pct"/>
          </w:tcPr>
          <w:p w14:paraId="1B36F16A" w14:textId="77777777" w:rsidR="008D2FE0" w:rsidRDefault="008D2FE0" w:rsidP="00A738D8">
            <w:pPr>
              <w:spacing w:after="0"/>
            </w:pPr>
          </w:p>
        </w:tc>
      </w:tr>
      <w:tr w:rsidR="008D2FE0" w:rsidRPr="008651FD" w14:paraId="734ED069" w14:textId="77777777" w:rsidTr="000141AA">
        <w:trPr>
          <w:cantSplit/>
        </w:trPr>
        <w:tc>
          <w:tcPr>
            <w:tcW w:w="433" w:type="pct"/>
          </w:tcPr>
          <w:p w14:paraId="7D88D72F" w14:textId="76D8FFF6" w:rsidR="008D2FE0" w:rsidRDefault="008D2FE0" w:rsidP="004E61A0">
            <w:pPr>
              <w:spacing w:after="0"/>
            </w:pPr>
            <w:r>
              <w:t>14</w:t>
            </w:r>
          </w:p>
        </w:tc>
        <w:tc>
          <w:tcPr>
            <w:tcW w:w="721" w:type="pct"/>
          </w:tcPr>
          <w:p w14:paraId="05B432F2" w14:textId="35FB1A6C" w:rsidR="008D2FE0" w:rsidRDefault="000A54C2" w:rsidP="00A738D8">
            <w:pPr>
              <w:spacing w:after="0"/>
            </w:pPr>
            <w:r>
              <w:t>Dec 9</w:t>
            </w:r>
          </w:p>
        </w:tc>
        <w:tc>
          <w:tcPr>
            <w:tcW w:w="2500" w:type="pct"/>
          </w:tcPr>
          <w:p w14:paraId="6D131BFE" w14:textId="77777777" w:rsidR="008D2FE0" w:rsidRDefault="008D2FE0" w:rsidP="00A738D8">
            <w:pPr>
              <w:spacing w:after="0"/>
            </w:pPr>
          </w:p>
        </w:tc>
        <w:tc>
          <w:tcPr>
            <w:tcW w:w="1346" w:type="pct"/>
          </w:tcPr>
          <w:p w14:paraId="1125D451" w14:textId="334FB2DF" w:rsidR="008D2FE0" w:rsidRDefault="000A54C2" w:rsidP="00A738D8">
            <w:pPr>
              <w:spacing w:after="0"/>
            </w:pPr>
            <w:r>
              <w:t>Final project: Due Dec 9</w:t>
            </w:r>
            <w:r w:rsidR="00D17F63">
              <w:t xml:space="preserve"> by 11:59pm</w:t>
            </w:r>
          </w:p>
        </w:tc>
      </w:tr>
    </w:tbl>
    <w:p w14:paraId="0F83B69B" w14:textId="77777777" w:rsidR="0079326B" w:rsidRDefault="0079326B" w:rsidP="007E662B">
      <w:pPr>
        <w:pStyle w:val="Heading2"/>
        <w:pBdr>
          <w:top w:val="thinThickMediumGap" w:sz="12" w:space="0" w:color="833C0B" w:themeColor="accent2" w:themeShade="80"/>
        </w:pBdr>
      </w:pPr>
    </w:p>
    <w:p w14:paraId="046CD5D5" w14:textId="77777777" w:rsidR="0079326B" w:rsidRDefault="0079326B">
      <w:pPr>
        <w:spacing w:after="160" w:line="259" w:lineRule="auto"/>
        <w:rPr>
          <w:rFonts w:eastAsiaTheme="majorEastAsia" w:cstheme="minorHAnsi"/>
          <w:smallCaps/>
          <w:color w:val="833C0B" w:themeColor="accent2" w:themeShade="80"/>
          <w:spacing w:val="10"/>
          <w:sz w:val="28"/>
          <w:szCs w:val="28"/>
          <w:lang w:val="en-US"/>
        </w:rPr>
      </w:pPr>
      <w:r>
        <w:br w:type="page"/>
      </w:r>
    </w:p>
    <w:p w14:paraId="69C6F599" w14:textId="4B011AC5" w:rsidR="002054F6" w:rsidRDefault="000141AA" w:rsidP="007E662B">
      <w:pPr>
        <w:pStyle w:val="Heading2"/>
        <w:pBdr>
          <w:top w:val="thinThickMediumGap" w:sz="12" w:space="0" w:color="833C0B" w:themeColor="accent2" w:themeShade="80"/>
        </w:pBdr>
      </w:pPr>
      <w:r>
        <w:lastRenderedPageBreak/>
        <w:t xml:space="preserve">University </w:t>
      </w:r>
      <w:r w:rsidR="00C60C03">
        <w:t>Policies</w:t>
      </w:r>
    </w:p>
    <w:bookmarkEnd w:id="9"/>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8" w:history="1">
        <w:r w:rsidRPr="004E460A">
          <w:rPr>
            <w:rStyle w:val="Hyperlink"/>
          </w:rPr>
          <w:t>the UBC Senate website</w:t>
        </w:r>
      </w:hyperlink>
      <w:r>
        <w:rPr>
          <w:b/>
        </w:rPr>
        <w:t>.</w:t>
      </w:r>
    </w:p>
    <w:p w14:paraId="7D1C91D1" w14:textId="085C6757" w:rsidR="002054F6" w:rsidRDefault="002054F6" w:rsidP="002054F6">
      <w:pPr>
        <w:pStyle w:val="Heading3"/>
      </w:pPr>
      <w:r>
        <w:t>Academic Integrity</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9" w:history="1">
        <w:r w:rsidRPr="002054F6">
          <w:rPr>
            <w:rStyle w:val="Hyperlink"/>
          </w:rPr>
          <w:t>UBC Calendar: Student Conduct and Discipline</w:t>
        </w:r>
      </w:hyperlink>
      <w:r w:rsidRPr="002054F6">
        <w:t>.</w:t>
      </w:r>
    </w:p>
    <w:p w14:paraId="11E90EAF" w14:textId="711BD086" w:rsidR="002054F6" w:rsidRDefault="002054F6" w:rsidP="002054F6">
      <w:pPr>
        <w:pStyle w:val="Heading3"/>
      </w:pPr>
      <w:r>
        <w:t>Academic Accommodation for Student with Disabilities</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0" w:history="1">
        <w:r w:rsidRPr="002054F6">
          <w:rPr>
            <w:rStyle w:val="Hyperlink"/>
          </w:rPr>
          <w:t>Centre for Accessibility</w:t>
        </w:r>
      </w:hyperlink>
      <w:r>
        <w:t xml:space="preserve">. They will determine the student's eligibility for accommodations in accordance with </w:t>
      </w:r>
      <w:hyperlink r:id="rId11"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67BD1F1" w:rsidR="002A4D9B" w:rsidRPr="008651FD" w:rsidRDefault="00A96D60" w:rsidP="00FD431C">
      <w:pPr>
        <w:pStyle w:val="Heading2"/>
      </w:pPr>
      <w:bookmarkStart w:id="10" w:name="_Toc2236272"/>
      <w:r>
        <w:t xml:space="preserve">Other </w:t>
      </w:r>
      <w:r w:rsidR="002A4D9B" w:rsidRPr="008651FD">
        <w:t>Course</w:t>
      </w:r>
      <w:r w:rsidR="002A4D9B" w:rsidRPr="008651FD">
        <w:rPr>
          <w:rFonts w:eastAsia="Times New Roman"/>
        </w:rPr>
        <w:t xml:space="preserve"> Policies</w:t>
      </w:r>
      <w:bookmarkEnd w:id="10"/>
      <w:r w:rsidR="007E6C95">
        <w:rPr>
          <w:rFonts w:eastAsia="Times New Roman"/>
        </w:rPr>
        <w:t xml:space="preserve"> </w:t>
      </w:r>
    </w:p>
    <w:p w14:paraId="7E6B8D89" w14:textId="69A4012B" w:rsidR="002A4D9B" w:rsidRPr="008651FD" w:rsidRDefault="002A4D9B" w:rsidP="00FD431C">
      <w:pPr>
        <w:pStyle w:val="Heading3"/>
      </w:pPr>
      <w:r w:rsidRPr="008651FD">
        <w:t>Learning Analytics</w:t>
      </w:r>
      <w:r w:rsidR="007E6C95">
        <w:t xml:space="preserve"> </w:t>
      </w:r>
    </w:p>
    <w:p w14:paraId="7F21C670" w14:textId="56AE1CCA"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r w:rsidRPr="008651FD">
        <w:t xml:space="preserve">Many of these tools capture data about your activity and provide information that can be used to improve the quality of teaching and learning. In this course, I plan to use analytics data to: </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010DEC2C" w14:textId="5F9766AD" w:rsidR="005F77B5" w:rsidRPr="007E6C95" w:rsidRDefault="002A4D9B" w:rsidP="007E6C95">
      <w:pPr>
        <w:pStyle w:val="ListParagraph"/>
        <w:numPr>
          <w:ilvl w:val="0"/>
          <w:numId w:val="11"/>
        </w:numPr>
      </w:pPr>
      <w:r w:rsidRPr="008651FD">
        <w:t>Assess your participation in the course</w:t>
      </w:r>
    </w:p>
    <w:p w14:paraId="475D61E3" w14:textId="5F107295" w:rsidR="002A4D9B" w:rsidRPr="008651FD" w:rsidRDefault="00A96D60" w:rsidP="00FD431C">
      <w:pPr>
        <w:pStyle w:val="Heading3"/>
      </w:pPr>
      <w:r>
        <w:lastRenderedPageBreak/>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5642F681" w:rsidR="006057B2" w:rsidRPr="004862E2" w:rsidRDefault="006057B2" w:rsidP="006057B2">
      <w:pPr>
        <w:pStyle w:val="Heading2"/>
        <w:rPr>
          <w:color w:val="C00000"/>
        </w:rPr>
      </w:pPr>
      <w:r w:rsidRPr="00FD431C">
        <w:t xml:space="preserve">Acknowledgement </w:t>
      </w:r>
    </w:p>
    <w:p w14:paraId="541F8DC9" w14:textId="2826E069" w:rsidR="00F5259E" w:rsidRPr="008651FD" w:rsidRDefault="006057B2" w:rsidP="0040111E">
      <w:pPr>
        <w:rPr>
          <w:rFonts w:eastAsia="Times New Roman" w:cstheme="minorHAnsi"/>
        </w:rPr>
      </w:pPr>
      <w:r w:rsidRPr="008651FD">
        <w:t xml:space="preserve">UBC’s Point Grey Campus is located on the traditional, ancestral, and unceded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p>
    <w:sectPr w:rsidR="00F5259E" w:rsidRPr="008651FD" w:rsidSect="002A4D9B">
      <w:headerReference w:type="default" r:id="rId12"/>
      <w:footerReference w:type="even" r:id="rId13"/>
      <w:footerReference w:type="default" r:id="rId1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7B89F" w14:textId="77777777" w:rsidR="00C01858" w:rsidRDefault="00C01858" w:rsidP="00A27E1C">
      <w:r>
        <w:separator/>
      </w:r>
    </w:p>
    <w:p w14:paraId="520288D2" w14:textId="77777777" w:rsidR="00C01858" w:rsidRDefault="00C01858"/>
  </w:endnote>
  <w:endnote w:type="continuationSeparator" w:id="0">
    <w:p w14:paraId="4C2BEE16" w14:textId="77777777" w:rsidR="00C01858" w:rsidRDefault="00C01858" w:rsidP="00A27E1C">
      <w:r>
        <w:continuationSeparator/>
      </w:r>
    </w:p>
    <w:p w14:paraId="4C59A054" w14:textId="77777777" w:rsidR="00C01858" w:rsidRDefault="00C01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C01858"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4DB2C" w14:textId="77777777" w:rsidR="00737A9D" w:rsidRPr="00737A9D" w:rsidRDefault="00737A9D" w:rsidP="002A4D9B">
    <w:pPr>
      <w:pStyle w:val="Footer"/>
      <w:pBdr>
        <w:bottom w:val="single" w:sz="6" w:space="1" w:color="auto"/>
      </w:pBdr>
      <w:rPr>
        <w:sz w:val="22"/>
        <w:szCs w:val="22"/>
      </w:rPr>
    </w:pPr>
  </w:p>
  <w:p w14:paraId="1088E541" w14:textId="064CA529" w:rsidR="00F72C7C" w:rsidRPr="003B2F48" w:rsidRDefault="000F04F4" w:rsidP="00C55CEC">
    <w:pPr>
      <w:pStyle w:val="Footer"/>
      <w:spacing w:before="120"/>
    </w:pPr>
    <w:r>
      <w:t xml:space="preserve">AQUA 504 </w:t>
    </w:r>
    <w:r w:rsidR="00DD30BD">
      <w:t>001 2020W</w:t>
    </w:r>
    <w:r w:rsidR="00655287">
      <w:t xml:space="preserve"> Syllabus</w:t>
    </w:r>
    <w:r w:rsidR="00DB4938"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00DB4938" w:rsidRPr="003B2F48">
      <w:ptab w:relativeTo="margin" w:alignment="right" w:leader="none"/>
    </w:r>
    <w:r w:rsidR="00D86A53">
      <w:fldChar w:fldCharType="begin"/>
    </w:r>
    <w:r w:rsidR="00D86A53">
      <w:instrText xml:space="preserve"> DATE \@ "MMMM d, yyyy" </w:instrText>
    </w:r>
    <w:r w:rsidR="00D86A53">
      <w:fldChar w:fldCharType="separate"/>
    </w:r>
    <w:r w:rsidR="007E3925">
      <w:rPr>
        <w:noProof/>
      </w:rPr>
      <w:t>September 5,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FACB2" w14:textId="77777777" w:rsidR="00C01858" w:rsidRDefault="00C01858" w:rsidP="00A27E1C">
      <w:bookmarkStart w:id="0" w:name="_Hlk34640533"/>
      <w:bookmarkEnd w:id="0"/>
      <w:r>
        <w:separator/>
      </w:r>
    </w:p>
    <w:p w14:paraId="56F0F3F7" w14:textId="77777777" w:rsidR="00C01858" w:rsidRDefault="00C01858"/>
  </w:footnote>
  <w:footnote w:type="continuationSeparator" w:id="0">
    <w:p w14:paraId="59CB825E" w14:textId="77777777" w:rsidR="00C01858" w:rsidRDefault="00C01858" w:rsidP="00A27E1C">
      <w:r>
        <w:continuationSeparator/>
      </w:r>
    </w:p>
    <w:p w14:paraId="6F5548DB" w14:textId="77777777" w:rsidR="00C01858" w:rsidRDefault="00C018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1D490F"/>
    <w:multiLevelType w:val="hybridMultilevel"/>
    <w:tmpl w:val="5A68DB00"/>
    <w:numStyleLink w:val="ImportedStyle1"/>
  </w:abstractNum>
  <w:abstractNum w:abstractNumId="6"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F127C"/>
    <w:multiLevelType w:val="hybridMultilevel"/>
    <w:tmpl w:val="8D00AF72"/>
    <w:styleLink w:val="ImportedStyle10"/>
    <w:lvl w:ilvl="0" w:tplc="2BA2487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7B0E21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2FE77B6">
      <w:start w:val="1"/>
      <w:numFmt w:val="lowerRoman"/>
      <w:lvlText w:val="%3."/>
      <w:lvlJc w:val="left"/>
      <w:pPr>
        <w:ind w:left="2160" w:hanging="290"/>
      </w:pPr>
      <w:rPr>
        <w:rFonts w:hAnsi="Arial Unicode MS"/>
        <w:b/>
        <w:bCs/>
        <w:caps w:val="0"/>
        <w:smallCaps w:val="0"/>
        <w:strike w:val="0"/>
        <w:dstrike w:val="0"/>
        <w:outline w:val="0"/>
        <w:emboss w:val="0"/>
        <w:imprint w:val="0"/>
        <w:spacing w:val="0"/>
        <w:w w:val="100"/>
        <w:kern w:val="0"/>
        <w:position w:val="0"/>
        <w:highlight w:val="none"/>
        <w:vertAlign w:val="baseline"/>
      </w:rPr>
    </w:lvl>
    <w:lvl w:ilvl="3" w:tplc="0834146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3920BE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D3804EC">
      <w:start w:val="1"/>
      <w:numFmt w:val="lowerRoman"/>
      <w:lvlText w:val="%6."/>
      <w:lvlJc w:val="left"/>
      <w:pPr>
        <w:ind w:left="4320" w:hanging="290"/>
      </w:pPr>
      <w:rPr>
        <w:rFonts w:hAnsi="Arial Unicode MS"/>
        <w:b/>
        <w:bCs/>
        <w:caps w:val="0"/>
        <w:smallCaps w:val="0"/>
        <w:strike w:val="0"/>
        <w:dstrike w:val="0"/>
        <w:outline w:val="0"/>
        <w:emboss w:val="0"/>
        <w:imprint w:val="0"/>
        <w:spacing w:val="0"/>
        <w:w w:val="100"/>
        <w:kern w:val="0"/>
        <w:position w:val="0"/>
        <w:highlight w:val="none"/>
        <w:vertAlign w:val="baseline"/>
      </w:rPr>
    </w:lvl>
    <w:lvl w:ilvl="6" w:tplc="23E6727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A864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8B89EC4">
      <w:start w:val="1"/>
      <w:numFmt w:val="lowerRoman"/>
      <w:lvlText w:val="%9."/>
      <w:lvlJc w:val="left"/>
      <w:pPr>
        <w:ind w:left="6480" w:hanging="29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43544"/>
    <w:multiLevelType w:val="hybridMultilevel"/>
    <w:tmpl w:val="7EA277A4"/>
    <w:lvl w:ilvl="0" w:tplc="CA9A2F42">
      <w:start w:val="778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D9462A"/>
    <w:multiLevelType w:val="hybridMultilevel"/>
    <w:tmpl w:val="EB34ABE8"/>
    <w:styleLink w:val="ImportedStyle2"/>
    <w:lvl w:ilvl="0" w:tplc="82A20398">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69CDB84">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17824BA8">
      <w:start w:val="1"/>
      <w:numFmt w:val="lowerRoman"/>
      <w:lvlText w:val="%3."/>
      <w:lvlJc w:val="left"/>
      <w:pPr>
        <w:ind w:left="2160" w:hanging="290"/>
      </w:pPr>
      <w:rPr>
        <w:rFonts w:hAnsi="Arial Unicode MS"/>
        <w:i/>
        <w:iCs/>
        <w:caps w:val="0"/>
        <w:smallCaps w:val="0"/>
        <w:strike w:val="0"/>
        <w:dstrike w:val="0"/>
        <w:outline w:val="0"/>
        <w:emboss w:val="0"/>
        <w:imprint w:val="0"/>
        <w:spacing w:val="0"/>
        <w:w w:val="100"/>
        <w:kern w:val="0"/>
        <w:position w:val="0"/>
        <w:highlight w:val="none"/>
        <w:vertAlign w:val="baseline"/>
      </w:rPr>
    </w:lvl>
    <w:lvl w:ilvl="3" w:tplc="D1564A14">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DC28DF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43CCA2A">
      <w:start w:val="1"/>
      <w:numFmt w:val="lowerRoman"/>
      <w:lvlText w:val="%6."/>
      <w:lvlJc w:val="left"/>
      <w:pPr>
        <w:ind w:left="4320" w:hanging="290"/>
      </w:pPr>
      <w:rPr>
        <w:rFonts w:hAnsi="Arial Unicode MS"/>
        <w:i/>
        <w:iCs/>
        <w:caps w:val="0"/>
        <w:smallCaps w:val="0"/>
        <w:strike w:val="0"/>
        <w:dstrike w:val="0"/>
        <w:outline w:val="0"/>
        <w:emboss w:val="0"/>
        <w:imprint w:val="0"/>
        <w:spacing w:val="0"/>
        <w:w w:val="100"/>
        <w:kern w:val="0"/>
        <w:position w:val="0"/>
        <w:highlight w:val="none"/>
        <w:vertAlign w:val="baseline"/>
      </w:rPr>
    </w:lvl>
    <w:lvl w:ilvl="6" w:tplc="6B1ED4B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6D26A714">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6142664">
      <w:start w:val="1"/>
      <w:numFmt w:val="lowerRoman"/>
      <w:lvlText w:val="%9."/>
      <w:lvlJc w:val="left"/>
      <w:pPr>
        <w:ind w:left="6480" w:hanging="29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A7A95"/>
    <w:multiLevelType w:val="hybridMultilevel"/>
    <w:tmpl w:val="EB34ABE8"/>
    <w:numStyleLink w:val="ImportedStyle2"/>
  </w:abstractNum>
  <w:abstractNum w:abstractNumId="22"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A5BE9"/>
    <w:multiLevelType w:val="hybridMultilevel"/>
    <w:tmpl w:val="8D00AF72"/>
    <w:numStyleLink w:val="ImportedStyle10"/>
  </w:abstractNum>
  <w:abstractNum w:abstractNumId="24" w15:restartNumberingAfterBreak="0">
    <w:nsid w:val="7D091E32"/>
    <w:multiLevelType w:val="hybridMultilevel"/>
    <w:tmpl w:val="5A68DB00"/>
    <w:styleLink w:val="ImportedStyle1"/>
    <w:lvl w:ilvl="0" w:tplc="0840B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5674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3C59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4CD9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C6E8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D40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54F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12B8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5673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4"/>
  </w:num>
  <w:num w:numId="4">
    <w:abstractNumId w:val="6"/>
  </w:num>
  <w:num w:numId="5">
    <w:abstractNumId w:val="13"/>
  </w:num>
  <w:num w:numId="6">
    <w:abstractNumId w:val="11"/>
  </w:num>
  <w:num w:numId="7">
    <w:abstractNumId w:val="10"/>
  </w:num>
  <w:num w:numId="8">
    <w:abstractNumId w:val="8"/>
  </w:num>
  <w:num w:numId="9">
    <w:abstractNumId w:val="1"/>
  </w:num>
  <w:num w:numId="10">
    <w:abstractNumId w:val="20"/>
  </w:num>
  <w:num w:numId="11">
    <w:abstractNumId w:val="2"/>
  </w:num>
  <w:num w:numId="12">
    <w:abstractNumId w:val="19"/>
  </w:num>
  <w:num w:numId="13">
    <w:abstractNumId w:val="18"/>
  </w:num>
  <w:num w:numId="14">
    <w:abstractNumId w:val="17"/>
  </w:num>
  <w:num w:numId="15">
    <w:abstractNumId w:val="7"/>
  </w:num>
  <w:num w:numId="16">
    <w:abstractNumId w:val="22"/>
  </w:num>
  <w:num w:numId="17">
    <w:abstractNumId w:val="16"/>
  </w:num>
  <w:num w:numId="18">
    <w:abstractNumId w:val="3"/>
  </w:num>
  <w:num w:numId="19">
    <w:abstractNumId w:val="9"/>
  </w:num>
  <w:num w:numId="20">
    <w:abstractNumId w:val="24"/>
  </w:num>
  <w:num w:numId="21">
    <w:abstractNumId w:val="5"/>
  </w:num>
  <w:num w:numId="22">
    <w:abstractNumId w:val="12"/>
  </w:num>
  <w:num w:numId="23">
    <w:abstractNumId w:val="23"/>
  </w:num>
  <w:num w:numId="24">
    <w:abstractNumId w:val="14"/>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313F"/>
    <w:rsid w:val="000141AA"/>
    <w:rsid w:val="00021EE2"/>
    <w:rsid w:val="00030FD1"/>
    <w:rsid w:val="000904F0"/>
    <w:rsid w:val="00090829"/>
    <w:rsid w:val="000972CA"/>
    <w:rsid w:val="000A54C2"/>
    <w:rsid w:val="000F04F4"/>
    <w:rsid w:val="00137749"/>
    <w:rsid w:val="0019250B"/>
    <w:rsid w:val="001B6216"/>
    <w:rsid w:val="001E15DB"/>
    <w:rsid w:val="001F09FD"/>
    <w:rsid w:val="002054F6"/>
    <w:rsid w:val="00213173"/>
    <w:rsid w:val="00230D68"/>
    <w:rsid w:val="002348A2"/>
    <w:rsid w:val="00237D4A"/>
    <w:rsid w:val="0027738D"/>
    <w:rsid w:val="00285C5C"/>
    <w:rsid w:val="002A4D9B"/>
    <w:rsid w:val="002B15EC"/>
    <w:rsid w:val="002B524C"/>
    <w:rsid w:val="002D3415"/>
    <w:rsid w:val="002D5B97"/>
    <w:rsid w:val="003605C9"/>
    <w:rsid w:val="0036736A"/>
    <w:rsid w:val="00370928"/>
    <w:rsid w:val="0038644A"/>
    <w:rsid w:val="0039226F"/>
    <w:rsid w:val="0039377D"/>
    <w:rsid w:val="003A072F"/>
    <w:rsid w:val="003B2F48"/>
    <w:rsid w:val="003C1755"/>
    <w:rsid w:val="003D2D36"/>
    <w:rsid w:val="003E566C"/>
    <w:rsid w:val="0040111E"/>
    <w:rsid w:val="00414243"/>
    <w:rsid w:val="00440680"/>
    <w:rsid w:val="004439FE"/>
    <w:rsid w:val="004755F3"/>
    <w:rsid w:val="004862E2"/>
    <w:rsid w:val="0049598F"/>
    <w:rsid w:val="004A022A"/>
    <w:rsid w:val="004C34C6"/>
    <w:rsid w:val="004D49B8"/>
    <w:rsid w:val="004E61A0"/>
    <w:rsid w:val="005024FB"/>
    <w:rsid w:val="00513D81"/>
    <w:rsid w:val="00547DCA"/>
    <w:rsid w:val="0056762A"/>
    <w:rsid w:val="00570E59"/>
    <w:rsid w:val="005F77B5"/>
    <w:rsid w:val="00602F5F"/>
    <w:rsid w:val="006057B2"/>
    <w:rsid w:val="0061059E"/>
    <w:rsid w:val="00655287"/>
    <w:rsid w:val="00657D01"/>
    <w:rsid w:val="00685260"/>
    <w:rsid w:val="00697282"/>
    <w:rsid w:val="006B2E85"/>
    <w:rsid w:val="006C4EDA"/>
    <w:rsid w:val="007117CE"/>
    <w:rsid w:val="00721E7D"/>
    <w:rsid w:val="007279A4"/>
    <w:rsid w:val="0073312A"/>
    <w:rsid w:val="00737A9D"/>
    <w:rsid w:val="00772F1F"/>
    <w:rsid w:val="0079326B"/>
    <w:rsid w:val="007A2044"/>
    <w:rsid w:val="007B1741"/>
    <w:rsid w:val="007D7468"/>
    <w:rsid w:val="007E2CAE"/>
    <w:rsid w:val="007E3925"/>
    <w:rsid w:val="007E662B"/>
    <w:rsid w:val="007E6C95"/>
    <w:rsid w:val="00803857"/>
    <w:rsid w:val="00851D84"/>
    <w:rsid w:val="008C0433"/>
    <w:rsid w:val="008C20FD"/>
    <w:rsid w:val="008D2FE0"/>
    <w:rsid w:val="008E53FB"/>
    <w:rsid w:val="00904762"/>
    <w:rsid w:val="00906006"/>
    <w:rsid w:val="009066FE"/>
    <w:rsid w:val="0090751A"/>
    <w:rsid w:val="00915046"/>
    <w:rsid w:val="00942DB0"/>
    <w:rsid w:val="00953038"/>
    <w:rsid w:val="00974EB9"/>
    <w:rsid w:val="0099378C"/>
    <w:rsid w:val="009A35F3"/>
    <w:rsid w:val="009C2324"/>
    <w:rsid w:val="009C6D42"/>
    <w:rsid w:val="009F5788"/>
    <w:rsid w:val="00A22E5E"/>
    <w:rsid w:val="00A27621"/>
    <w:rsid w:val="00A27E1C"/>
    <w:rsid w:val="00A51B44"/>
    <w:rsid w:val="00A738D8"/>
    <w:rsid w:val="00A7507C"/>
    <w:rsid w:val="00A96D60"/>
    <w:rsid w:val="00AB18C3"/>
    <w:rsid w:val="00AC55C6"/>
    <w:rsid w:val="00AD3264"/>
    <w:rsid w:val="00AD428E"/>
    <w:rsid w:val="00AF245A"/>
    <w:rsid w:val="00AF31A5"/>
    <w:rsid w:val="00B17D05"/>
    <w:rsid w:val="00B2670A"/>
    <w:rsid w:val="00B27DA5"/>
    <w:rsid w:val="00B344E8"/>
    <w:rsid w:val="00B4440F"/>
    <w:rsid w:val="00B63561"/>
    <w:rsid w:val="00B82F75"/>
    <w:rsid w:val="00BE2ACC"/>
    <w:rsid w:val="00BF2355"/>
    <w:rsid w:val="00C01858"/>
    <w:rsid w:val="00C06D0E"/>
    <w:rsid w:val="00C1649E"/>
    <w:rsid w:val="00C3036E"/>
    <w:rsid w:val="00C45CED"/>
    <w:rsid w:val="00C55CEC"/>
    <w:rsid w:val="00C60C03"/>
    <w:rsid w:val="00C628A0"/>
    <w:rsid w:val="00CA4A84"/>
    <w:rsid w:val="00CB27C1"/>
    <w:rsid w:val="00CD2C42"/>
    <w:rsid w:val="00CD75B7"/>
    <w:rsid w:val="00CF0FA8"/>
    <w:rsid w:val="00CF2F20"/>
    <w:rsid w:val="00D052A3"/>
    <w:rsid w:val="00D154D8"/>
    <w:rsid w:val="00D17F63"/>
    <w:rsid w:val="00D63FB9"/>
    <w:rsid w:val="00D86A53"/>
    <w:rsid w:val="00DB33EA"/>
    <w:rsid w:val="00DB4938"/>
    <w:rsid w:val="00DD30BD"/>
    <w:rsid w:val="00DD6D32"/>
    <w:rsid w:val="00DD7902"/>
    <w:rsid w:val="00E17EB3"/>
    <w:rsid w:val="00E4513A"/>
    <w:rsid w:val="00E54914"/>
    <w:rsid w:val="00E642DE"/>
    <w:rsid w:val="00EA31A7"/>
    <w:rsid w:val="00EA53ED"/>
    <w:rsid w:val="00ED65BD"/>
    <w:rsid w:val="00EE1A3D"/>
    <w:rsid w:val="00EE45B9"/>
    <w:rsid w:val="00F36290"/>
    <w:rsid w:val="00F43354"/>
    <w:rsid w:val="00F5259E"/>
    <w:rsid w:val="00F55AB7"/>
    <w:rsid w:val="00F91FC6"/>
    <w:rsid w:val="00F96631"/>
    <w:rsid w:val="00FA3381"/>
    <w:rsid w:val="00FA5DE9"/>
    <w:rsid w:val="00FD169A"/>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 w:type="paragraph" w:customStyle="1" w:styleId="WPNormal">
    <w:name w:val="WP_Normal"/>
    <w:rsid w:val="009C2324"/>
    <w:pPr>
      <w:pBdr>
        <w:top w:val="nil"/>
        <w:left w:val="nil"/>
        <w:bottom w:val="nil"/>
        <w:right w:val="nil"/>
        <w:between w:val="nil"/>
        <w:bar w:val="nil"/>
      </w:pBdr>
      <w:spacing w:after="0" w:line="240" w:lineRule="auto"/>
    </w:pPr>
    <w:rPr>
      <w:rFonts w:ascii="Monaco" w:eastAsia="Monaco" w:hAnsi="Monaco" w:cs="Monaco"/>
      <w:color w:val="000000"/>
      <w:sz w:val="24"/>
      <w:szCs w:val="24"/>
      <w:u w:color="000000"/>
      <w:bdr w:val="nil"/>
      <w:lang w:eastAsia="en-US"/>
    </w:rPr>
  </w:style>
  <w:style w:type="character" w:customStyle="1" w:styleId="None">
    <w:name w:val="None"/>
    <w:rsid w:val="009C2324"/>
  </w:style>
  <w:style w:type="numbering" w:customStyle="1" w:styleId="ImportedStyle1">
    <w:name w:val="Imported Style 1"/>
    <w:rsid w:val="00C06D0E"/>
    <w:pPr>
      <w:numPr>
        <w:numId w:val="20"/>
      </w:numPr>
    </w:pPr>
  </w:style>
  <w:style w:type="numbering" w:customStyle="1" w:styleId="ImportedStyle10">
    <w:name w:val="Imported Style 1.0"/>
    <w:rsid w:val="00C45CED"/>
    <w:pPr>
      <w:numPr>
        <w:numId w:val="22"/>
      </w:numPr>
    </w:pPr>
  </w:style>
  <w:style w:type="numbering" w:customStyle="1" w:styleId="ImportedStyle2">
    <w:name w:val="Imported Style 2"/>
    <w:rsid w:val="00B4440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versitycounsel-2015.sites.olt.ubc.ca/files/2019/08/Disability-Accommodation-Policy_LR7.pdf?file=2010/08/policy7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ents.ubc.ca/about-student-services/centre-for-accessibility" TargetMode="External"/><Relationship Id="rId4" Type="http://schemas.openxmlformats.org/officeDocument/2006/relationships/settings" Target="settings.xml"/><Relationship Id="rId9" Type="http://schemas.openxmlformats.org/officeDocument/2006/relationships/hyperlink" Target="http://www.calendar.ubc.ca/vancouver/index.cfm?tree=3,54,0,0"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anonymous</cp:lastModifiedBy>
  <cp:revision>76</cp:revision>
  <cp:lastPrinted>2020-04-19T05:56:00Z</cp:lastPrinted>
  <dcterms:created xsi:type="dcterms:W3CDTF">2020-09-05T18:17:00Z</dcterms:created>
  <dcterms:modified xsi:type="dcterms:W3CDTF">2020-09-05T19:48:00Z</dcterms:modified>
</cp:coreProperties>
</file>