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Override PartName="/word/media/rId2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Vision</w:t>
      </w:r>
      <w:r>
        <w:t xml:space="preserve"> </w:t>
      </w:r>
      <w:r>
        <w:t xml:space="preserve">over</w:t>
      </w:r>
      <w:r>
        <w:t xml:space="preserve"> </w:t>
      </w:r>
      <w:r>
        <w:t xml:space="preserve">Transit</w:t>
      </w:r>
      <w:r>
        <w:t xml:space="preserve"> </w:t>
      </w:r>
      <w:r>
        <w:t xml:space="preserve">Incidents</w:t>
      </w:r>
      <w:r>
        <w:t xml:space="preserve"> </w:t>
      </w:r>
      <w:r>
        <w:t xml:space="preserve">and</w:t>
      </w:r>
      <w:r>
        <w:t xml:space="preserve"> </w:t>
      </w:r>
      <w:r>
        <w:t xml:space="preserve">Claims</w:t>
      </w:r>
      <w:r>
        <w:t xml:space="preserve"> </w:t>
      </w:r>
      <w:r>
        <w:t xml:space="preserve">Final</w:t>
      </w:r>
      <w:r>
        <w:t xml:space="preserve"> </w:t>
      </w:r>
      <w:r>
        <w:t xml:space="preserve">Report</w:t>
      </w:r>
    </w:p>
    <w:p>
      <w:pPr>
        <w:pStyle w:val="Author"/>
      </w:pPr>
      <w:r>
        <w:t xml:space="preserve">Brayden</w:t>
      </w:r>
      <w:r>
        <w:t xml:space="preserve"> </w:t>
      </w:r>
      <w:r>
        <w:t xml:space="preserve">Tang,</w:t>
      </w:r>
      <w:r>
        <w:t xml:space="preserve"> </w:t>
      </w:r>
      <w:r>
        <w:t xml:space="preserve">Kirk</w:t>
      </w:r>
      <w:r>
        <w:t xml:space="preserve"> </w:t>
      </w:r>
      <w:r>
        <w:t xml:space="preserve">Zhong,</w:t>
      </w:r>
      <w:r>
        <w:t xml:space="preserve"> </w:t>
      </w:r>
      <w:r>
        <w:t xml:space="preserve">Merve</w:t>
      </w:r>
      <w:r>
        <w:t xml:space="preserve"> </w:t>
      </w:r>
      <w:r>
        <w:t xml:space="preserve">Sahin,</w:t>
      </w:r>
      <w:r>
        <w:t xml:space="preserve"> </w:t>
      </w:r>
      <w:r>
        <w:t xml:space="preserve">Simardeep</w:t>
      </w:r>
      <w:r>
        <w:t xml:space="preserve"> </w:t>
      </w:r>
      <w:r>
        <w:t xml:space="preserve">Kaur</w:t>
      </w:r>
    </w:p>
    <w:p>
      <w:pPr>
        <w:pStyle w:val="Heading1"/>
      </w:pPr>
      <w:bookmarkStart w:id="20" w:name="summary"/>
      <w:r>
        <w:t xml:space="preserve">SUMMARY</w:t>
      </w:r>
      <w:bookmarkEnd w:id="20"/>
    </w:p>
    <w:p>
      <w:pPr>
        <w:pStyle w:val="FirstParagraph"/>
      </w:pPr>
      <w:r>
        <w:t xml:space="preserve">In 2019/2020, TransLink has paid around $20 million in expenses for insurance claims to ICBC and $1.6 million in premium to the captive insurance company. Additionally, the premium paid by TransLink has increased by more than 200% during the last five years. The project builds upon the identification of potential factors responsible for the occurrence of incidents. To reduce the count of incidents in the future, statistical methods such as zero-truncated regression, time series modeling, and mixed-effect models will be leveraged in order to identify the incident patterns and factors that are predictive of incident frequency.</w:t>
      </w:r>
    </w:p>
    <w:p>
      <w:pPr>
        <w:pStyle w:val="Heading1"/>
      </w:pPr>
      <w:bookmarkStart w:id="21" w:name="introduction"/>
      <w:r>
        <w:t xml:space="preserve">INTRODUCTION</w:t>
      </w:r>
      <w:bookmarkEnd w:id="21"/>
    </w:p>
    <w:p>
      <w:pPr>
        <w:pStyle w:val="FirstParagraph"/>
      </w:pPr>
      <w:r>
        <w:t xml:space="preserve">With the largest transit service area in Canada, TransLink is operating more than 245 bus routes and 79 kilometers of rapid transit to meet the transportation needs of 2.5 million people in Metro Vancouver as of the end of 2018</w:t>
      </w:r>
      <w:r>
        <w:t xml:space="preserve"> </w:t>
      </w:r>
      <w:r>
        <w:t xml:space="preserve">(TransLink 2018)</w:t>
      </w:r>
      <w:r>
        <w:t xml:space="preserve">. Legislation requires TransLink to carry a $1 million per occurrence liability policy on each of its revenue vehicles and a $200,000 per occurrence liability policy on each of its non-revenue vehicles. Since 2014/2015, the premium paid to ICBC has increased by over 200% to cover onboard passenger injuries, cyclist injuries, pedestrian injuries, and losses from collisions with third party vehicles. Running alongside, the premium paid to its own captive insurance company has increased by 33% for at-fault physical damage losses to its vehicles. In response to soaring insurance costs and road safety concerns, this research will investigate variables of interest that may influence the frequency of transit incidents and claims. The research objectives are to:</w:t>
      </w:r>
    </w:p>
    <w:p>
      <w:pPr>
        <w:pStyle w:val="Compact"/>
        <w:numPr>
          <w:numId w:val="1001"/>
          <w:ilvl w:val="0"/>
        </w:numPr>
      </w:pPr>
      <w:r>
        <w:t xml:space="preserve">Characterize current patterns of incident frequency in terms of variables related to drivers and vehicles</w:t>
      </w:r>
    </w:p>
    <w:p>
      <w:pPr>
        <w:pStyle w:val="Compact"/>
        <w:numPr>
          <w:numId w:val="1001"/>
          <w:ilvl w:val="0"/>
        </w:numPr>
      </w:pPr>
      <w:r>
        <w:t xml:space="preserve">With the help of external data such as weather conditions and geographic data, examine how predictive these variables are of incidents/claims</w:t>
      </w:r>
    </w:p>
    <w:p>
      <w:pPr>
        <w:pStyle w:val="Compact"/>
        <w:numPr>
          <w:numId w:val="1001"/>
          <w:ilvl w:val="0"/>
        </w:numPr>
      </w:pPr>
      <w:r>
        <w:t xml:space="preserve">Recommend actions for TransLink to reduce the incident frequency strategically</w:t>
      </w:r>
    </w:p>
    <w:p>
      <w:pPr>
        <w:pStyle w:val="Heading1"/>
      </w:pPr>
      <w:bookmarkStart w:id="22" w:name="data-product"/>
      <w:r>
        <w:t xml:space="preserve">DATA PRODUCT</w:t>
      </w:r>
      <w:bookmarkEnd w:id="22"/>
    </w:p>
    <w:p>
      <w:pPr>
        <w:pStyle w:val="FirstParagraph"/>
      </w:pPr>
      <w:r>
        <w:t xml:space="preserve">A fully reproducible and interactive report will be delivered at the end of the project. The report will give a visual representation of relationships between the frequency of claims and specific variables interactively. The project will use a fully reproducible data pipeline so that the user can run the entire analysis using simple and understandable make commands. A docker container for reproducibility on any operating system will also be included.</w:t>
      </w:r>
    </w:p>
    <w:p>
      <w:pPr>
        <w:pStyle w:val="Heading1"/>
      </w:pPr>
      <w:bookmarkStart w:id="23" w:name="data-description"/>
      <w:r>
        <w:t xml:space="preserve">DATA DESCRIPTION</w:t>
      </w:r>
      <w:bookmarkEnd w:id="23"/>
    </w:p>
    <w:p>
      <w:pPr>
        <w:pStyle w:val="FirstParagraph"/>
      </w:pPr>
      <w:r>
        <w:t xml:space="preserve">Below is a summary of the data sets that this project will be built on.</w:t>
      </w:r>
    </w:p>
    <w:p>
      <w:pPr>
        <w:pStyle w:val="BodyText"/>
      </w:pPr>
      <w:r>
        <w:drawing>
          <wp:inline>
            <wp:extent cx="5943600" cy="2895600"/>
            <wp:effectExtent b="0" l="0" r="0" t="0"/>
            <wp:docPr descr="" title="" id="1" name="Picture"/>
            <a:graphic>
              <a:graphicData uri="http://schemas.openxmlformats.org/drawingml/2006/picture">
                <pic:pic>
                  <pic:nvPicPr>
                    <pic:cNvPr descr="images/picture1.png" id="0" name="Picture"/>
                    <pic:cNvPicPr>
                      <a:picLocks noChangeArrowheads="1" noChangeAspect="1"/>
                    </pic:cNvPicPr>
                  </pic:nvPicPr>
                  <pic:blipFill>
                    <a:blip r:embed="rId24"/>
                    <a:stretch>
                      <a:fillRect/>
                    </a:stretch>
                  </pic:blipFill>
                  <pic:spPr bwMode="auto">
                    <a:xfrm>
                      <a:off x="0" y="0"/>
                      <a:ext cx="5943600" cy="2895600"/>
                    </a:xfrm>
                    <a:prstGeom prst="rect">
                      <a:avLst/>
                    </a:prstGeom>
                    <a:noFill/>
                    <a:ln w="9525">
                      <a:noFill/>
                      <a:headEnd/>
                      <a:tailEnd/>
                    </a:ln>
                  </pic:spPr>
                </pic:pic>
              </a:graphicData>
            </a:graphic>
          </wp:inline>
        </w:drawing>
      </w:r>
    </w:p>
    <w:p>
      <w:pPr>
        <w:pStyle w:val="BodyText"/>
      </w:pPr>
      <w:r>
        <w:t xml:space="preserve">The key variables in each dataset that have the highest potential to answer the core business problems are:</w:t>
      </w:r>
    </w:p>
    <w:p>
      <w:pPr>
        <w:pStyle w:val="Compact"/>
        <w:numPr>
          <w:numId w:val="1002"/>
          <w:ilvl w:val="0"/>
        </w:numPr>
      </w:pPr>
      <w:r>
        <w:t xml:space="preserve">Bus model and length from the</w:t>
      </w:r>
      <w:r>
        <w:t xml:space="preserve"> </w:t>
      </w:r>
      <w:r>
        <w:t xml:space="preserve">“</w:t>
      </w:r>
      <w:r>
        <w:t xml:space="preserve">Bus Trip Information</w:t>
      </w:r>
      <w:r>
        <w:t xml:space="preserve">”</w:t>
      </w:r>
      <w:r>
        <w:t xml:space="preserve"> </w:t>
      </w:r>
      <w:r>
        <w:t xml:space="preserve">dataset.</w:t>
      </w:r>
    </w:p>
    <w:p>
      <w:pPr>
        <w:pStyle w:val="Compact"/>
        <w:numPr>
          <w:numId w:val="1002"/>
          <w:ilvl w:val="0"/>
        </w:numPr>
      </w:pPr>
      <w:r>
        <w:t xml:space="preserve">Experience and probation status of the drivers from the</w:t>
      </w:r>
      <w:r>
        <w:t xml:space="preserve"> </w:t>
      </w:r>
      <w:r>
        <w:t xml:space="preserve">“</w:t>
      </w:r>
      <w:r>
        <w:t xml:space="preserve">Operator Occurrences</w:t>
      </w:r>
      <w:r>
        <w:t xml:space="preserve">”</w:t>
      </w:r>
      <w:r>
        <w:t xml:space="preserve"> </w:t>
      </w:r>
      <w:r>
        <w:t xml:space="preserve">dataset.</w:t>
      </w:r>
    </w:p>
    <w:p>
      <w:pPr>
        <w:pStyle w:val="Compact"/>
        <w:numPr>
          <w:numId w:val="1002"/>
          <w:ilvl w:val="0"/>
        </w:numPr>
      </w:pPr>
      <w:r>
        <w:t xml:space="preserve">Loss location and claim description from the</w:t>
      </w:r>
      <w:r>
        <w:t xml:space="preserve"> </w:t>
      </w:r>
      <w:r>
        <w:t xml:space="preserve">“</w:t>
      </w:r>
      <w:r>
        <w:t xml:space="preserve">Collisions</w:t>
      </w:r>
      <w:r>
        <w:t xml:space="preserve">”</w:t>
      </w:r>
      <w:r>
        <w:t xml:space="preserve"> </w:t>
      </w:r>
      <w:r>
        <w:t xml:space="preserve">dataset.</w:t>
      </w:r>
    </w:p>
    <w:p>
      <w:pPr>
        <w:pStyle w:val="Compact"/>
        <w:numPr>
          <w:numId w:val="1002"/>
          <w:ilvl w:val="0"/>
        </w:numPr>
      </w:pPr>
      <w:r>
        <w:t xml:space="preserve">Loss date and more granular information about the claim amount from the</w:t>
      </w:r>
      <w:r>
        <w:t xml:space="preserve"> </w:t>
      </w:r>
      <w:r>
        <w:t xml:space="preserve">“</w:t>
      </w:r>
      <w:r>
        <w:t xml:space="preserve">Claims</w:t>
      </w:r>
      <w:r>
        <w:t xml:space="preserve">”</w:t>
      </w:r>
      <w:r>
        <w:t xml:space="preserve"> </w:t>
      </w:r>
      <w:r>
        <w:t xml:space="preserve">dataset.</w:t>
      </w:r>
    </w:p>
    <w:p>
      <w:pPr>
        <w:pStyle w:val="Heading1"/>
      </w:pPr>
      <w:bookmarkStart w:id="25" w:name="methodology"/>
      <w:r>
        <w:t xml:space="preserve">METHODOLOGY</w:t>
      </w:r>
      <w:bookmarkEnd w:id="25"/>
    </w:p>
    <w:p>
      <w:pPr>
        <w:pStyle w:val="FirstParagraph"/>
      </w:pPr>
      <w:r>
        <w:t xml:space="preserve">The analysis will focus on preventable, rather than non-preventable, claims incidents. Non-preventable incidents are less likely to lend themselves to easy interventions that could reduce insurance-related costs. Preliminary analysis will focus on the incident occurrence rather than the incidence cost since claims can remain open for an extended time (which means costs cannot be assessed accurately).</w:t>
      </w:r>
    </w:p>
    <w:p>
      <w:pPr>
        <w:pStyle w:val="BodyText"/>
      </w:pPr>
      <w:r>
        <w:t xml:space="preserve">Multiple separate analyses will be used to determine variables of interest in predicting incident occurrence. Individual variables, such as time, operator, location, and bus type, require different statistical or machine learning approaches to relate them to the variable of interest since each variable operates at a different level of aggregation. However, these separate analyses could potentially serve as a basis for the creation of a composite machine learning model, where all variables that are identified to be predictive are used simultaneously.</w:t>
      </w:r>
    </w:p>
    <w:p>
      <w:pPr>
        <w:pStyle w:val="BodyText"/>
      </w:pPr>
      <w:r>
        <w:t xml:space="preserve">To assess the predictive power of time and weather on occurrences, a time series analysis is proposed in which weather will be used as an exogenous variable. In addition, the predictive power of bus type and location are to be analyzed using mixed-effect model approaches, due to the natural grouping of the data. For simplicity, a linear mixed model will be investigated first, using region and various bus features as random effects. Figure A demonstrates a potential relationship between preventable occurrences and vehicle year, for instance, that could be incorporated in a mixed model approach.</w:t>
      </w:r>
    </w:p>
    <w:p>
      <w:pPr>
        <w:pStyle w:val="BodyText"/>
      </w:pPr>
      <w:r>
        <w:t xml:space="preserve">The operator dataset only contains operators with at least one incident. Therefore, to account for this bias zero-truncated models or Bayesian regression models will be considered, which will incorporate variables such as cost centre and experience. Figure B, for example, demonstrates a potential correlation between experience and incidents/year that can be exploited in these models. Finally, to find out whether certain descriptions and/or codes exhibit similar loss experience, methods such as standard cluster analyses will be deployed to identify potential groupings. Furthermore, topic modeling for the manually written accident descriptions will be used to further determine potential groupings or patterns in claim behavior.</w:t>
      </w:r>
    </w:p>
    <w:p>
      <w:pPr>
        <w:pStyle w:val="BodyText"/>
      </w:pPr>
      <w:r>
        <w:drawing>
          <wp:inline>
            <wp:extent cx="5943600" cy="4165600"/>
            <wp:effectExtent b="0" l="0" r="0" t="0"/>
            <wp:docPr descr="" title="" id="1" name="Picture"/>
            <a:graphic>
              <a:graphicData uri="http://schemas.openxmlformats.org/drawingml/2006/picture">
                <pic:pic>
                  <pic:nvPicPr>
                    <pic:cNvPr descr="images/picture3.png" id="0" name="Picture"/>
                    <pic:cNvPicPr>
                      <a:picLocks noChangeArrowheads="1" noChangeAspect="1"/>
                    </pic:cNvPicPr>
                  </pic:nvPicPr>
                  <pic:blipFill>
                    <a:blip r:embed="rId26"/>
                    <a:stretch>
                      <a:fillRect/>
                    </a:stretch>
                  </pic:blipFill>
                  <pic:spPr bwMode="auto">
                    <a:xfrm>
                      <a:off x="0" y="0"/>
                      <a:ext cx="5943600" cy="4165600"/>
                    </a:xfrm>
                    <a:prstGeom prst="rect">
                      <a:avLst/>
                    </a:prstGeom>
                    <a:noFill/>
                    <a:ln w="9525">
                      <a:noFill/>
                      <a:headEnd/>
                      <a:tailEnd/>
                    </a:ln>
                  </pic:spPr>
                </pic:pic>
              </a:graphicData>
            </a:graphic>
          </wp:inline>
        </w:drawing>
      </w:r>
      <w:r>
        <w:t xml:space="preserve"> </w:t>
      </w:r>
      <w:r>
        <w:rPr>
          <w:i/>
        </w:rPr>
        <w:t xml:space="preserve">Figure A: Count of preventable occurrences per asset vehicle year. Older vehicles appear to show a greater number of incident occurrences. However, it is essential that the number of each type of bus in use (in each year) is obtained to get a fairer comparison so that rates can be calculated instead.</w:t>
      </w:r>
    </w:p>
    <w:p>
      <w:pPr>
        <w:pStyle w:val="BodyText"/>
      </w:pPr>
      <w:r>
        <w:rPr>
          <w:i/>
        </w:rPr>
        <w:t xml:space="preserve">Figure B: The incidents/year against operator experience. There is a very clear correlation between operator experience and incident rate.</w:t>
      </w:r>
    </w:p>
    <w:p>
      <w:pPr>
        <w:pStyle w:val="Heading1"/>
      </w:pPr>
      <w:bookmarkStart w:id="27" w:name="timeline"/>
      <w:r>
        <w:t xml:space="preserve">TIMELINE</w:t>
      </w:r>
      <w:bookmarkEnd w:id="27"/>
    </w:p>
    <w:p>
      <w:pPr>
        <w:pStyle w:val="FirstParagraph"/>
      </w:pPr>
      <w:r>
        <w:t xml:space="preserve">The project will be completed with a four-phase research plan. After refining the research objectives, the proposal is expected to be composed during the first phase The second phase consists of three tasks: data preprocessing and getting some preliminary results via exploratory data analysis. Findings will be communicated directly to TransLink to further explore and implement any possible feedback to improve the analysis. Meanwhile, a Makefile is expected throughout the project to establish a data pipeline. In the third phase, the final predictive model will be developed, and the final interactive report will be generated. With a docker container, the data pipeline will be completed to make the project fully reproducible. The fourth phase is dedicated to final reviews and completion of the project.</w:t>
      </w:r>
    </w:p>
    <w:p>
      <w:pPr>
        <w:pStyle w:val="BodyText"/>
      </w:pPr>
      <w:r>
        <w:drawing>
          <wp:inline>
            <wp:extent cx="5943600" cy="1467997"/>
            <wp:effectExtent b="0" l="0" r="0" t="0"/>
            <wp:docPr descr="" title="" id="1" name="Picture"/>
            <a:graphic>
              <a:graphicData uri="http://schemas.openxmlformats.org/drawingml/2006/picture">
                <pic:pic>
                  <pic:nvPicPr>
                    <pic:cNvPr descr="images/picture2.png" id="0" name="Picture"/>
                    <pic:cNvPicPr>
                      <a:picLocks noChangeArrowheads="1" noChangeAspect="1"/>
                    </pic:cNvPicPr>
                  </pic:nvPicPr>
                  <pic:blipFill>
                    <a:blip r:embed="rId28"/>
                    <a:stretch>
                      <a:fillRect/>
                    </a:stretch>
                  </pic:blipFill>
                  <pic:spPr bwMode="auto">
                    <a:xfrm>
                      <a:off x="0" y="0"/>
                      <a:ext cx="5943600" cy="1467997"/>
                    </a:xfrm>
                    <a:prstGeom prst="rect">
                      <a:avLst/>
                    </a:prstGeom>
                    <a:noFill/>
                    <a:ln w="9525">
                      <a:noFill/>
                      <a:headEnd/>
                      <a:tailEnd/>
                    </a:ln>
                  </pic:spPr>
                </pic:pic>
              </a:graphicData>
            </a:graphic>
          </wp:inline>
        </w:drawing>
      </w:r>
    </w:p>
    <w:p>
      <w:pPr>
        <w:pStyle w:val="Heading1"/>
      </w:pPr>
      <w:bookmarkStart w:id="29" w:name="reference"/>
      <w:r>
        <w:t xml:space="preserve">REFERENCE</w:t>
      </w:r>
      <w:bookmarkEnd w:id="29"/>
    </w:p>
    <w:bookmarkStart w:id="32" w:name="refs"/>
    <w:bookmarkStart w:id="31" w:name="ref-TransLink"/>
    <w:p>
      <w:pPr>
        <w:pStyle w:val="Bibliography"/>
      </w:pPr>
      <w:r>
        <w:t xml:space="preserve">TransLink. 2018.</w:t>
      </w:r>
      <w:r>
        <w:t xml:space="preserve"> </w:t>
      </w:r>
      <w:r>
        <w:rPr>
          <w:i/>
        </w:rPr>
        <w:t xml:space="preserve">2018 Accountability Report</w:t>
      </w:r>
      <w:r>
        <w:t xml:space="preserve">. Vancouver, Canada: TransLink.</w:t>
      </w:r>
      <w:r>
        <w:t xml:space="preserve"> </w:t>
      </w:r>
      <w:hyperlink r:id="rId30">
        <w:r>
          <w:rPr>
            <w:rStyle w:val="Hyperlink"/>
          </w:rPr>
          <w:t xml:space="preserve">https://view.publitas.com/translink/2018-accountability-report/page/6</w:t>
        </w:r>
      </w:hyperlink>
      <w:r>
        <w:t xml:space="preserve">.</w:t>
      </w:r>
    </w:p>
    <w:bookmarkEnd w:id="31"/>
    <w:bookmarkEnd w:id="32"/>
    <w:sectPr w:rsidR="00E73F6E" w:rsidRPr="0096508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17F69BA"/>
    <w:multiLevelType w:val="multilevel"/>
    <w:tmpl w:val="E006FC6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FFFFF7C"/>
    <w:multiLevelType w:val="singleLevel"/>
    <w:tmpl w:val="C638CF3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4A08992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CC2077E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9E387A7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6E2B384"/>
    <w:lvl w:ilvl="0">
      <w:start w:val="1"/>
      <w:numFmt w:val="bullet"/>
      <w:lvlText w:val=""/>
      <w:lvlJc w:val="left"/>
      <w:pPr>
        <w:tabs>
          <w:tab w:val="num" w:pos="1492"/>
        </w:tabs>
        <w:ind w:left="1492" w:hanging="360"/>
      </w:pPr>
      <w:rPr>
        <w:rFonts w:ascii="Symbol" w:hAnsi="Symbol" w:cs="Symbol" w:hint="default"/>
      </w:rPr>
    </w:lvl>
  </w:abstractNum>
  <w:abstractNum w:abstractNumId="6" w15:restartNumberingAfterBreak="0">
    <w:nsid w:val="FFFFFF81"/>
    <w:multiLevelType w:val="singleLevel"/>
    <w:tmpl w:val="4600DD1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88C8B2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FCA03C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7916B2F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EF6D59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34E01E7"/>
    <w:multiLevelType w:val="multilevel"/>
    <w:tmpl w:val="ECEC97B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0"/>
  </w:num>
  <w:num w:numId="2">
    <w:abstractNumId w:val="11"/>
  </w:num>
  <w:num w:numId="3">
    <w:abstractNumId w:val="1"/>
  </w:num>
  <w:num w:numId="4">
    <w:abstractNumId w:val="2"/>
  </w:num>
  <w:num w:numId="5">
    <w:abstractNumId w:val="3"/>
  </w:num>
  <w:num w:numId="6">
    <w:abstractNumId w:val="4"/>
  </w:num>
  <w:num w:numId="7">
    <w:abstractNumId w:val="9"/>
  </w:num>
  <w:num w:numId="8">
    <w:abstractNumId w:val="5"/>
  </w:num>
  <w:num w:numId="9">
    <w:abstractNumId w:val="6"/>
  </w:num>
  <w:num w:numId="10">
    <w:abstractNumId w:val="7"/>
  </w:num>
  <w:num w:numId="11">
    <w:abstractNumId w:val="8"/>
  </w:num>
  <w:num w:numId="12">
    <w:abstractNumId w:val="10"/>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D66EC9"/>
    <w:pPr>
      <w:keepNext/>
      <w:keepLines/>
      <w:spacing w:before="360" w:after="0"/>
      <w:outlineLvl w:val="0"/>
    </w:pPr>
    <w:rPr>
      <w:rFonts w:ascii="Arial" w:eastAsiaTheme="majorEastAsia" w:hAnsi="Arial" w:cstheme="majorBidi"/>
      <w:b/>
      <w:bCs/>
      <w:color w:val="002060"/>
      <w:szCs w:val="32"/>
    </w:rPr>
  </w:style>
  <w:style w:type="paragraph" w:styleId="Heading2">
    <w:name w:val="heading 2"/>
    <w:basedOn w:val="Normal"/>
    <w:next w:val="BodyText"/>
    <w:uiPriority w:val="9"/>
    <w:unhideWhenUsed/>
    <w:qFormat/>
    <w:rsid w:val="001971B1"/>
    <w:pPr>
      <w:keepNext/>
      <w:keepLines/>
      <w:spacing w:before="200" w:after="0"/>
      <w:outlineLvl w:val="1"/>
    </w:pPr>
    <w:rPr>
      <w:rFonts w:ascii="Times New Roman" w:eastAsiaTheme="majorEastAsia" w:hAnsi="Times New Roman" w:cstheme="majorBidi"/>
      <w:b/>
      <w:bCs/>
      <w:sz w:val="32"/>
      <w:szCs w:val="32"/>
    </w:rPr>
  </w:style>
  <w:style w:type="paragraph" w:styleId="Heading3">
    <w:name w:val="heading 3"/>
    <w:basedOn w:val="Normal"/>
    <w:next w:val="BodyText"/>
    <w:uiPriority w:val="9"/>
    <w:unhideWhenUsed/>
    <w:qFormat/>
    <w:rsid w:val="001971B1"/>
    <w:pPr>
      <w:keepNext/>
      <w:keepLines/>
      <w:spacing w:before="200" w:after="0"/>
      <w:outlineLvl w:val="2"/>
    </w:pPr>
    <w:rPr>
      <w:rFonts w:ascii="Times New Roman" w:eastAsiaTheme="majorEastAsia" w:hAnsi="Times New Roman" w:cstheme="majorBidi"/>
      <w:b/>
      <w:bCs/>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33179"/>
    <w:pPr>
      <w:spacing w:after="0" w:line="320" w:lineRule="exact"/>
    </w:pPr>
    <w:rPr>
      <w:rFonts w:ascii="Arial" w:hAnsi="Arial"/>
    </w:rPr>
  </w:style>
  <w:style w:type="paragraph" w:customStyle="1" w:styleId="FirstParagraph">
    <w:name w:val="First Paragraph"/>
    <w:basedOn w:val="BodyText"/>
    <w:next w:val="BodyText"/>
    <w:qFormat/>
    <w:rsid w:val="00D66EC9"/>
    <w:pPr>
      <w:jc w:val="both"/>
    </w:pPr>
  </w:style>
  <w:style w:type="paragraph" w:customStyle="1" w:styleId="Compact">
    <w:name w:val="Compact"/>
    <w:basedOn w:val="BodyText"/>
    <w:qFormat/>
    <w:rsid w:val="00C31193"/>
  </w:style>
  <w:style w:type="paragraph" w:styleId="Title">
    <w:name w:val="Title"/>
    <w:basedOn w:val="Normal"/>
    <w:next w:val="BodyText"/>
    <w:qFormat/>
    <w:rsid w:val="00A33179"/>
    <w:pPr>
      <w:keepNext/>
      <w:keepLines/>
      <w:spacing w:before="480" w:after="240"/>
      <w:jc w:val="center"/>
    </w:pPr>
    <w:rPr>
      <w:rFonts w:ascii="Arial" w:eastAsiaTheme="majorEastAsia" w:hAnsi="Arial" w:cstheme="majorBidi"/>
      <w:b/>
      <w:bCs/>
      <w:color w:val="C00000"/>
      <w:sz w:val="2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E07E96"/>
    <w:pPr>
      <w:keepNext/>
      <w:keepLines/>
      <w:jc w:val="center"/>
    </w:pPr>
    <w:rPr>
      <w:rFonts w:ascii="Arial" w:hAnsi="Arial"/>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6D6D00"/>
    <w:rPr>
      <w:rFonts w:ascii="Times New Roman" w:hAnsi="Times New Roman"/>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A33179"/>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26" Target="media/rId26.png" /><Relationship Type="http://schemas.openxmlformats.org/officeDocument/2006/relationships/hyperlink" Id="rId30" Target="https://view.publitas.com/translink/2018-accountability-report/page/6" TargetMode="External" /></Relationships>
</file>

<file path=word/_rels/footnotes.xml.rels><?xml version="1.0" encoding="UTF-8"?>
<Relationships xmlns="http://schemas.openxmlformats.org/package/2006/relationships"><Relationship Type="http://schemas.openxmlformats.org/officeDocument/2006/relationships/hyperlink" Id="rId30" Target="https://view.publitas.com/translink/2018-accountability-report/page/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Forest Change in the Upper Midwestern United States</vt:lpstr>
    </vt:vector>
  </TitlesOfParts>
  <Company>University of Wisconsin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over Transit Incidents and Claims Final Report</dc:title>
  <dc:creator>Brayden Tang, Kirk Zhong, Merve Sahin, Simardeep Kaur</dc:creator>
  <cp:keywords/>
  <dcterms:created xsi:type="dcterms:W3CDTF">2020-06-23T16:47:24Z</dcterms:created>
  <dcterms:modified xsi:type="dcterms:W3CDTF">2020-06-23T16:47:24Z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ref.bib</vt:lpwstr>
  </property>
  <property fmtid="{D5CDD505-2E9C-101B-9397-08002B2CF9AE}" pid="3" name="header-includes">
    <vt:lpwstr>   </vt:lpwstr>
  </property>
  <property fmtid="{D5CDD505-2E9C-101B-9397-08002B2CF9AE}" pid="4" name="output">
    <vt:lpwstr/>
  </property>
</Properties>
</file>