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C2E" w:rsidRPr="00C059AB" w:rsidRDefault="004C3C2E" w:rsidP="004C3C2E">
      <w:pPr>
        <w:spacing w:line="360" w:lineRule="auto"/>
        <w:jc w:val="center"/>
        <w:rPr>
          <w:sz w:val="24"/>
          <w:szCs w:val="24"/>
        </w:rPr>
      </w:pPr>
      <w:r w:rsidRPr="00C059AB">
        <w:rPr>
          <w:sz w:val="24"/>
          <w:szCs w:val="24"/>
        </w:rPr>
        <w:t xml:space="preserve">List of ten selected unregulated hydrometric stations, maintained by the Water Survey of Canada and Manitoba Hydro, for the VIC model calibration and evaluation with sub-watershed characteristics and mean annual discharge </w:t>
      </w:r>
      <w:r w:rsidRPr="00C059AB">
        <w:rPr>
          <w:sz w:val="24"/>
          <w:szCs w:val="24"/>
        </w:rPr>
        <w:fldChar w:fldCharType="begin"/>
      </w:r>
      <w:r>
        <w:rPr>
          <w:sz w:val="24"/>
          <w:szCs w:val="24"/>
        </w:rPr>
        <w:instrText xml:space="preserve"> ADDIN ZOTERO_ITEM CSL_CITATION {"citationID":"GLtCUOR2","properties":{"formattedCitation":"(Water Survey of Canada, 2016)","plainCitation":"(Water Survey of Canada, 2016)","noteIndex":0},"citationItems":[{"id":309,"uris":["http://zotero.org/users/2054800/items/JF2N5ENE"],"uri":["http://zotero.org/users/2054800/items/JF2N5ENE"],"itemData":{"id":309,"type":"webpage","abstract":"Main page of the National Hydrometric Real-time website. Information about water quantity is required by a wide audience, including research scientists, policy-makers, design engineers and the general public. Water level, flow and sediment data are used by decision makers to resolve issues related to sustainable use, infrastructure planning and water apportionment. Hydrological models use the data to improve the forecasting of floods and water supplies, and to predict the impacts of changes on flow regimes to human and aquatic health and economic activity. Environment Canada is the federal agency responsible for the collection, interpretation, and dissemination of standardized water quantity data and information in Canada. EC has maintained the National Hydrometric Program through cost-shared agreements with the provinces and territories since the mid-1970s. Established in 1908, EC.s Water Survey of Canada is the designated branch responsible for water resource monitoring in support of interjurisdictional agreements and treaties.","language":"English","title":"Home - WaterOffice - Environment Canada","URL":"http://wateroffice.ec.gc.ca/","author":[{"family":"Water Survey of Canada","given":""}],"accessed":{"date-parts":[["2017",1,4]]},"issued":{"date-parts":[["2016"]]}}}],"schema":"https://github.com/citation-style-language/schema/raw/master/csl-citation.json"} </w:instrText>
      </w:r>
      <w:r w:rsidRPr="00C059AB">
        <w:rPr>
          <w:sz w:val="24"/>
          <w:szCs w:val="24"/>
        </w:rPr>
        <w:fldChar w:fldCharType="separate"/>
      </w:r>
      <w:r w:rsidRPr="00453882">
        <w:rPr>
          <w:sz w:val="24"/>
        </w:rPr>
        <w:t>(Water Survey of Canada, 2016)</w:t>
      </w:r>
      <w:r w:rsidRPr="00C059AB">
        <w:rPr>
          <w:sz w:val="24"/>
          <w:szCs w:val="24"/>
        </w:rPr>
        <w:fldChar w:fldCharType="end"/>
      </w:r>
      <w:r w:rsidRPr="00C059AB">
        <w:rPr>
          <w:sz w:val="24"/>
          <w:szCs w:val="24"/>
        </w:rPr>
        <w:t>.</w:t>
      </w:r>
    </w:p>
    <w:tbl>
      <w:tblPr>
        <w:tblStyle w:val="TableGrid"/>
        <w:tblW w:w="9445" w:type="dxa"/>
        <w:jc w:val="center"/>
        <w:tblLook w:val="04A0" w:firstRow="1" w:lastRow="0" w:firstColumn="1" w:lastColumn="0" w:noHBand="0" w:noVBand="1"/>
      </w:tblPr>
      <w:tblGrid>
        <w:gridCol w:w="2965"/>
        <w:gridCol w:w="1097"/>
        <w:gridCol w:w="1270"/>
        <w:gridCol w:w="1323"/>
        <w:gridCol w:w="1440"/>
        <w:gridCol w:w="1350"/>
      </w:tblGrid>
      <w:tr w:rsidR="004C3C2E" w:rsidRPr="000B2A38" w:rsidTr="00ED106D">
        <w:trPr>
          <w:trHeight w:val="300"/>
          <w:jc w:val="center"/>
        </w:trPr>
        <w:tc>
          <w:tcPr>
            <w:tcW w:w="2965" w:type="dxa"/>
            <w:noWrap/>
            <w:vAlign w:val="center"/>
            <w:hideMark/>
          </w:tcPr>
          <w:p w:rsidR="004C3C2E" w:rsidRPr="000B2A38" w:rsidRDefault="004C3C2E" w:rsidP="00ED106D">
            <w:pPr>
              <w:spacing w:after="120"/>
              <w:jc w:val="center"/>
              <w:rPr>
                <w:b/>
                <w:bCs/>
                <w:sz w:val="24"/>
                <w:szCs w:val="24"/>
              </w:rPr>
            </w:pPr>
            <w:r w:rsidRPr="000B2A38">
              <w:rPr>
                <w:b/>
                <w:bCs/>
                <w:sz w:val="24"/>
                <w:szCs w:val="24"/>
              </w:rPr>
              <w:t>Station name (Gauge ID</w:t>
            </w:r>
            <w:r>
              <w:rPr>
                <w:b/>
                <w:bCs/>
                <w:sz w:val="24"/>
                <w:szCs w:val="24"/>
              </w:rPr>
              <w:t>)</w:t>
            </w:r>
          </w:p>
        </w:tc>
        <w:tc>
          <w:tcPr>
            <w:tcW w:w="1097" w:type="dxa"/>
            <w:vAlign w:val="center"/>
          </w:tcPr>
          <w:p w:rsidR="004C3C2E" w:rsidRPr="000B2A38" w:rsidRDefault="004C3C2E" w:rsidP="00ED106D">
            <w:pPr>
              <w:spacing w:after="120"/>
              <w:jc w:val="center"/>
              <w:rPr>
                <w:b/>
                <w:bCs/>
                <w:sz w:val="24"/>
                <w:szCs w:val="24"/>
              </w:rPr>
            </w:pPr>
            <w:r w:rsidRPr="000B2A38">
              <w:rPr>
                <w:b/>
                <w:bCs/>
                <w:sz w:val="24"/>
                <w:szCs w:val="24"/>
              </w:rPr>
              <w:t>Latitude (°N)</w:t>
            </w:r>
          </w:p>
        </w:tc>
        <w:tc>
          <w:tcPr>
            <w:tcW w:w="1270" w:type="dxa"/>
            <w:vAlign w:val="center"/>
          </w:tcPr>
          <w:p w:rsidR="004C3C2E" w:rsidRPr="000B2A38" w:rsidRDefault="004C3C2E" w:rsidP="00ED106D">
            <w:pPr>
              <w:spacing w:after="120"/>
              <w:jc w:val="center"/>
              <w:rPr>
                <w:b/>
                <w:bCs/>
                <w:sz w:val="24"/>
                <w:szCs w:val="24"/>
              </w:rPr>
            </w:pPr>
            <w:r w:rsidRPr="000B2A38">
              <w:rPr>
                <w:b/>
                <w:bCs/>
                <w:sz w:val="24"/>
                <w:szCs w:val="24"/>
              </w:rPr>
              <w:t>Longitude (°W)</w:t>
            </w:r>
          </w:p>
        </w:tc>
        <w:tc>
          <w:tcPr>
            <w:tcW w:w="1323" w:type="dxa"/>
            <w:noWrap/>
            <w:vAlign w:val="center"/>
            <w:hideMark/>
          </w:tcPr>
          <w:p w:rsidR="004C3C2E" w:rsidRPr="000B2A38" w:rsidRDefault="004C3C2E" w:rsidP="00ED106D">
            <w:pPr>
              <w:spacing w:after="120"/>
              <w:jc w:val="center"/>
              <w:rPr>
                <w:b/>
                <w:bCs/>
                <w:sz w:val="24"/>
                <w:szCs w:val="24"/>
              </w:rPr>
            </w:pPr>
            <w:r w:rsidRPr="000B2A38">
              <w:rPr>
                <w:b/>
                <w:bCs/>
                <w:sz w:val="24"/>
                <w:szCs w:val="24"/>
              </w:rPr>
              <w:t>Mean sub-watershed elevation (m)</w:t>
            </w:r>
          </w:p>
        </w:tc>
        <w:tc>
          <w:tcPr>
            <w:tcW w:w="1440" w:type="dxa"/>
            <w:noWrap/>
            <w:vAlign w:val="center"/>
            <w:hideMark/>
          </w:tcPr>
          <w:p w:rsidR="004C3C2E" w:rsidRPr="000B2A38" w:rsidRDefault="004C3C2E" w:rsidP="00ED106D">
            <w:pPr>
              <w:spacing w:after="120"/>
              <w:jc w:val="center"/>
              <w:rPr>
                <w:b/>
                <w:bCs/>
                <w:sz w:val="24"/>
                <w:szCs w:val="24"/>
              </w:rPr>
            </w:pPr>
            <w:r>
              <w:rPr>
                <w:b/>
                <w:bCs/>
                <w:sz w:val="24"/>
                <w:szCs w:val="24"/>
              </w:rPr>
              <w:t>Gauged d</w:t>
            </w:r>
            <w:r w:rsidRPr="000B2A38">
              <w:rPr>
                <w:b/>
                <w:bCs/>
                <w:sz w:val="24"/>
                <w:szCs w:val="24"/>
              </w:rPr>
              <w:t>rainage area (km</w:t>
            </w:r>
            <w:r w:rsidRPr="000B2A38">
              <w:rPr>
                <w:b/>
                <w:bCs/>
                <w:sz w:val="24"/>
                <w:szCs w:val="24"/>
                <w:vertAlign w:val="superscript"/>
              </w:rPr>
              <w:t>2</w:t>
            </w:r>
            <w:r w:rsidRPr="000B2A38">
              <w:rPr>
                <w:b/>
                <w:bCs/>
                <w:sz w:val="24"/>
                <w:szCs w:val="24"/>
              </w:rPr>
              <w:t>)</w:t>
            </w:r>
          </w:p>
        </w:tc>
        <w:tc>
          <w:tcPr>
            <w:tcW w:w="1350" w:type="dxa"/>
            <w:noWrap/>
            <w:vAlign w:val="center"/>
            <w:hideMark/>
          </w:tcPr>
          <w:p w:rsidR="004C3C2E" w:rsidRPr="000B2A38" w:rsidRDefault="004C3C2E" w:rsidP="00ED106D">
            <w:pPr>
              <w:spacing w:after="120"/>
              <w:jc w:val="center"/>
              <w:rPr>
                <w:b/>
                <w:bCs/>
                <w:sz w:val="24"/>
                <w:szCs w:val="24"/>
              </w:rPr>
            </w:pPr>
            <w:r w:rsidRPr="000B2A38">
              <w:rPr>
                <w:b/>
                <w:bCs/>
                <w:sz w:val="24"/>
                <w:szCs w:val="24"/>
              </w:rPr>
              <w:t>Mean annual discharge (m</w:t>
            </w:r>
            <w:r w:rsidRPr="000B2A38">
              <w:rPr>
                <w:b/>
                <w:bCs/>
                <w:sz w:val="24"/>
                <w:szCs w:val="24"/>
                <w:vertAlign w:val="superscript"/>
              </w:rPr>
              <w:t>3</w:t>
            </w:r>
            <w:r w:rsidRPr="000B2A38">
              <w:rPr>
                <w:b/>
                <w:bCs/>
                <w:sz w:val="24"/>
                <w:szCs w:val="24"/>
              </w:rPr>
              <w:t xml:space="preserve"> s</w:t>
            </w:r>
            <w:r w:rsidRPr="000B2A38">
              <w:rPr>
                <w:b/>
                <w:bCs/>
                <w:sz w:val="24"/>
                <w:szCs w:val="24"/>
                <w:vertAlign w:val="superscript"/>
              </w:rPr>
              <w:t>-1</w:t>
            </w:r>
            <w:r w:rsidRPr="000B2A38">
              <w:rPr>
                <w:b/>
                <w:bCs/>
                <w:sz w:val="24"/>
                <w:szCs w:val="24"/>
              </w:rPr>
              <w:t>)</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Burntwood River above Leaf Rapids (05TE002</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55.49</w:t>
            </w:r>
          </w:p>
        </w:tc>
        <w:tc>
          <w:tcPr>
            <w:tcW w:w="1270" w:type="dxa"/>
            <w:vAlign w:val="center"/>
          </w:tcPr>
          <w:p w:rsidR="004C3C2E" w:rsidRPr="000B2A38" w:rsidRDefault="004C3C2E" w:rsidP="00ED106D">
            <w:pPr>
              <w:spacing w:after="120"/>
              <w:jc w:val="center"/>
              <w:rPr>
                <w:sz w:val="24"/>
                <w:szCs w:val="24"/>
              </w:rPr>
            </w:pPr>
            <w:r w:rsidRPr="000B2A38">
              <w:rPr>
                <w:sz w:val="24"/>
                <w:szCs w:val="24"/>
              </w:rPr>
              <w:t>99.22</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302.4</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5,810</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22.9</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Footprint River above Footprint Lake (05TF002</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55.93</w:t>
            </w:r>
          </w:p>
        </w:tc>
        <w:tc>
          <w:tcPr>
            <w:tcW w:w="1270" w:type="dxa"/>
            <w:vAlign w:val="center"/>
          </w:tcPr>
          <w:p w:rsidR="004C3C2E" w:rsidRPr="000B2A38" w:rsidRDefault="004C3C2E" w:rsidP="00ED106D">
            <w:pPr>
              <w:spacing w:after="120"/>
              <w:jc w:val="center"/>
              <w:rPr>
                <w:sz w:val="24"/>
                <w:szCs w:val="24"/>
              </w:rPr>
            </w:pPr>
            <w:r w:rsidRPr="000B2A38">
              <w:rPr>
                <w:sz w:val="24"/>
                <w:szCs w:val="24"/>
              </w:rPr>
              <w:t>98.88</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273.</w:t>
            </w:r>
            <w:r>
              <w:rPr>
                <w:sz w:val="24"/>
                <w:szCs w:val="24"/>
              </w:rPr>
              <w:t>8</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643</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3.2</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Grass River above Standing Stone Falls (05TD001</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55.74</w:t>
            </w:r>
          </w:p>
        </w:tc>
        <w:tc>
          <w:tcPr>
            <w:tcW w:w="1270" w:type="dxa"/>
            <w:vAlign w:val="center"/>
          </w:tcPr>
          <w:p w:rsidR="004C3C2E" w:rsidRPr="000B2A38" w:rsidRDefault="004C3C2E" w:rsidP="00ED106D">
            <w:pPr>
              <w:spacing w:after="120"/>
              <w:jc w:val="center"/>
              <w:rPr>
                <w:sz w:val="24"/>
                <w:szCs w:val="24"/>
              </w:rPr>
            </w:pPr>
            <w:r w:rsidRPr="000B2A38">
              <w:rPr>
                <w:sz w:val="24"/>
                <w:szCs w:val="24"/>
              </w:rPr>
              <w:t>97.01</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265.0</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15,400</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64.6</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Gunisao River at Jam Rapids (05UA003</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53.82</w:t>
            </w:r>
          </w:p>
        </w:tc>
        <w:tc>
          <w:tcPr>
            <w:tcW w:w="1270" w:type="dxa"/>
            <w:vAlign w:val="center"/>
          </w:tcPr>
          <w:p w:rsidR="004C3C2E" w:rsidRPr="000B2A38" w:rsidRDefault="004C3C2E" w:rsidP="00ED106D">
            <w:pPr>
              <w:spacing w:after="120"/>
              <w:jc w:val="center"/>
              <w:rPr>
                <w:sz w:val="24"/>
                <w:szCs w:val="24"/>
              </w:rPr>
            </w:pPr>
            <w:r w:rsidRPr="000B2A38">
              <w:rPr>
                <w:sz w:val="24"/>
                <w:szCs w:val="24"/>
              </w:rPr>
              <w:t>97.77</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260.</w:t>
            </w:r>
            <w:r>
              <w:rPr>
                <w:sz w:val="24"/>
                <w:szCs w:val="24"/>
              </w:rPr>
              <w:t>9</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4,610</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18.0</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Kettle River near Gillam (05UF004</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56.34</w:t>
            </w:r>
          </w:p>
        </w:tc>
        <w:tc>
          <w:tcPr>
            <w:tcW w:w="1270" w:type="dxa"/>
            <w:vAlign w:val="center"/>
          </w:tcPr>
          <w:p w:rsidR="004C3C2E" w:rsidRPr="000B2A38" w:rsidRDefault="004C3C2E" w:rsidP="00ED106D">
            <w:pPr>
              <w:spacing w:after="120"/>
              <w:jc w:val="center"/>
              <w:rPr>
                <w:sz w:val="24"/>
                <w:szCs w:val="24"/>
              </w:rPr>
            </w:pPr>
            <w:r w:rsidRPr="000B2A38">
              <w:rPr>
                <w:sz w:val="24"/>
                <w:szCs w:val="24"/>
              </w:rPr>
              <w:t>94.69</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164.</w:t>
            </w:r>
            <w:r>
              <w:rPr>
                <w:sz w:val="24"/>
                <w:szCs w:val="24"/>
              </w:rPr>
              <w:t>7</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1,090</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13.2</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Limestone River near Bird (05UG001</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56.51</w:t>
            </w:r>
          </w:p>
        </w:tc>
        <w:tc>
          <w:tcPr>
            <w:tcW w:w="1270" w:type="dxa"/>
            <w:vAlign w:val="center"/>
          </w:tcPr>
          <w:p w:rsidR="004C3C2E" w:rsidRPr="000B2A38" w:rsidRDefault="004C3C2E" w:rsidP="00ED106D">
            <w:pPr>
              <w:spacing w:after="120"/>
              <w:jc w:val="center"/>
              <w:rPr>
                <w:sz w:val="24"/>
                <w:szCs w:val="24"/>
              </w:rPr>
            </w:pPr>
            <w:r w:rsidRPr="000B2A38">
              <w:rPr>
                <w:sz w:val="24"/>
                <w:szCs w:val="24"/>
              </w:rPr>
              <w:t>94.21</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173.</w:t>
            </w:r>
            <w:r>
              <w:rPr>
                <w:sz w:val="24"/>
                <w:szCs w:val="24"/>
              </w:rPr>
              <w:t>6</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3,270</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21.5</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Odei River near Thompson (05TG003</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55.99</w:t>
            </w:r>
          </w:p>
        </w:tc>
        <w:tc>
          <w:tcPr>
            <w:tcW w:w="1270" w:type="dxa"/>
            <w:vAlign w:val="center"/>
          </w:tcPr>
          <w:p w:rsidR="004C3C2E" w:rsidRPr="000B2A38" w:rsidRDefault="004C3C2E" w:rsidP="00ED106D">
            <w:pPr>
              <w:spacing w:after="120"/>
              <w:jc w:val="center"/>
              <w:rPr>
                <w:sz w:val="24"/>
                <w:szCs w:val="24"/>
              </w:rPr>
            </w:pPr>
            <w:r w:rsidRPr="000B2A38">
              <w:rPr>
                <w:sz w:val="24"/>
                <w:szCs w:val="24"/>
              </w:rPr>
              <w:t>97.35</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253.</w:t>
            </w:r>
            <w:r>
              <w:rPr>
                <w:sz w:val="24"/>
                <w:szCs w:val="24"/>
              </w:rPr>
              <w:t>5</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6,110</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34.3</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Sapochi River near Nelson House (05TG006</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55.90</w:t>
            </w:r>
          </w:p>
        </w:tc>
        <w:tc>
          <w:tcPr>
            <w:tcW w:w="1270" w:type="dxa"/>
            <w:vAlign w:val="center"/>
          </w:tcPr>
          <w:p w:rsidR="004C3C2E" w:rsidRPr="000B2A38" w:rsidRDefault="004C3C2E" w:rsidP="00ED106D">
            <w:pPr>
              <w:spacing w:after="120"/>
              <w:jc w:val="center"/>
              <w:rPr>
                <w:sz w:val="24"/>
                <w:szCs w:val="24"/>
              </w:rPr>
            </w:pPr>
            <w:r w:rsidRPr="000B2A38">
              <w:rPr>
                <w:sz w:val="24"/>
                <w:szCs w:val="24"/>
              </w:rPr>
              <w:t>98.49</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259.1</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391</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2.2</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Taylor River near Thompson (05TG002</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55.48</w:t>
            </w:r>
          </w:p>
        </w:tc>
        <w:tc>
          <w:tcPr>
            <w:tcW w:w="1270" w:type="dxa"/>
            <w:vAlign w:val="center"/>
          </w:tcPr>
          <w:p w:rsidR="004C3C2E" w:rsidRPr="000B2A38" w:rsidRDefault="004C3C2E" w:rsidP="00ED106D">
            <w:pPr>
              <w:spacing w:after="120"/>
              <w:jc w:val="center"/>
              <w:rPr>
                <w:sz w:val="24"/>
                <w:szCs w:val="24"/>
              </w:rPr>
            </w:pPr>
            <w:r w:rsidRPr="000B2A38">
              <w:rPr>
                <w:sz w:val="24"/>
                <w:szCs w:val="24"/>
              </w:rPr>
              <w:t>98.19</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236.</w:t>
            </w:r>
            <w:r>
              <w:rPr>
                <w:sz w:val="24"/>
                <w:szCs w:val="24"/>
              </w:rPr>
              <w:t>2</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886</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5.1</w:t>
            </w:r>
          </w:p>
        </w:tc>
      </w:tr>
      <w:tr w:rsidR="004C3C2E" w:rsidRPr="000B2A38" w:rsidTr="00ED106D">
        <w:trPr>
          <w:trHeight w:val="300"/>
          <w:jc w:val="center"/>
        </w:trPr>
        <w:tc>
          <w:tcPr>
            <w:tcW w:w="2965" w:type="dxa"/>
            <w:noWrap/>
            <w:vAlign w:val="center"/>
            <w:hideMark/>
          </w:tcPr>
          <w:p w:rsidR="004C3C2E" w:rsidRPr="000B2A38" w:rsidRDefault="004C3C2E" w:rsidP="00ED106D">
            <w:pPr>
              <w:spacing w:after="120"/>
              <w:rPr>
                <w:sz w:val="24"/>
                <w:szCs w:val="24"/>
              </w:rPr>
            </w:pPr>
            <w:r w:rsidRPr="000B2A38">
              <w:rPr>
                <w:sz w:val="24"/>
                <w:szCs w:val="24"/>
              </w:rPr>
              <w:t xml:space="preserve">Weir River above the </w:t>
            </w:r>
            <w:r>
              <w:rPr>
                <w:sz w:val="24"/>
                <w:szCs w:val="24"/>
              </w:rPr>
              <w:t>m</w:t>
            </w:r>
            <w:r w:rsidRPr="000B2A38">
              <w:rPr>
                <w:sz w:val="24"/>
                <w:szCs w:val="24"/>
              </w:rPr>
              <w:t>outh (05UH002</w:t>
            </w:r>
            <w:r>
              <w:rPr>
                <w:sz w:val="24"/>
                <w:szCs w:val="24"/>
              </w:rPr>
              <w:t>)</w:t>
            </w:r>
          </w:p>
        </w:tc>
        <w:tc>
          <w:tcPr>
            <w:tcW w:w="1097" w:type="dxa"/>
            <w:vAlign w:val="center"/>
          </w:tcPr>
          <w:p w:rsidR="004C3C2E" w:rsidRPr="000B2A38" w:rsidRDefault="004C3C2E" w:rsidP="00ED106D">
            <w:pPr>
              <w:spacing w:after="120"/>
              <w:jc w:val="center"/>
              <w:rPr>
                <w:sz w:val="24"/>
                <w:szCs w:val="24"/>
              </w:rPr>
            </w:pPr>
            <w:r w:rsidRPr="000B2A38">
              <w:rPr>
                <w:sz w:val="24"/>
                <w:szCs w:val="24"/>
              </w:rPr>
              <w:t>57.02</w:t>
            </w:r>
          </w:p>
        </w:tc>
        <w:tc>
          <w:tcPr>
            <w:tcW w:w="1270" w:type="dxa"/>
            <w:vAlign w:val="center"/>
          </w:tcPr>
          <w:p w:rsidR="004C3C2E" w:rsidRPr="000B2A38" w:rsidRDefault="004C3C2E" w:rsidP="00ED106D">
            <w:pPr>
              <w:spacing w:after="120"/>
              <w:jc w:val="center"/>
              <w:rPr>
                <w:sz w:val="24"/>
                <w:szCs w:val="24"/>
              </w:rPr>
            </w:pPr>
            <w:r w:rsidRPr="000B2A38">
              <w:rPr>
                <w:sz w:val="24"/>
                <w:szCs w:val="24"/>
              </w:rPr>
              <w:t>93.45</w:t>
            </w:r>
          </w:p>
        </w:tc>
        <w:tc>
          <w:tcPr>
            <w:tcW w:w="1323" w:type="dxa"/>
            <w:noWrap/>
            <w:vAlign w:val="center"/>
            <w:hideMark/>
          </w:tcPr>
          <w:p w:rsidR="004C3C2E" w:rsidRPr="000B2A38" w:rsidRDefault="004C3C2E" w:rsidP="00ED106D">
            <w:pPr>
              <w:spacing w:after="120"/>
              <w:jc w:val="center"/>
              <w:rPr>
                <w:sz w:val="24"/>
                <w:szCs w:val="24"/>
              </w:rPr>
            </w:pPr>
            <w:r w:rsidRPr="000B2A38">
              <w:rPr>
                <w:sz w:val="24"/>
                <w:szCs w:val="24"/>
              </w:rPr>
              <w:t>125.8</w:t>
            </w:r>
          </w:p>
        </w:tc>
        <w:tc>
          <w:tcPr>
            <w:tcW w:w="1440" w:type="dxa"/>
            <w:noWrap/>
            <w:vAlign w:val="center"/>
            <w:hideMark/>
          </w:tcPr>
          <w:p w:rsidR="004C3C2E" w:rsidRPr="000B2A38" w:rsidRDefault="004C3C2E" w:rsidP="00ED106D">
            <w:pPr>
              <w:spacing w:after="120"/>
              <w:jc w:val="center"/>
              <w:rPr>
                <w:sz w:val="24"/>
                <w:szCs w:val="24"/>
              </w:rPr>
            </w:pPr>
            <w:r w:rsidRPr="000B2A38">
              <w:rPr>
                <w:sz w:val="24"/>
                <w:szCs w:val="24"/>
              </w:rPr>
              <w:t>2,190</w:t>
            </w:r>
          </w:p>
        </w:tc>
        <w:tc>
          <w:tcPr>
            <w:tcW w:w="1350" w:type="dxa"/>
            <w:noWrap/>
            <w:vAlign w:val="center"/>
            <w:hideMark/>
          </w:tcPr>
          <w:p w:rsidR="004C3C2E" w:rsidRPr="000B2A38" w:rsidRDefault="004C3C2E" w:rsidP="00ED106D">
            <w:pPr>
              <w:spacing w:after="120"/>
              <w:jc w:val="center"/>
              <w:rPr>
                <w:sz w:val="24"/>
                <w:szCs w:val="24"/>
              </w:rPr>
            </w:pPr>
            <w:r w:rsidRPr="000B2A38">
              <w:rPr>
                <w:sz w:val="24"/>
                <w:szCs w:val="24"/>
              </w:rPr>
              <w:t>15.6</w:t>
            </w:r>
          </w:p>
        </w:tc>
      </w:tr>
    </w:tbl>
    <w:p w:rsidR="00ED721A" w:rsidRDefault="00ED721A">
      <w:bookmarkStart w:id="0" w:name="_GoBack"/>
      <w:bookmarkEnd w:id="0"/>
    </w:p>
    <w:sectPr w:rsidR="00ED7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2E"/>
    <w:rsid w:val="002B6790"/>
    <w:rsid w:val="004C3C2E"/>
    <w:rsid w:val="00AB386F"/>
    <w:rsid w:val="00ED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D7B6A-DFA2-4760-A536-D0B5D44E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C2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2432</Characters>
  <Application>Microsoft Office Word</Application>
  <DocSecurity>0</DocSecurity>
  <Lines>20</Lines>
  <Paragraphs>5</Paragraphs>
  <ScaleCrop>false</ScaleCrop>
  <Company>UNBC</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Rajtantra Lilhare</dc:creator>
  <cp:keywords/>
  <dc:description/>
  <cp:lastModifiedBy>Rajtantra Lilhare</cp:lastModifiedBy>
  <cp:revision>1</cp:revision>
  <dcterms:created xsi:type="dcterms:W3CDTF">2020-02-11T21:49:00Z</dcterms:created>
  <dcterms:modified xsi:type="dcterms:W3CDTF">2020-02-11T21:50:00Z</dcterms:modified>
</cp:coreProperties>
</file>