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tyler brings up the website so far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addresses that we haven't looked too far into accessibility stuff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sharon: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ucar advises to follow wcag 2.0 as much as possible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relative sizes for fonts (rather than 16px use 1.1rem)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with that user can control their own font sizes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good practice while developing interface to modify our own text sizes (testing while developing) such as making sure things wrap correctly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might limit preferred layout, but can prioritize for general usual size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tyler shows the home page, says that translation part is present but won't be there unless they want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shows the stopping skipping ahead part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sharon: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looks good and we're ahead because we have anything to show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tyler: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should we do one page fully at a time, or partially do all together?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sharon: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 persistent elements done first (like nav bar)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have 1-3 page stories to focus on "as a minimum for the project"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could have multiple patterns that those pages will follow (like alternatives of each other with interchangeable elements for interactivity or visuals)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good to think of things that could be copied between pages, like if we did multiple quiz-type interactions then we could use a framework for that multiple times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"write your markup in a semantic manner" like using a button element instead of just a div, can ease accessibility parts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help button in the corner: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"yeah"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tooltip style things on pages, or hints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make them naturally hidden but easily activated (I might've misheard this)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screenreaders: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recommend to at least test with it for experience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keyboard accessible is the minimum requirement, but they would like screenreader accessibility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resources for how they're used in practice: depends on 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reads semantic html like "link" or "button"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make sure to include alt text for images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 should know the shortcut commands that screenreaders would respond 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"jaws" program is commonly used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paid? probably expensive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"nvda" should be free and on windows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"windows narrator" (Quinn is experienced with, at least)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