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Documentación técnica.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TREE C.C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Aplicaciones de Código Abierto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Ciclo 01/22</w:t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033588" cy="27114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71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 9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-Oscar Isaí Aldana Cruz 00153818</w:t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-Miguel Ernesto Rivas Serrano 00087518</w:t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-Bryan Alexis Orellana Cabrera 00049318</w:t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-Jesús Antonio Alvarado González 00144318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-Gabriel Enrique Gonzalez Rodriguez 00199518</w:t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documento se ha elaborado con la finalidad de llevar a cabo un registro detallado de todos los documentos técnicos de la aplicación y que se han modificado a lo largo de su desarrollo.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aplicación utiliza en su totalidad el lenguaje de programación Kotlin.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48125" cy="13620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repositorio se encuentran alojados todos los archivos necesarios para la correcta ejecución del programa.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.gitignore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Archivo utilizado para agregar carpetas o archivos innecesarios para el repositorio.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8212" cy="26527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212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COPYING.GPL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Archivo donde se manifiesta la licencia que se ha utilizado para el proyecto.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9088" cy="4053639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405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COPYING.LESSER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Similar al archivo anterior, se encuentran ciertas definiciones adicionales relacionados con la licencia de uso.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38463" cy="364497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3644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License.md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Archivo de licencia donde se refleja que el software creado es un software libre y que por lo tanto se puede copiar y redistribuir al gusto.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86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Readme.md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Archivo readme donde se manifiestan muchos de los requerimientos y manera de correr correctamente el código fuente.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RenunciaCopyright.md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Archivo mediante el cual se hace oficial la renuncia por parte de nuestro equipo a cualquier derecho de autor en este código.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build.gradle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Archivo donde se muestran todos los modulos utilizados para el proyecto.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117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Pantalla principal de la aplicación, en ella se ejecutan los demás fragmentos para evitar recargar la aplicación.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9595" cy="263366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9595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budget_list.xml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vista controla la manera en que cada tarjeta se muestra.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1488" cy="359161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59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fragment_categories_el_salvador.xml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Fragmento que controla la manera en que las categorías se muestran.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259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fragment_categories_inside.xml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Archivo donde se manejan las diferentes categorias con las que cuenta la aplicación.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37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fragment_home.xml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Fragmento principal, donde se van a desplegar las demás vistas de la aplicación.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59863" cy="270986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9863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fragment_home_art_desc.xml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Fragmento principal que se muestra al abrir la aplicación 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fragment_more.xml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Fragmento donde se muestran todos los detalles extra de la aplicación como el acerca de, o las redes sociales de la aplicación.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6213" cy="3452813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213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CategoriesAlmacenamiento</w:t>
      </w:r>
      <w:r w:rsidDel="00000000" w:rsidR="00000000" w:rsidRPr="00000000">
        <w:rPr>
          <w:sz w:val="24"/>
          <w:szCs w:val="24"/>
          <w:rtl w:val="0"/>
        </w:rPr>
        <w:t xml:space="preserve">: Esta clase controla la vista de clasificaciones de la app. En ella se traen los objetos almacenados en la base de datos y se muestran en pantalla.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208043</wp:posOffset>
            </wp:positionV>
            <wp:extent cx="5731200" cy="5422900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utiliza la librería de retrofit para mostrar las imágenes en la base de datos.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143898</wp:posOffset>
            </wp:positionV>
            <wp:extent cx="5731200" cy="3657600"/>
            <wp:effectExtent b="0" l="0" r="0" t="0"/>
            <wp:wrapNone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resto de las clases de la carpeta de categorías hacen la misma funcionalidad para diferentes categorías.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92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HomeFragment: </w:t>
      </w:r>
      <w:r w:rsidDel="00000000" w:rsidR="00000000" w:rsidRPr="00000000">
        <w:rPr>
          <w:sz w:val="24"/>
          <w:szCs w:val="24"/>
          <w:rtl w:val="0"/>
        </w:rPr>
        <w:t xml:space="preserve">Contiene el código para desplegar la pantalla de inicio de la aplicación. Toma de la base de datos la información necesaria para construir las tarjetas donde se muestran los resumenes.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265193</wp:posOffset>
            </wp:positionV>
            <wp:extent cx="5731200" cy="3530600"/>
            <wp:effectExtent b="0" l="0" r="0" t="0"/>
            <wp:wrapNone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MoreFragment.kt</w:t>
      </w:r>
      <w:r w:rsidDel="00000000" w:rsidR="00000000" w:rsidRPr="00000000">
        <w:rPr>
          <w:sz w:val="24"/>
          <w:szCs w:val="24"/>
          <w:rtl w:val="0"/>
        </w:rPr>
        <w:t xml:space="preserve"> hace lo mismo para la pantalla de Mas y ProductsFragment.kt para la de categorías.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ApiService: </w:t>
      </w:r>
      <w:r w:rsidDel="00000000" w:rsidR="00000000" w:rsidRPr="00000000">
        <w:rPr>
          <w:sz w:val="24"/>
          <w:szCs w:val="24"/>
          <w:rtl w:val="0"/>
        </w:rPr>
        <w:t xml:space="preserve">Ejecuta los métodos que llaman a la API para obtener un articulo en especifico.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MainActivity: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 la actividad principal al inicio de la aplicación</w:t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71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ProductoDescViewer: </w:t>
      </w:r>
      <w:r w:rsidDel="00000000" w:rsidR="00000000" w:rsidRPr="00000000">
        <w:rPr>
          <w:sz w:val="24"/>
          <w:szCs w:val="24"/>
          <w:rtl w:val="0"/>
        </w:rPr>
        <w:t xml:space="preserve">Contiene el modelo básico para resumir un artículo en una tarjeta compacta.</w:t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7653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Products: </w:t>
      </w:r>
      <w:r w:rsidDel="00000000" w:rsidR="00000000" w:rsidRPr="00000000">
        <w:rPr>
          <w:sz w:val="24"/>
          <w:szCs w:val="24"/>
          <w:rtl w:val="0"/>
        </w:rPr>
        <w:t xml:space="preserve">Objeto instanciable que contiene un artículo.</w:t>
      </w:r>
    </w:p>
    <w:p w:rsidR="00000000" w:rsidDel="00000000" w:rsidP="00000000" w:rsidRDefault="00000000" w:rsidRPr="00000000" w14:paraId="000000D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120811</wp:posOffset>
            </wp:positionV>
            <wp:extent cx="5731200" cy="1854200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ProductoAdapter: </w:t>
      </w:r>
      <w:r w:rsidDel="00000000" w:rsidR="00000000" w:rsidRPr="00000000">
        <w:rPr>
          <w:sz w:val="24"/>
          <w:szCs w:val="24"/>
          <w:rtl w:val="0"/>
        </w:rPr>
        <w:t xml:space="preserve">Clase que instancia un artículo y lo popula.</w:t>
      </w:r>
    </w:p>
    <w:p w:rsidR="00000000" w:rsidDel="00000000" w:rsidP="00000000" w:rsidRDefault="00000000" w:rsidRPr="00000000" w14:paraId="000000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156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0.png"/><Relationship Id="rId21" Type="http://schemas.openxmlformats.org/officeDocument/2006/relationships/image" Target="media/image24.png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5.png"/><Relationship Id="rId25" Type="http://schemas.openxmlformats.org/officeDocument/2006/relationships/image" Target="media/image8.png"/><Relationship Id="rId28" Type="http://schemas.openxmlformats.org/officeDocument/2006/relationships/image" Target="media/image4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6.png"/><Relationship Id="rId7" Type="http://schemas.openxmlformats.org/officeDocument/2006/relationships/image" Target="media/image3.png"/><Relationship Id="rId8" Type="http://schemas.openxmlformats.org/officeDocument/2006/relationships/image" Target="media/image10.png"/><Relationship Id="rId31" Type="http://schemas.openxmlformats.org/officeDocument/2006/relationships/image" Target="media/image22.png"/><Relationship Id="rId30" Type="http://schemas.openxmlformats.org/officeDocument/2006/relationships/image" Target="media/image7.png"/><Relationship Id="rId11" Type="http://schemas.openxmlformats.org/officeDocument/2006/relationships/image" Target="media/image25.png"/><Relationship Id="rId10" Type="http://schemas.openxmlformats.org/officeDocument/2006/relationships/image" Target="media/image13.png"/><Relationship Id="rId13" Type="http://schemas.openxmlformats.org/officeDocument/2006/relationships/image" Target="media/image19.png"/><Relationship Id="rId12" Type="http://schemas.openxmlformats.org/officeDocument/2006/relationships/image" Target="media/image23.png"/><Relationship Id="rId15" Type="http://schemas.openxmlformats.org/officeDocument/2006/relationships/image" Target="media/image17.png"/><Relationship Id="rId14" Type="http://schemas.openxmlformats.org/officeDocument/2006/relationships/image" Target="media/image16.png"/><Relationship Id="rId17" Type="http://schemas.openxmlformats.org/officeDocument/2006/relationships/image" Target="media/image21.png"/><Relationship Id="rId16" Type="http://schemas.openxmlformats.org/officeDocument/2006/relationships/image" Target="media/image6.png"/><Relationship Id="rId19" Type="http://schemas.openxmlformats.org/officeDocument/2006/relationships/image" Target="media/image9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