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87.png" ContentType="image/png"/>
  <Override PartName="/word/media/rId255.png" ContentType="image/png"/>
  <Override PartName="/word/media/rId285.jpg" ContentType="image/jpeg"/>
  <Override PartName="/word/media/rId289.png" ContentType="image/png"/>
  <Override PartName="/word/media/rId3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short edit clearly demonstrates the preview highlighting workflow in action.</w:t>
      </w:r>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rPr>
          <w:b/>
          <w:bCs/>
        </w:rPr>
        <w:t xml:space="preserve">Demo paragraph for testing change highlighting</w:t>
      </w:r>
      <w:r>
        <w:t xml:space="preserve">: This paragraph is added to demonstrate the change highlighting feature in PR previews. When this PR is rendered, you should see highlighting on this new paragraph. If the highlighting is glitchy, you can add the</w:t>
      </w:r>
      <w:r>
        <w:t xml:space="preserve"> </w:t>
      </w:r>
      <w:r>
        <w:rPr>
          <w:rStyle w:val="VerbatimChar"/>
        </w:rPr>
        <w:t xml:space="preserve">no-preview-highlights</w:t>
      </w:r>
      <w:r>
        <w:t xml:space="preserve"> </w:t>
      </w:r>
      <w:r>
        <w:t xml:space="preserve">label to disable it. The highlighting feature shows modified text in yellow, added text in green, and new sections in blue.</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2"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1"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6" w:name="benefits-and-hazards"/>
    <w:p>
      <w:pPr>
        <w:pStyle w:val="Heading3"/>
      </w:pPr>
      <w:r>
        <w:t xml:space="preserve">16.4.2 Benefits and Hazards</w:t>
      </w:r>
    </w:p>
    <w:p>
      <w:pPr>
        <w:pStyle w:val="FirstParagraph"/>
      </w:pPr>
      <w:r>
        <w:t xml:space="preserve">Like the</w:t>
      </w:r>
      <w:r>
        <w:t xml:space="preserve"> </w:t>
      </w:r>
      <w:hyperlink r:id="rId382">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4" name="Picture"/>
            <a:graphic>
              <a:graphicData uri="http://schemas.openxmlformats.org/drawingml/2006/picture">
                <pic:pic>
                  <pic:nvPicPr>
                    <pic:cNvPr descr="assets/images/matrix-agents.png" id="385" name="Picture"/>
                    <pic:cNvPicPr>
                      <a:picLocks noChangeArrowheads="1" noChangeAspect="1"/>
                    </pic:cNvPicPr>
                  </pic:nvPicPr>
                  <pic:blipFill>
                    <a:blip r:embed="rId38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6"/>
    <w:bookmarkStart w:id="390"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warning.png" id="389" name="Picture"/>
                          <pic:cNvPicPr>
                            <a:picLocks noChangeArrowheads="1" noChangeAspect="1"/>
                          </pic:cNvPicPr>
                        </pic:nvPicPr>
                        <pic:blipFill>
                          <a:blip r:embed="rId3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0"/>
    <w:bookmarkStart w:id="395"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2"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1">
        <w:r>
          <w:rPr>
            <w:rStyle w:val="Hyperlink"/>
          </w:rPr>
          <w:t xml:space="preserve">Copilot allowlist reference</w:t>
        </w:r>
      </w:hyperlink>
      <w:r>
        <w:t xml:space="preserve">.</w:t>
      </w:r>
    </w:p>
    <w:bookmarkEnd w:id="392"/>
    <w:bookmarkStart w:id="394"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3">
        <w:r>
          <w:rPr>
            <w:rStyle w:val="Hyperlink"/>
          </w:rPr>
          <w:t xml:space="preserve">Customizing or disabling the firewall for GitHub Copilot coding agent</w:t>
        </w:r>
      </w:hyperlink>
      <w:r>
        <w:t xml:space="preserve">.</w:t>
      </w:r>
    </w:p>
    <w:bookmarkEnd w:id="394"/>
    <w:bookmarkEnd w:id="395"/>
    <w:bookmarkStart w:id="399"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9"/>
    <w:bookmarkStart w:id="400"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0"/>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4"/>
    <w:bookmarkStart w:id="406"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8"/>
        </w:numPr>
      </w:pPr>
      <w:hyperlink r:id="rId419">
        <w:r>
          <w:rPr>
            <w:rStyle w:val="Hyperlink"/>
          </w:rPr>
          <w:t xml:space="preserve">dplyr and tidyr cheat sheet</w:t>
        </w:r>
      </w:hyperlink>
    </w:p>
    <w:p>
      <w:pPr>
        <w:pStyle w:val="Compact"/>
        <w:numPr>
          <w:ilvl w:val="0"/>
          <w:numId w:val="1108"/>
        </w:numPr>
      </w:pPr>
      <w:hyperlink r:id="rId420">
        <w:r>
          <w:rPr>
            <w:rStyle w:val="Hyperlink"/>
          </w:rPr>
          <w:t xml:space="preserve">ggplot cheat sheet</w:t>
        </w:r>
      </w:hyperlink>
    </w:p>
    <w:p>
      <w:pPr>
        <w:pStyle w:val="Compact"/>
        <w:numPr>
          <w:ilvl w:val="0"/>
          <w:numId w:val="1108"/>
        </w:numPr>
      </w:pPr>
      <w:hyperlink r:id="rId421">
        <w:r>
          <w:rPr>
            <w:rStyle w:val="Hyperlink"/>
          </w:rPr>
          <w:t xml:space="preserve">data table cheat sheet</w:t>
        </w:r>
      </w:hyperlink>
    </w:p>
    <w:p>
      <w:pPr>
        <w:pStyle w:val="Compact"/>
        <w:numPr>
          <w:ilvl w:val="0"/>
          <w:numId w:val="1108"/>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09"/>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8">
        <w:r>
          <w:rPr>
            <w:rStyle w:val="Hyperlink"/>
          </w:rPr>
          <w:t xml:space="preserve">Data Camp introduction to Git</w:t>
        </w:r>
      </w:hyperlink>
    </w:p>
    <w:p>
      <w:pPr>
        <w:pStyle w:val="Compact"/>
        <w:numPr>
          <w:ilvl w:val="0"/>
          <w:numId w:val="1111"/>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2"/>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3"/>
        </w:numPr>
      </w:pPr>
      <w:hyperlink r:id="rId433">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4">
        <w:r>
          <w:rPr>
            <w:rStyle w:val="Hyperlink"/>
          </w:rPr>
          <w:t xml:space="preserve">Nature article on elements of style for scientific writing</w:t>
        </w:r>
      </w:hyperlink>
    </w:p>
    <w:p>
      <w:pPr>
        <w:pStyle w:val="Compact"/>
        <w:numPr>
          <w:ilvl w:val="0"/>
          <w:numId w:val="1113"/>
        </w:numPr>
      </w:pPr>
      <w:hyperlink r:id="rId435">
        <w:r>
          <w:rPr>
            <w:rStyle w:val="Hyperlink"/>
          </w:rPr>
          <w:t xml:space="preserve">The Pathway to Publishing: A Guide to Quantitative Writing in the Health Sciences</w:t>
        </w:r>
      </w:hyperlink>
    </w:p>
    <w:p>
      <w:pPr>
        <w:pStyle w:val="Compact"/>
        <w:numPr>
          <w:ilvl w:val="0"/>
          <w:numId w:val="1113"/>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4"/>
        </w:numPr>
      </w:pPr>
      <w:hyperlink r:id="rId438">
        <w:r>
          <w:rPr>
            <w:rStyle w:val="Hyperlink"/>
          </w:rPr>
          <w:t xml:space="preserve">How to tell a compelling story in scientific presentations</w:t>
        </w:r>
      </w:hyperlink>
    </w:p>
    <w:p>
      <w:pPr>
        <w:pStyle w:val="Compact"/>
        <w:numPr>
          <w:ilvl w:val="0"/>
          <w:numId w:val="1114"/>
        </w:numPr>
      </w:pPr>
      <w:hyperlink r:id="rId439">
        <w:r>
          <w:rPr>
            <w:rStyle w:val="Hyperlink"/>
          </w:rPr>
          <w:t xml:space="preserve">How to give a killer narratively-driven scientific talk</w:t>
        </w:r>
      </w:hyperlink>
    </w:p>
    <w:p>
      <w:pPr>
        <w:pStyle w:val="Compact"/>
        <w:numPr>
          <w:ilvl w:val="0"/>
          <w:numId w:val="1114"/>
        </w:numPr>
      </w:pPr>
      <w:hyperlink r:id="rId440">
        <w:r>
          <w:rPr>
            <w:rStyle w:val="Hyperlink"/>
          </w:rPr>
          <w:t xml:space="preserve">How to make a better poster</w:t>
        </w:r>
      </w:hyperlink>
    </w:p>
    <w:p>
      <w:pPr>
        <w:pStyle w:val="Compact"/>
        <w:numPr>
          <w:ilvl w:val="0"/>
          <w:numId w:val="1114"/>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5"/>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6"/>
        </w:numPr>
      </w:pPr>
      <w:hyperlink r:id="rId445">
        <w:r>
          <w:rPr>
            <w:rStyle w:val="Hyperlink"/>
          </w:rPr>
          <w:t xml:space="preserve">Building Your Funding Train</w:t>
        </w:r>
      </w:hyperlink>
    </w:p>
    <w:p>
      <w:pPr>
        <w:pStyle w:val="Compact"/>
        <w:numPr>
          <w:ilvl w:val="0"/>
          <w:numId w:val="1116"/>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7"/>
        </w:numPr>
      </w:pPr>
      <w:hyperlink r:id="rId448">
        <w:r>
          <w:rPr>
            <w:rStyle w:val="Hyperlink"/>
          </w:rPr>
          <w:t xml:space="preserve">Global Code of Conduct For Research in Resource-Poor Settings</w:t>
        </w:r>
      </w:hyperlink>
    </w:p>
    <w:p>
      <w:pPr>
        <w:pStyle w:val="Compact"/>
        <w:numPr>
          <w:ilvl w:val="0"/>
          <w:numId w:val="1117"/>
        </w:numPr>
      </w:pPr>
      <w:hyperlink r:id="rId449">
        <w:r>
          <w:rPr>
            <w:rStyle w:val="Hyperlink"/>
          </w:rPr>
          <w:t xml:space="preserve">Who is a global health expert? Advice for aspiring global health experts</w:t>
        </w:r>
      </w:hyperlink>
    </w:p>
    <w:p>
      <w:pPr>
        <w:pStyle w:val="Compact"/>
        <w:numPr>
          <w:ilvl w:val="0"/>
          <w:numId w:val="1117"/>
        </w:numPr>
      </w:pPr>
      <w:hyperlink r:id="rId450">
        <w:r>
          <w:rPr>
            <w:rStyle w:val="Hyperlink"/>
          </w:rPr>
          <w:t xml:space="preserve">Transforming Global Health Partnerships</w:t>
        </w:r>
      </w:hyperlink>
    </w:p>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87" Target="media/rId387.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image" Id="rId383" Target="media/rId383.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405"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405"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2026-01-11T10:13:42Z</dcterms:created>
  <dcterms:modified xsi:type="dcterms:W3CDTF">2026-01-11T10:13:42Z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