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png" ContentType="image/png"/>
  <Override PartName="/word/media/rId235.jpg" ContentType="image/jpeg"/>
  <Override PartName="/word/media/rId2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76"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75" w:name="sec-r-resources"/>
    <w:p>
      <w:pPr>
        <w:pStyle w:val="Heading2"/>
      </w:pPr>
      <w:r>
        <w:t xml:space="preserve">6.19 Additional Resources</w:t>
      </w:r>
    </w:p>
    <w:bookmarkStart w:id="166" w:name="r-package-development"/>
    <w:p>
      <w:pPr>
        <w:pStyle w:val="Heading3"/>
      </w:pPr>
      <w:r>
        <w:t xml:space="preserve">6.19.1 R Package Development</w:t>
      </w:r>
    </w:p>
    <w:p>
      <w:pPr>
        <w:pStyle w:val="Compact"/>
        <w:numPr>
          <w:ilvl w:val="0"/>
          <w:numId w:val="1048"/>
        </w:numPr>
      </w:pPr>
      <w:hyperlink r:id="rId161">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8"/>
        </w:numPr>
      </w:pPr>
      <w:hyperlink r:id="rId162">
        <w:r>
          <w:rPr>
            <w:rStyle w:val="Hyperlink"/>
          </w:rPr>
          <w:t xml:space="preserve">usethis documentation</w:t>
        </w:r>
      </w:hyperlink>
      <w:r>
        <w:t xml:space="preserve"> </w:t>
      </w:r>
      <w:r>
        <w:t xml:space="preserve">- workflow automation for R projects</w:t>
      </w:r>
    </w:p>
    <w:p>
      <w:pPr>
        <w:pStyle w:val="Compact"/>
        <w:numPr>
          <w:ilvl w:val="0"/>
          <w:numId w:val="1048"/>
        </w:numPr>
      </w:pPr>
      <w:hyperlink r:id="rId163">
        <w:r>
          <w:rPr>
            <w:rStyle w:val="Hyperlink"/>
          </w:rPr>
          <w:t xml:space="preserve">devtools documentation</w:t>
        </w:r>
      </w:hyperlink>
      <w:r>
        <w:t xml:space="preserve"> </w:t>
      </w:r>
      <w:r>
        <w:t xml:space="preserve">- essential development tools</w:t>
      </w:r>
    </w:p>
    <w:p>
      <w:pPr>
        <w:pStyle w:val="Compact"/>
        <w:numPr>
          <w:ilvl w:val="0"/>
          <w:numId w:val="1048"/>
        </w:numPr>
      </w:pPr>
      <w:hyperlink r:id="rId164">
        <w:r>
          <w:rPr>
            <w:rStyle w:val="Hyperlink"/>
          </w:rPr>
          <w:t xml:space="preserve">pkgdown documentation</w:t>
        </w:r>
      </w:hyperlink>
      <w:r>
        <w:t xml:space="preserve"> </w:t>
      </w:r>
      <w:r>
        <w:t xml:space="preserve">- create package websites</w:t>
      </w:r>
    </w:p>
    <w:p>
      <w:pPr>
        <w:pStyle w:val="Compact"/>
        <w:numPr>
          <w:ilvl w:val="0"/>
          <w:numId w:val="1048"/>
        </w:numPr>
      </w:pPr>
      <w:hyperlink r:id="rId165">
        <w:r>
          <w:rPr>
            <w:rStyle w:val="Hyperlink"/>
          </w:rPr>
          <w:t xml:space="preserve">testthat documentation</w:t>
        </w:r>
      </w:hyperlink>
      <w:r>
        <w:t xml:space="preserve"> </w:t>
      </w:r>
      <w:r>
        <w:t xml:space="preserve">- unit testing framework</w:t>
      </w:r>
    </w:p>
    <w:bookmarkEnd w:id="166"/>
    <w:bookmarkStart w:id="169" w:name="general-r-programming"/>
    <w:p>
      <w:pPr>
        <w:pStyle w:val="Heading3"/>
      </w:pPr>
      <w:r>
        <w:t xml:space="preserve">6.19.2 General R Programming</w:t>
      </w:r>
    </w:p>
    <w:p>
      <w:pPr>
        <w:pStyle w:val="Compact"/>
        <w:numPr>
          <w:ilvl w:val="0"/>
          <w:numId w:val="1049"/>
        </w:numPr>
      </w:pPr>
      <w:hyperlink r:id="rId167">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9"/>
        </w:numPr>
      </w:pPr>
      <w:hyperlink r:id="rId168">
        <w:r>
          <w:rPr>
            <w:rStyle w:val="Hyperlink"/>
          </w:rPr>
          <w:t xml:space="preserve">Advanced R</w:t>
        </w:r>
      </w:hyperlink>
      <w:r>
        <w:t xml:space="preserve"> </w:t>
      </w:r>
      <w:r>
        <w:t xml:space="preserve">by Hadley Wickham - deep dive into R programming and internals</w:t>
      </w:r>
    </w:p>
    <w:bookmarkEnd w:id="169"/>
    <w:bookmarkStart w:id="172" w:name="shiny-development"/>
    <w:p>
      <w:pPr>
        <w:pStyle w:val="Heading3"/>
      </w:pPr>
      <w:r>
        <w:t xml:space="preserve">6.19.3 Shiny Development</w:t>
      </w:r>
    </w:p>
    <w:p>
      <w:pPr>
        <w:pStyle w:val="Compact"/>
        <w:numPr>
          <w:ilvl w:val="0"/>
          <w:numId w:val="1050"/>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0"/>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2"/>
    <w:bookmarkStart w:id="174" w:name="git-and-version-control"/>
    <w:p>
      <w:pPr>
        <w:pStyle w:val="Heading3"/>
      </w:pPr>
      <w:r>
        <w:t xml:space="preserve">6.19.4 Git and Version Control</w:t>
      </w:r>
    </w:p>
    <w:p>
      <w:pPr>
        <w:pStyle w:val="Compact"/>
        <w:numPr>
          <w:ilvl w:val="0"/>
          <w:numId w:val="1051"/>
        </w:numPr>
      </w:pPr>
      <w:hyperlink r:id="rId173">
        <w:r>
          <w:rPr>
            <w:rStyle w:val="Hyperlink"/>
          </w:rPr>
          <w:t xml:space="preserve">Happy Git and GitHub for the useR</w:t>
        </w:r>
      </w:hyperlink>
      <w:r>
        <w:t xml:space="preserve"> </w:t>
      </w:r>
      <w:r>
        <w:t xml:space="preserve">by Jenny Bryan - essential guide to using Git and GitHub with R</w:t>
      </w:r>
    </w:p>
    <w:bookmarkEnd w:id="174"/>
    <w:bookmarkEnd w:id="175"/>
    <w:bookmarkEnd w:id="176"/>
    <w:bookmarkStart w:id="197" w:name="sec-r-code-style"/>
    <w:p>
      <w:pPr>
        <w:pStyle w:val="Heading1"/>
      </w:pPr>
      <w:r>
        <w:t xml:space="preserve">7. R Code Style</w:t>
      </w:r>
    </w:p>
    <w:p>
      <w:pPr>
        <w:pStyle w:val="FirstParagraph"/>
      </w:pPr>
      <w:r>
        <w:t xml:space="preserve">Adapted by UCD-SeRG team from</w:t>
      </w:r>
      <w:r>
        <w:t xml:space="preserve"> </w:t>
      </w:r>
      <w:hyperlink r:id="rId177">
        <w:r>
          <w:rPr>
            <w:rStyle w:val="Hyperlink"/>
          </w:rPr>
          <w:t xml:space="preserve">original by Kunal Mishra, Jade Benjamin-Chung, and Stephanie Djajadi</w:t>
        </w:r>
      </w:hyperlink>
    </w:p>
    <w:p>
      <w:pPr>
        <w:pStyle w:val="BodyText"/>
      </w:pPr>
      <w:r>
        <w:t xml:space="preserve">Follow these code style guidelines for all R code:</w:t>
      </w:r>
    </w:p>
    <w:bookmarkStart w:id="178" w:name="general-principles"/>
    <w:p>
      <w:pPr>
        <w:pStyle w:val="Heading2"/>
      </w:pPr>
      <w:r>
        <w:t xml:space="preserve">7.1 General Principles</w:t>
      </w:r>
    </w:p>
    <w:p>
      <w:pPr>
        <w:pStyle w:val="Compact"/>
        <w:numPr>
          <w:ilvl w:val="0"/>
          <w:numId w:val="1052"/>
        </w:numPr>
      </w:pPr>
      <w:r>
        <w:rPr>
          <w:b/>
          <w:bCs/>
        </w:rPr>
        <w:t xml:space="preserve">Follow tidyverse style guide</w:t>
      </w:r>
      <w:r>
        <w:t xml:space="preserve">: https://style.tidyverse.org</w:t>
      </w:r>
    </w:p>
    <w:p>
      <w:pPr>
        <w:pStyle w:val="Compact"/>
        <w:numPr>
          <w:ilvl w:val="0"/>
          <w:numId w:val="105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2"/>
        </w:numPr>
      </w:pPr>
      <w:r>
        <w:rPr>
          <w:b/>
          <w:bCs/>
        </w:rPr>
        <w:t xml:space="preserve">Write tidy code</w:t>
      </w:r>
      <w:r>
        <w:t xml:space="preserve">: Keep code clean, readable, and well-organized</w:t>
      </w:r>
    </w:p>
    <w:bookmarkEnd w:id="178"/>
    <w:bookmarkStart w:id="179"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9"/>
    <w:bookmarkStart w:id="18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3"/>
        </w:numPr>
      </w:pPr>
      <w:r>
        <w:t xml:space="preserve">source your config =&gt;</w:t>
      </w:r>
    </w:p>
    <w:p>
      <w:pPr>
        <w:pStyle w:val="Compact"/>
        <w:numPr>
          <w:ilvl w:val="0"/>
          <w:numId w:val="1053"/>
        </w:numPr>
      </w:pPr>
      <w:r>
        <w:t xml:space="preserve">load all your data =&gt;</w:t>
      </w:r>
    </w:p>
    <w:p>
      <w:pPr>
        <w:pStyle w:val="Compact"/>
        <w:numPr>
          <w:ilvl w:val="0"/>
          <w:numId w:val="105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4"/>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1"/>
    <w:bookmarkStart w:id="18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2"/>
    <w:bookmarkStart w:id="183"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3"/>
    <w:bookmarkStart w:id="184"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84"/>
    <w:bookmarkStart w:id="185"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5"/>
    <w:bookmarkStart w:id="186"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6"/>
    <w:bookmarkStart w:id="194"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7"/>
        </w:numPr>
      </w:pPr>
      <w:r>
        <w:rPr>
          <w:b/>
          <w:bCs/>
        </w:rPr>
        <w:t xml:space="preserve">StyleR</w:t>
      </w:r>
      <w:r>
        <w:t xml:space="preserve"> </w:t>
      </w:r>
      <w:r>
        <w:t xml:space="preserve">- Another</w:t>
      </w:r>
      <w:r>
        <w:t xml:space="preserve"> </w:t>
      </w:r>
      <w:hyperlink r:id="rId18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8">
        <w:r>
          <w:rPr>
            <w:rStyle w:val="Hyperlink"/>
          </w:rPr>
          <w:t xml:space="preserve">function’s documentation</w:t>
        </w:r>
      </w:hyperlink>
      <w:r>
        <w:t xml:space="preserve"> </w:t>
      </w:r>
      <w:r>
        <w:t xml:space="preserve">and the vignette linked above for more details.</w:t>
      </w:r>
    </w:p>
    <w:p>
      <w:pPr>
        <w:pStyle w:val="Compact"/>
        <w:numPr>
          <w:ilvl w:val="1"/>
          <w:numId w:val="1058"/>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9">
        <w:r>
          <w:rPr>
            <w:rStyle w:val="Hyperlink"/>
          </w:rPr>
          <w:t xml:space="preserve">even more</w:t>
        </w:r>
      </w:hyperlink>
      <w:r>
        <w:t xml:space="preserve"> </w:t>
      </w:r>
      <w:r>
        <w:t xml:space="preserve">if you’re really hardcore.</w:t>
      </w:r>
    </w:p>
    <w:p>
      <w:pPr>
        <w:pStyle w:val="Compact"/>
        <w:numPr>
          <w:ilvl w:val="1"/>
          <w:numId w:val="1058"/>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7"/>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1">
        <w:r>
          <w:rPr>
            <w:rStyle w:val="Hyperlink"/>
          </w:rPr>
          <w:t xml:space="preserve">in this link</w:t>
        </w:r>
      </w:hyperlink>
      <w:r>
        <w:t xml:space="preserve">, and most guidelines are based on</w:t>
      </w:r>
      <w:r>
        <w:t xml:space="preserve"> </w:t>
      </w:r>
      <w:hyperlink r:id="rId192">
        <w:r>
          <w:rPr>
            <w:rStyle w:val="Hyperlink"/>
          </w:rPr>
          <w:t xml:space="preserve">Hadley Wickham’s R Style Guide</w:t>
        </w:r>
      </w:hyperlink>
      <w:r>
        <w:t xml:space="preserve">.</w:t>
      </w:r>
    </w:p>
    <w:p>
      <w:pPr>
        <w:pStyle w:val="Compact"/>
        <w:numPr>
          <w:ilvl w:val="1"/>
          <w:numId w:val="1059"/>
        </w:numPr>
      </w:pPr>
      <w:r>
        <w:rPr>
          <w:b/>
          <w:bCs/>
        </w:rPr>
        <w:t xml:space="preserve">Note</w:t>
      </w:r>
      <w:r>
        <w:t xml:space="preserve">: You can customize your settings to set defaults or to exclude files. More details can be found</w:t>
      </w:r>
      <w:r>
        <w:t xml:space="preserve"> </w:t>
      </w:r>
      <w:hyperlink r:id="rId193">
        <w:r>
          <w:rPr>
            <w:rStyle w:val="Hyperlink"/>
          </w:rPr>
          <w:t xml:space="preserve">here</w:t>
        </w:r>
      </w:hyperlink>
      <w:r>
        <w:t xml:space="preserve">.</w:t>
      </w:r>
    </w:p>
    <w:p>
      <w:pPr>
        <w:pStyle w:val="Compact"/>
        <w:numPr>
          <w:ilvl w:val="1"/>
          <w:numId w:val="1059"/>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4"/>
    <w:bookmarkStart w:id="196" w:name="sec-r-resources-style"/>
    <w:p>
      <w:pPr>
        <w:pStyle w:val="Heading2"/>
      </w:pPr>
      <w:r>
        <w:t xml:space="preserve">7.10 Additional Resources</w:t>
      </w:r>
    </w:p>
    <w:p>
      <w:pPr>
        <w:pStyle w:val="Compact"/>
        <w:numPr>
          <w:ilvl w:val="0"/>
          <w:numId w:val="1060"/>
        </w:numPr>
      </w:pPr>
      <w:hyperlink r:id="rId195">
        <w:r>
          <w:rPr>
            <w:rStyle w:val="Hyperlink"/>
          </w:rPr>
          <w:t xml:space="preserve">Tidyverse style guide</w:t>
        </w:r>
      </w:hyperlink>
    </w:p>
    <w:bookmarkEnd w:id="196"/>
    <w:bookmarkEnd w:id="197"/>
    <w:bookmarkStart w:id="203" w:name="big-data"/>
    <w:p>
      <w:pPr>
        <w:pStyle w:val="Heading1"/>
      </w:pPr>
      <w:r>
        <w:t xml:space="preserve">8. Big data</w:t>
      </w:r>
    </w:p>
    <w:p>
      <w:pPr>
        <w:pStyle w:val="FirstParagraph"/>
      </w:pPr>
      <w:r>
        <w:t xml:space="preserve">Adapted by UCD-SeRG team from</w:t>
      </w:r>
      <w:r>
        <w:t xml:space="preserve"> </w:t>
      </w:r>
      <w:hyperlink r:id="rId198">
        <w:r>
          <w:rPr>
            <w:rStyle w:val="Hyperlink"/>
          </w:rPr>
          <w:t xml:space="preserve">original by Kunal Mishra and Jade Benjamin-Chung</w:t>
        </w:r>
      </w:hyperlink>
    </w:p>
    <w:bookmarkStart w:id="2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0"/>
    <w:bookmarkStart w:id="2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1"/>
    <w:bookmarkStart w:id="2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2"/>
    <w:bookmarkEnd w:id="203"/>
    <w:bookmarkStart w:id="213" w:name="data-masking"/>
    <w:p>
      <w:pPr>
        <w:pStyle w:val="Heading1"/>
      </w:pPr>
      <w:r>
        <w:t xml:space="preserve">9. Data masking</w:t>
      </w:r>
    </w:p>
    <w:p>
      <w:pPr>
        <w:pStyle w:val="FirstParagraph"/>
      </w:pPr>
      <w:r>
        <w:t xml:space="preserve">Adapted by UCD-SeRG team from</w:t>
      </w:r>
      <w:r>
        <w:t xml:space="preserve"> </w:t>
      </w:r>
      <w:hyperlink r:id="rId2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6" name="Picture"/>
            <a:graphic>
              <a:graphicData uri="http://schemas.openxmlformats.org/drawingml/2006/picture">
                <pic:pic>
                  <pic:nvPicPr>
                    <pic:cNvPr descr="assets/images/data-masking.PNG" id="207" name="Picture"/>
                    <pic:cNvPicPr>
                      <a:picLocks noChangeArrowheads="1" noChangeAspect="1"/>
                    </pic:cNvPicPr>
                  </pic:nvPicPr>
                  <pic:blipFill>
                    <a:blip r:embed="rId20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8"/>
    <w:bookmarkStart w:id="20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9"/>
    <w:bookmarkEnd w:id="210"/>
    <w:bookmarkStart w:id="21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1"/>
    <w:bookmarkEnd w:id="212"/>
    <w:bookmarkEnd w:id="213"/>
    <w:bookmarkStart w:id="233" w:name="sec-github"/>
    <w:p>
      <w:pPr>
        <w:pStyle w:val="Heading1"/>
      </w:pPr>
      <w:r>
        <w:t xml:space="preserve">10. Github</w:t>
      </w:r>
    </w:p>
    <w:p>
      <w:pPr>
        <w:pStyle w:val="FirstParagraph"/>
      </w:pPr>
      <w:r>
        <w:t xml:space="preserve">Adapted by UCD-SeRG team from</w:t>
      </w:r>
      <w:r>
        <w:t xml:space="preserve"> </w:t>
      </w:r>
      <w:hyperlink r:id="rId214">
        <w:r>
          <w:rPr>
            <w:rStyle w:val="Hyperlink"/>
          </w:rPr>
          <w:t xml:space="preserve">original by Stephanie Djajadi and Nolan Pokpongkiat</w:t>
        </w:r>
      </w:hyperlink>
    </w:p>
    <w:bookmarkStart w:id="217" w:name="basics"/>
    <w:p>
      <w:pPr>
        <w:pStyle w:val="Heading2"/>
      </w:pPr>
      <w:r>
        <w:t xml:space="preserve">10.1 Basics</w:t>
      </w:r>
    </w:p>
    <w:p>
      <w:pPr>
        <w:pStyle w:val="Compact"/>
        <w:numPr>
          <w:ilvl w:val="0"/>
          <w:numId w:val="1063"/>
        </w:numPr>
      </w:pPr>
      <w:r>
        <w:t xml:space="preserve">A detailed tutorial of Git can be found</w:t>
      </w:r>
      <w:r>
        <w:t xml:space="preserve"> </w:t>
      </w:r>
      <w:hyperlink r:id="rId215">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15">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16">
        <w:r>
          <w:rPr>
            <w:rStyle w:val="Hyperlink"/>
          </w:rPr>
          <w:t xml:space="preserve">article</w:t>
        </w:r>
      </w:hyperlink>
      <w:r>
        <w:t xml:space="preserve"> </w:t>
      </w:r>
      <w:r>
        <w:t xml:space="preserve">to undo, fix, or remove commits in git.</w:t>
      </w:r>
    </w:p>
    <w:bookmarkEnd w:id="217"/>
    <w:bookmarkStart w:id="21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9"/>
    <w:bookmarkStart w:id="22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0">
        <w:r>
          <w:rPr>
            <w:rStyle w:val="Hyperlink"/>
          </w:rPr>
          <w:t xml:space="preserve">here</w:t>
        </w:r>
      </w:hyperlink>
      <w:r>
        <w:t xml:space="preserve">. You can also find instructions on how to handle merge conflicts when joining branches together.</w:t>
      </w:r>
    </w:p>
    <w:bookmarkEnd w:id="221"/>
    <w:bookmarkStart w:id="22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3"/>
    <w:bookmarkStart w:id="22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4"/>
    <w:bookmarkStart w:id="22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5"/>
    <w:bookmarkStart w:id="22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6"/>
    <w:bookmarkStart w:id="228"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27">
        <w:r>
          <w:rPr>
            <w:rStyle w:val="Hyperlink"/>
          </w:rPr>
          <w:t xml:space="preserve">Repeated Amend chapter</w:t>
        </w:r>
      </w:hyperlink>
      <w:r>
        <w:t xml:space="preserve"> </w:t>
      </w:r>
      <w:r>
        <w:t xml:space="preserve">in Happy Git with R.</w:t>
      </w:r>
    </w:p>
    <w:bookmarkEnd w:id="228"/>
    <w:bookmarkEnd w:id="229"/>
    <w:bookmarkStart w:id="23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1">
        <w:r>
          <w:rPr>
            <w:rStyle w:val="Hyperlink"/>
          </w:rPr>
          <w:t xml:space="preserve">great discussion of project-oriented workflows</w:t>
        </w:r>
      </w:hyperlink>
      <w:r>
        <w:t xml:space="preserve">, extolling the virtues of a self-contained, portable projects, for your reference.</w:t>
      </w:r>
    </w:p>
    <w:bookmarkEnd w:id="232"/>
    <w:bookmarkEnd w:id="233"/>
    <w:bookmarkStart w:id="252" w:name="sec-unix"/>
    <w:p>
      <w:pPr>
        <w:pStyle w:val="Heading1"/>
      </w:pPr>
      <w:r>
        <w:t xml:space="preserve">11. Unix</w:t>
      </w:r>
    </w:p>
    <w:p>
      <w:pPr>
        <w:pStyle w:val="FirstParagraph"/>
      </w:pPr>
      <w:r>
        <w:t xml:space="preserve">Adapted by UCD-SeRG team from</w:t>
      </w:r>
      <w:r>
        <w:t xml:space="preserve"> </w:t>
      </w:r>
      <w:hyperlink r:id="rId23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3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6" name="Picture"/>
            <a:graphic>
              <a:graphicData uri="http://schemas.openxmlformats.org/drawingml/2006/picture">
                <pic:pic>
                  <pic:nvPicPr>
                    <pic:cNvPr descr="assets/images/ex-desktop.jpg" id="237" name="Picture"/>
                    <pic:cNvPicPr>
                      <a:picLocks noChangeArrowheads="1" noChangeAspect="1"/>
                    </pic:cNvPicPr>
                  </pic:nvPicPr>
                  <pic:blipFill>
                    <a:blip r:embed="rId23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38"/>
    <w:bookmarkStart w:id="24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0" name="Picture"/>
            <a:graphic>
              <a:graphicData uri="http://schemas.openxmlformats.org/drawingml/2006/picture">
                <pic:pic>
                  <pic:nvPicPr>
                    <pic:cNvPr descr="assets/images/ex-terminal.PNG" id="241" name="Picture"/>
                    <pic:cNvPicPr>
                      <a:picLocks noChangeArrowheads="1" noChangeAspect="1"/>
                    </pic:cNvPicPr>
                  </pic:nvPicPr>
                  <pic:blipFill>
                    <a:blip r:embed="rId23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2"/>
    <w:bookmarkStart w:id="24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3"/>
    <w:bookmarkStart w:id="24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5"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5"/>
    <w:bookmarkEnd w:id="246"/>
    <w:bookmarkStart w:id="24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7"/>
    <w:bookmarkStart w:id="25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4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4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49"/>
    <w:bookmarkStart w:id="25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0"/>
    <w:bookmarkEnd w:id="251"/>
    <w:bookmarkEnd w:id="252"/>
    <w:bookmarkStart w:id="258" w:name="reproducible-environments"/>
    <w:p>
      <w:pPr>
        <w:pStyle w:val="Heading1"/>
      </w:pPr>
      <w:r>
        <w:t xml:space="preserve">12. Reproducible Environments</w:t>
      </w:r>
    </w:p>
    <w:p>
      <w:pPr>
        <w:pStyle w:val="FirstParagraph"/>
      </w:pPr>
      <w:r>
        <w:t xml:space="preserve">Adapted by UCD-SeRG team from</w:t>
      </w:r>
      <w:r>
        <w:t xml:space="preserve"> </w:t>
      </w:r>
      <w:hyperlink r:id="rId253">
        <w:r>
          <w:rPr>
            <w:rStyle w:val="Hyperlink"/>
          </w:rPr>
          <w:t xml:space="preserve">original by Anna Nguyen</w:t>
        </w:r>
      </w:hyperlink>
    </w:p>
    <w:bookmarkStart w:id="257" w:name="package-version-control-with-renv"/>
    <w:p>
      <w:pPr>
        <w:pStyle w:val="Heading2"/>
      </w:pPr>
      <w:r>
        <w:t xml:space="preserve">12.1 Package Version Control with renv</w:t>
      </w:r>
    </w:p>
    <w:bookmarkStart w:id="25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4"/>
    <w:bookmarkStart w:id="25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5"/>
    <w:bookmarkStart w:id="25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56"/>
    <w:bookmarkEnd w:id="257"/>
    <w:bookmarkEnd w:id="258"/>
    <w:bookmarkStart w:id="273" w:name="code-publication"/>
    <w:p>
      <w:pPr>
        <w:pStyle w:val="Heading1"/>
      </w:pPr>
      <w:r>
        <w:t xml:space="preserve">13. Code Publication</w:t>
      </w:r>
    </w:p>
    <w:p>
      <w:pPr>
        <w:pStyle w:val="FirstParagraph"/>
      </w:pPr>
      <w:r>
        <w:t xml:space="preserve">Adapted by UCD-SeRG team from</w:t>
      </w:r>
      <w:r>
        <w:t xml:space="preserve"> </w:t>
      </w:r>
      <w:hyperlink r:id="rId259">
        <w:r>
          <w:rPr>
            <w:rStyle w:val="Hyperlink"/>
          </w:rPr>
          <w:t xml:space="preserve">original by Nolan Pokpongkiat</w:t>
        </w:r>
      </w:hyperlink>
    </w:p>
    <w:bookmarkStart w:id="260"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60"/>
    <w:bookmarkStart w:id="26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1">
        <w:r>
          <w:rPr>
            <w:rStyle w:val="Hyperlink"/>
          </w:rPr>
          <w:t xml:space="preserve">here.</w:t>
        </w:r>
      </w:hyperlink>
    </w:p>
    <w:bookmarkEnd w:id="262"/>
    <w:bookmarkStart w:id="26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3"/>
    <w:bookmarkStart w:id="26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4">
        <w:r>
          <w:rPr>
            <w:rStyle w:val="Hyperlink"/>
          </w:rPr>
          <w:t xml:space="preserve">here.</w:t>
        </w:r>
      </w:hyperlink>
    </w:p>
    <w:bookmarkEnd w:id="265"/>
    <w:bookmarkStart w:id="26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6"/>
    <w:bookmarkStart w:id="26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7">
        <w:r>
          <w:rPr>
            <w:rStyle w:val="Hyperlink"/>
          </w:rPr>
          <w:t xml:space="preserve">here.</w:t>
        </w:r>
      </w:hyperlink>
    </w:p>
    <w:bookmarkEnd w:id="268"/>
    <w:bookmarkStart w:id="26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69"/>
    <w:bookmarkStart w:id="27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0"/>
    <w:bookmarkStart w:id="27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1">
        <w:r>
          <w:rPr>
            <w:rStyle w:val="Hyperlink"/>
          </w:rPr>
          <w:t xml:space="preserve">here.</w:t>
        </w:r>
      </w:hyperlink>
    </w:p>
    <w:bookmarkEnd w:id="272"/>
    <w:bookmarkEnd w:id="273"/>
    <w:bookmarkStart w:id="294"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4">
        <w:r>
          <w:rPr>
            <w:rStyle w:val="Hyperlink"/>
          </w:rPr>
          <w:t xml:space="preserve">Proctor-UCSF Lab Manual</w:t>
        </w:r>
      </w:hyperlink>
    </w:p>
    <w:bookmarkStart w:id="27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7"/>
    <w:bookmarkStart w:id="28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7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78"/>
    <w:bookmarkStart w:id="27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79"/>
    <w:bookmarkStart w:id="28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0"/>
    <w:bookmarkEnd w:id="281"/>
    <w:bookmarkStart w:id="285" w:name="create-public-ids"/>
    <w:p>
      <w:pPr>
        <w:pStyle w:val="Heading2"/>
      </w:pPr>
      <w:r>
        <w:t xml:space="preserve">14.3 Create public IDs</w:t>
      </w:r>
    </w:p>
    <w:bookmarkStart w:id="28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2"/>
    <w:bookmarkStart w:id="28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3"/>
    <w:bookmarkStart w:id="28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4"/>
    <w:bookmarkEnd w:id="285"/>
    <w:bookmarkStart w:id="28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88"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287">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288"/>
    <w:bookmarkEnd w:id="289"/>
    <w:bookmarkStart w:id="29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0"/>
    <w:bookmarkStart w:id="29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1"/>
    <w:bookmarkStart w:id="29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2">
        <w:r>
          <w:rPr>
            <w:rStyle w:val="Hyperlink"/>
          </w:rPr>
          <w:t xml:space="preserve">How to Store and Manage Your Data - PLOS</w:t>
        </w:r>
      </w:hyperlink>
    </w:p>
    <w:bookmarkEnd w:id="293"/>
    <w:bookmarkEnd w:id="294"/>
    <w:bookmarkStart w:id="315" w:name="sec-slurm"/>
    <w:p>
      <w:pPr>
        <w:pStyle w:val="Heading1"/>
      </w:pPr>
      <w:r>
        <w:t xml:space="preserve">15. High-performance computing (HPC)</w:t>
      </w:r>
    </w:p>
    <w:p>
      <w:pPr>
        <w:pStyle w:val="FirstParagraph"/>
      </w:pPr>
      <w:r>
        <w:t xml:space="preserve">Adapted by UCD-SeRG team from</w:t>
      </w:r>
      <w:r>
        <w:t xml:space="preserve"> </w:t>
      </w:r>
      <w:hyperlink r:id="rId29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99" w:name="uc-davis-computing-resources"/>
    <w:p>
      <w:pPr>
        <w:pStyle w:val="Heading2"/>
      </w:pPr>
      <w:r>
        <w:t xml:space="preserve">15.1 UC Davis Computing Resources</w:t>
      </w:r>
    </w:p>
    <w:bookmarkStart w:id="29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98"/>
    <w:bookmarkEnd w:id="299"/>
    <w:bookmarkStart w:id="30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0"/>
    <w:bookmarkEnd w:id="301"/>
    <w:bookmarkStart w:id="30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2"/>
    <w:bookmarkStart w:id="30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6">
        <w:r>
          <w:rPr>
            <w:rStyle w:val="Hyperlink"/>
          </w:rPr>
          <w:t xml:space="preserve">hpc.ucdavis.edu</w:t>
        </w:r>
      </w:hyperlink>
      <w:r>
        <w:t xml:space="preserve"> </w:t>
      </w:r>
      <w:r>
        <w:t xml:space="preserve">for support information.</w:t>
      </w:r>
    </w:p>
    <w:bookmarkEnd w:id="303"/>
    <w:bookmarkStart w:id="30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4"/>
    <w:bookmarkStart w:id="30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5"/>
    <w:bookmarkStart w:id="30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6"/>
    <w:bookmarkEnd w:id="307"/>
    <w:bookmarkStart w:id="312" w:name="storage-group-storage-access"/>
    <w:p>
      <w:pPr>
        <w:pStyle w:val="Heading2"/>
      </w:pPr>
      <w:r>
        <w:t xml:space="preserve">15.6 Storage &amp; group storage access</w:t>
      </w:r>
    </w:p>
    <w:bookmarkStart w:id="30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6">
        <w:r>
          <w:rPr>
            <w:rStyle w:val="Hyperlink"/>
          </w:rPr>
          <w:t xml:space="preserve">UC Davis HPC documentation</w:t>
        </w:r>
      </w:hyperlink>
      <w:r>
        <w:t xml:space="preserve"> </w:t>
      </w:r>
      <w:r>
        <w:t xml:space="preserve">for specific storage options and quotas.</w:t>
      </w:r>
    </w:p>
    <w:bookmarkEnd w:id="308"/>
    <w:bookmarkStart w:id="30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09"/>
    <w:bookmarkStart w:id="31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1"/>
    <w:bookmarkEnd w:id="312"/>
    <w:bookmarkStart w:id="31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3">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4"/>
    <w:bookmarkEnd w:id="315"/>
    <w:bookmarkStart w:id="32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1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2"/>
        </w:numPr>
      </w:pPr>
      <w:r>
        <w:t xml:space="preserve">Carefully review the code to ensure you understand what it does</w:t>
      </w:r>
    </w:p>
    <w:p>
      <w:pPr>
        <w:pStyle w:val="Compact"/>
        <w:numPr>
          <w:ilvl w:val="0"/>
          <w:numId w:val="1082"/>
        </w:numPr>
      </w:pPr>
      <w:r>
        <w:t xml:space="preserve">Test the code thoroughly to verify it works as expected</w:t>
      </w:r>
    </w:p>
    <w:p>
      <w:pPr>
        <w:pStyle w:val="Compact"/>
        <w:numPr>
          <w:ilvl w:val="0"/>
          <w:numId w:val="1082"/>
        </w:numPr>
      </w:pPr>
      <w:r>
        <w:t xml:space="preserve">Verify that the logic is appropriate for your specific use case</w:t>
      </w:r>
    </w:p>
    <w:p>
      <w:pPr>
        <w:pStyle w:val="Compact"/>
        <w:numPr>
          <w:ilvl w:val="0"/>
          <w:numId w:val="1082"/>
        </w:numPr>
      </w:pPr>
      <w:r>
        <w:t xml:space="preserve">Check that the code follows our lab’s coding standards and best practices</w:t>
      </w:r>
    </w:p>
    <w:p>
      <w:pPr>
        <w:pStyle w:val="Compact"/>
        <w:numPr>
          <w:ilvl w:val="0"/>
          <w:numId w:val="1082"/>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16"/>
    <w:bookmarkStart w:id="31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3"/>
        </w:numPr>
      </w:pPr>
      <w:r>
        <w:t xml:space="preserve">In code comments, note when AI tools were used to generate or significantly modify code</w:t>
      </w:r>
    </w:p>
    <w:p>
      <w:pPr>
        <w:pStyle w:val="Compact"/>
        <w:numPr>
          <w:ilvl w:val="0"/>
          <w:numId w:val="1083"/>
        </w:numPr>
      </w:pPr>
      <w:r>
        <w:t xml:space="preserve">In commit messages, mention if AI tools assisted with the changes</w:t>
      </w:r>
    </w:p>
    <w:p>
      <w:pPr>
        <w:pStyle w:val="Compact"/>
        <w:numPr>
          <w:ilvl w:val="0"/>
          <w:numId w:val="1083"/>
        </w:numPr>
      </w:pPr>
      <w:r>
        <w:t xml:space="preserve">In manuscripts and reports, acknowledge AI tool usage in the methods or acknowledgments section</w:t>
      </w:r>
    </w:p>
    <w:p>
      <w:pPr>
        <w:pStyle w:val="Compact"/>
        <w:numPr>
          <w:ilvl w:val="0"/>
          <w:numId w:val="108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17"/>
    <w:bookmarkStart w:id="320" w:name="recommended-tools"/>
    <w:p>
      <w:pPr>
        <w:pStyle w:val="Heading2"/>
      </w:pPr>
      <w:r>
        <w:t xml:space="preserve">16.3 Recommended tools</w:t>
      </w:r>
    </w:p>
    <w:p>
      <w:pPr>
        <w:pStyle w:val="FirstParagraph"/>
      </w:pPr>
      <w:r>
        <w:t xml:space="preserve">We recommend using</w:t>
      </w:r>
      <w:r>
        <w:t xml:space="preserve"> </w:t>
      </w:r>
      <w:hyperlink r:id="rId318">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1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20"/>
    <w:bookmarkEnd w:id="321"/>
    <w:bookmarkStart w:id="333" w:name="checklists"/>
    <w:p>
      <w:pPr>
        <w:pStyle w:val="Heading1"/>
      </w:pPr>
      <w:r>
        <w:t xml:space="preserve">17. Checklists</w:t>
      </w:r>
    </w:p>
    <w:p>
      <w:pPr>
        <w:pStyle w:val="FirstParagraph"/>
      </w:pPr>
      <w:r>
        <w:t xml:space="preserve">Adapted by UCD-SeRG team from</w:t>
      </w:r>
      <w:r>
        <w:t xml:space="preserve"> </w:t>
      </w:r>
      <w:hyperlink r:id="rId322">
        <w:r>
          <w:rPr>
            <w:rStyle w:val="Hyperlink"/>
          </w:rPr>
          <w:t xml:space="preserve">original by Jade Benjamin-Chung</w:t>
        </w:r>
      </w:hyperlink>
    </w:p>
    <w:bookmarkStart w:id="323"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23"/>
    <w:bookmarkStart w:id="324"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177">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24"/>
    <w:bookmarkStart w:id="328"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25">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6">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27">
        <w:r>
          <w:rPr>
            <w:rStyle w:val="Hyperlink"/>
          </w:rPr>
          <w:t xml:space="preserve">CRediT Taxonomy</w:t>
        </w:r>
      </w:hyperlink>
      <w:r>
        <w:t xml:space="preserve"> </w:t>
      </w:r>
      <w:r>
        <w:t xml:space="preserve">for author contributions?</w:t>
      </w:r>
    </w:p>
    <w:bookmarkEnd w:id="328"/>
    <w:bookmarkStart w:id="332"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29">
        <w:r>
          <w:rPr>
            <w:rStyle w:val="Hyperlink"/>
          </w:rPr>
          <w:t xml:space="preserve">here</w:t>
        </w:r>
      </w:hyperlink>
      <w:r>
        <w:t xml:space="preserve">, a neat palette generator with colorblind options</w:t>
      </w:r>
      <w:r>
        <w:t xml:space="preserve"> </w:t>
      </w:r>
      <w:hyperlink r:id="rId330">
        <w:r>
          <w:rPr>
            <w:rStyle w:val="Hyperlink"/>
          </w:rPr>
          <w:t xml:space="preserve">here</w:t>
        </w:r>
      </w:hyperlink>
      <w:r>
        <w:t xml:space="preserve">, and an article on why this matters</w:t>
      </w:r>
      <w:r>
        <w:t xml:space="preserve"> </w:t>
      </w:r>
      <w:hyperlink r:id="rId331">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32"/>
    <w:bookmarkEnd w:id="333"/>
    <w:bookmarkStart w:id="370" w:name="resources"/>
    <w:p>
      <w:pPr>
        <w:pStyle w:val="Heading1"/>
      </w:pPr>
      <w:r>
        <w:t xml:space="preserve">18. Resources</w:t>
      </w:r>
    </w:p>
    <w:p>
      <w:pPr>
        <w:pStyle w:val="FirstParagraph"/>
      </w:pPr>
      <w:r>
        <w:t xml:space="preserve">Adapted by UCD-SeRG team from</w:t>
      </w:r>
      <w:r>
        <w:t xml:space="preserve"> </w:t>
      </w:r>
      <w:hyperlink r:id="rId334">
        <w:r>
          <w:rPr>
            <w:rStyle w:val="Hyperlink"/>
          </w:rPr>
          <w:t xml:space="preserve">original by Jade Benjamin-Chung and Kunal Mishra</w:t>
        </w:r>
      </w:hyperlink>
    </w:p>
    <w:bookmarkStart w:id="345" w:name="resources-for-r"/>
    <w:p>
      <w:pPr>
        <w:pStyle w:val="Heading2"/>
      </w:pPr>
      <w:r>
        <w:t xml:space="preserve">18.1 Resources for R</w:t>
      </w:r>
    </w:p>
    <w:bookmarkStart w:id="336" w:name="books-and-comprehensive-guides"/>
    <w:p>
      <w:pPr>
        <w:pStyle w:val="Heading3"/>
      </w:pPr>
      <w:r>
        <w:t xml:space="preserve">18.1.1 Books and Comprehensive Guides</w:t>
      </w:r>
    </w:p>
    <w:p>
      <w:pPr>
        <w:pStyle w:val="Compact"/>
        <w:numPr>
          <w:ilvl w:val="0"/>
          <w:numId w:val="1089"/>
        </w:numPr>
      </w:pPr>
      <w:hyperlink r:id="rId167">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61">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68">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73">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35">
        <w:r>
          <w:rPr>
            <w:rStyle w:val="Hyperlink"/>
          </w:rPr>
          <w:t xml:space="preserve">Jade’s R-for-epi course</w:t>
        </w:r>
      </w:hyperlink>
    </w:p>
    <w:bookmarkEnd w:id="336"/>
    <w:bookmarkStart w:id="341" w:name="cheat-sheets"/>
    <w:p>
      <w:pPr>
        <w:pStyle w:val="Heading3"/>
      </w:pPr>
      <w:r>
        <w:t xml:space="preserve">18.1.2 Cheat Sheets</w:t>
      </w:r>
    </w:p>
    <w:p>
      <w:pPr>
        <w:pStyle w:val="Compact"/>
        <w:numPr>
          <w:ilvl w:val="0"/>
          <w:numId w:val="1090"/>
        </w:numPr>
      </w:pPr>
      <w:hyperlink r:id="rId337">
        <w:r>
          <w:rPr>
            <w:rStyle w:val="Hyperlink"/>
          </w:rPr>
          <w:t xml:space="preserve">dplyr and tidyr cheat sheet</w:t>
        </w:r>
      </w:hyperlink>
    </w:p>
    <w:p>
      <w:pPr>
        <w:pStyle w:val="Compact"/>
        <w:numPr>
          <w:ilvl w:val="0"/>
          <w:numId w:val="1090"/>
        </w:numPr>
      </w:pPr>
      <w:hyperlink r:id="rId338">
        <w:r>
          <w:rPr>
            <w:rStyle w:val="Hyperlink"/>
          </w:rPr>
          <w:t xml:space="preserve">ggplot cheat sheet</w:t>
        </w:r>
      </w:hyperlink>
    </w:p>
    <w:p>
      <w:pPr>
        <w:pStyle w:val="Compact"/>
        <w:numPr>
          <w:ilvl w:val="0"/>
          <w:numId w:val="1090"/>
        </w:numPr>
      </w:pPr>
      <w:hyperlink r:id="rId339">
        <w:r>
          <w:rPr>
            <w:rStyle w:val="Hyperlink"/>
          </w:rPr>
          <w:t xml:space="preserve">data table cheat sheet</w:t>
        </w:r>
      </w:hyperlink>
    </w:p>
    <w:p>
      <w:pPr>
        <w:pStyle w:val="Compact"/>
        <w:numPr>
          <w:ilvl w:val="0"/>
          <w:numId w:val="1090"/>
        </w:numPr>
      </w:pPr>
      <w:hyperlink r:id="rId340">
        <w:r>
          <w:rPr>
            <w:rStyle w:val="Hyperlink"/>
          </w:rPr>
          <w:t xml:space="preserve">RMarkdown cheat sheet</w:t>
        </w:r>
      </w:hyperlink>
    </w:p>
    <w:bookmarkEnd w:id="341"/>
    <w:bookmarkStart w:id="343" w:name="style-and-best-practices"/>
    <w:p>
      <w:pPr>
        <w:pStyle w:val="Heading3"/>
      </w:pPr>
      <w:r>
        <w:t xml:space="preserve">18.1.3 Style and Best Practices</w:t>
      </w:r>
    </w:p>
    <w:p>
      <w:pPr>
        <w:pStyle w:val="Compact"/>
        <w:numPr>
          <w:ilvl w:val="0"/>
          <w:numId w:val="1091"/>
        </w:numPr>
      </w:pPr>
      <w:hyperlink r:id="rId342">
        <w:r>
          <w:rPr>
            <w:rStyle w:val="Hyperlink"/>
          </w:rPr>
          <w:t xml:space="preserve">Hadley Wickham’s R Style Guide</w:t>
        </w:r>
      </w:hyperlink>
    </w:p>
    <w:bookmarkEnd w:id="343"/>
    <w:bookmarkStart w:id="344" w:name="tidy-evaluation-resources"/>
    <w:p>
      <w:pPr>
        <w:pStyle w:val="Heading3"/>
      </w:pPr>
      <w:r>
        <w:t xml:space="preserve">18.1.4 Tidy Evaluation Resources</w:t>
      </w:r>
    </w:p>
    <w:p>
      <w:pPr>
        <w:pStyle w:val="Compact"/>
        <w:numPr>
          <w:ilvl w:val="0"/>
          <w:numId w:val="1092"/>
        </w:numPr>
      </w:pPr>
      <w:hyperlink r:id="rId143">
        <w:r>
          <w:rPr>
            <w:rStyle w:val="Hyperlink"/>
          </w:rPr>
          <w:t xml:space="preserve">Tidy Eval in 5 Minutes</w:t>
        </w:r>
      </w:hyperlink>
      <w:r>
        <w:t xml:space="preserve"> </w:t>
      </w:r>
      <w:r>
        <w:t xml:space="preserve">(video)</w:t>
      </w:r>
    </w:p>
    <w:p>
      <w:pPr>
        <w:pStyle w:val="Compact"/>
        <w:numPr>
          <w:ilvl w:val="0"/>
          <w:numId w:val="1092"/>
        </w:numPr>
      </w:pPr>
      <w:hyperlink r:id="rId144">
        <w:r>
          <w:rPr>
            <w:rStyle w:val="Hyperlink"/>
          </w:rPr>
          <w:t xml:space="preserve">Tidy Evaluation</w:t>
        </w:r>
      </w:hyperlink>
      <w:r>
        <w:t xml:space="preserve"> </w:t>
      </w:r>
      <w:r>
        <w:t xml:space="preserve">(e-book)</w:t>
      </w:r>
    </w:p>
    <w:p>
      <w:pPr>
        <w:pStyle w:val="Compact"/>
        <w:numPr>
          <w:ilvl w:val="0"/>
          <w:numId w:val="1092"/>
        </w:numPr>
      </w:pPr>
      <w:hyperlink r:id="rId145">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6">
        <w:r>
          <w:rPr>
            <w:rStyle w:val="Hyperlink"/>
          </w:rPr>
          <w:t xml:space="preserve">Standard Evaluation for *_join</w:t>
        </w:r>
      </w:hyperlink>
      <w:r>
        <w:t xml:space="preserve"> </w:t>
      </w:r>
      <w:r>
        <w:t xml:space="preserve">(stackoverflow)</w:t>
      </w:r>
    </w:p>
    <w:p>
      <w:pPr>
        <w:pStyle w:val="Compact"/>
        <w:numPr>
          <w:ilvl w:val="0"/>
          <w:numId w:val="1092"/>
        </w:numPr>
      </w:pPr>
      <w:hyperlink r:id="rId147">
        <w:r>
          <w:rPr>
            <w:rStyle w:val="Hyperlink"/>
          </w:rPr>
          <w:t xml:space="preserve">Programming with dplyr</w:t>
        </w:r>
      </w:hyperlink>
      <w:r>
        <w:t xml:space="preserve"> </w:t>
      </w:r>
      <w:r>
        <w:t xml:space="preserve">(package vignette)</w:t>
      </w:r>
    </w:p>
    <w:bookmarkEnd w:id="344"/>
    <w:bookmarkEnd w:id="345"/>
    <w:bookmarkStart w:id="348" w:name="resources-for-git-github"/>
    <w:p>
      <w:pPr>
        <w:pStyle w:val="Heading2"/>
      </w:pPr>
      <w:r>
        <w:t xml:space="preserve">18.2 Resources for Git &amp; Github</w:t>
      </w:r>
    </w:p>
    <w:p>
      <w:pPr>
        <w:pStyle w:val="Compact"/>
        <w:numPr>
          <w:ilvl w:val="0"/>
          <w:numId w:val="1093"/>
        </w:numPr>
      </w:pPr>
      <w:hyperlink r:id="rId173">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46">
        <w:r>
          <w:rPr>
            <w:rStyle w:val="Hyperlink"/>
          </w:rPr>
          <w:t xml:space="preserve">Data Camp introduction to Git</w:t>
        </w:r>
      </w:hyperlink>
    </w:p>
    <w:p>
      <w:pPr>
        <w:pStyle w:val="Compact"/>
        <w:numPr>
          <w:ilvl w:val="0"/>
          <w:numId w:val="1093"/>
        </w:numPr>
      </w:pPr>
      <w:hyperlink r:id="rId347">
        <w:r>
          <w:rPr>
            <w:rStyle w:val="Hyperlink"/>
          </w:rPr>
          <w:t xml:space="preserve">Introduction to Github</w:t>
        </w:r>
      </w:hyperlink>
    </w:p>
    <w:bookmarkEnd w:id="348"/>
    <w:bookmarkStart w:id="350" w:name="scientific-figures"/>
    <w:p>
      <w:pPr>
        <w:pStyle w:val="Heading2"/>
      </w:pPr>
      <w:r>
        <w:t xml:space="preserve">18.3 Scientific figures</w:t>
      </w:r>
    </w:p>
    <w:p>
      <w:pPr>
        <w:pStyle w:val="Compact"/>
        <w:numPr>
          <w:ilvl w:val="0"/>
          <w:numId w:val="1094"/>
        </w:numPr>
      </w:pPr>
      <w:hyperlink r:id="rId349">
        <w:r>
          <w:rPr>
            <w:rStyle w:val="Hyperlink"/>
          </w:rPr>
          <w:t xml:space="preserve">Ten Simple Rules for Better Figures</w:t>
        </w:r>
      </w:hyperlink>
    </w:p>
    <w:bookmarkEnd w:id="350"/>
    <w:bookmarkStart w:id="355" w:name="writing"/>
    <w:p>
      <w:pPr>
        <w:pStyle w:val="Heading2"/>
      </w:pPr>
      <w:r>
        <w:t xml:space="preserve">18.4 Writing</w:t>
      </w:r>
    </w:p>
    <w:p>
      <w:pPr>
        <w:pStyle w:val="Compact"/>
        <w:numPr>
          <w:ilvl w:val="0"/>
          <w:numId w:val="1095"/>
        </w:numPr>
      </w:pPr>
      <w:hyperlink r:id="rId351">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52">
        <w:r>
          <w:rPr>
            <w:rStyle w:val="Hyperlink"/>
          </w:rPr>
          <w:t xml:space="preserve">Nature article on elements of style for scientific writing</w:t>
        </w:r>
      </w:hyperlink>
    </w:p>
    <w:p>
      <w:pPr>
        <w:pStyle w:val="Compact"/>
        <w:numPr>
          <w:ilvl w:val="0"/>
          <w:numId w:val="1095"/>
        </w:numPr>
      </w:pPr>
      <w:hyperlink r:id="rId353">
        <w:r>
          <w:rPr>
            <w:rStyle w:val="Hyperlink"/>
          </w:rPr>
          <w:t xml:space="preserve">The Pathway to Publishing: A Guide to Quantitative Writing in the Health Sciences</w:t>
        </w:r>
      </w:hyperlink>
    </w:p>
    <w:p>
      <w:pPr>
        <w:pStyle w:val="Compact"/>
        <w:numPr>
          <w:ilvl w:val="0"/>
          <w:numId w:val="1095"/>
        </w:numPr>
      </w:pPr>
      <w:hyperlink r:id="rId354">
        <w:r>
          <w:rPr>
            <w:rStyle w:val="Hyperlink"/>
          </w:rPr>
          <w:t xml:space="preserve">Secret, actionable writing tips</w:t>
        </w:r>
      </w:hyperlink>
    </w:p>
    <w:bookmarkEnd w:id="355"/>
    <w:bookmarkStart w:id="360" w:name="presentations"/>
    <w:p>
      <w:pPr>
        <w:pStyle w:val="Heading2"/>
      </w:pPr>
      <w:r>
        <w:t xml:space="preserve">18.5 Presentations</w:t>
      </w:r>
    </w:p>
    <w:p>
      <w:pPr>
        <w:pStyle w:val="Compact"/>
        <w:numPr>
          <w:ilvl w:val="0"/>
          <w:numId w:val="1096"/>
        </w:numPr>
      </w:pPr>
      <w:hyperlink r:id="rId356">
        <w:r>
          <w:rPr>
            <w:rStyle w:val="Hyperlink"/>
          </w:rPr>
          <w:t xml:space="preserve">How to tell a compelling story in scientific presentations</w:t>
        </w:r>
      </w:hyperlink>
    </w:p>
    <w:p>
      <w:pPr>
        <w:pStyle w:val="Compact"/>
        <w:numPr>
          <w:ilvl w:val="0"/>
          <w:numId w:val="1096"/>
        </w:numPr>
      </w:pPr>
      <w:hyperlink r:id="rId357">
        <w:r>
          <w:rPr>
            <w:rStyle w:val="Hyperlink"/>
          </w:rPr>
          <w:t xml:space="preserve">How to give a killer narratively-driven scientific talk</w:t>
        </w:r>
      </w:hyperlink>
    </w:p>
    <w:p>
      <w:pPr>
        <w:pStyle w:val="Compact"/>
        <w:numPr>
          <w:ilvl w:val="0"/>
          <w:numId w:val="1096"/>
        </w:numPr>
      </w:pPr>
      <w:hyperlink r:id="rId358">
        <w:r>
          <w:rPr>
            <w:rStyle w:val="Hyperlink"/>
          </w:rPr>
          <w:t xml:space="preserve">How to make a better poster</w:t>
        </w:r>
      </w:hyperlink>
    </w:p>
    <w:p>
      <w:pPr>
        <w:pStyle w:val="Compact"/>
        <w:numPr>
          <w:ilvl w:val="0"/>
          <w:numId w:val="1096"/>
        </w:numPr>
      </w:pPr>
      <w:hyperlink r:id="rId359">
        <w:r>
          <w:rPr>
            <w:rStyle w:val="Hyperlink"/>
          </w:rPr>
          <w:t xml:space="preserve">How to make an even better poster</w:t>
        </w:r>
      </w:hyperlink>
    </w:p>
    <w:bookmarkEnd w:id="360"/>
    <w:bookmarkStart w:id="362" w:name="professional-advice"/>
    <w:p>
      <w:pPr>
        <w:pStyle w:val="Heading2"/>
      </w:pPr>
      <w:r>
        <w:t xml:space="preserve">18.6 Professional advice</w:t>
      </w:r>
    </w:p>
    <w:p>
      <w:pPr>
        <w:pStyle w:val="Compact"/>
        <w:numPr>
          <w:ilvl w:val="0"/>
          <w:numId w:val="1097"/>
        </w:numPr>
      </w:pPr>
      <w:hyperlink r:id="rId361">
        <w:r>
          <w:rPr>
            <w:rStyle w:val="Hyperlink"/>
          </w:rPr>
          <w:t xml:space="preserve">Professional advice, especially for your first job</w:t>
        </w:r>
      </w:hyperlink>
    </w:p>
    <w:bookmarkEnd w:id="362"/>
    <w:bookmarkStart w:id="365" w:name="funding"/>
    <w:p>
      <w:pPr>
        <w:pStyle w:val="Heading2"/>
      </w:pPr>
      <w:r>
        <w:t xml:space="preserve">18.7 Funding</w:t>
      </w:r>
    </w:p>
    <w:p>
      <w:pPr>
        <w:pStyle w:val="Compact"/>
        <w:numPr>
          <w:ilvl w:val="0"/>
          <w:numId w:val="1098"/>
        </w:numPr>
      </w:pPr>
      <w:hyperlink r:id="rId363">
        <w:r>
          <w:rPr>
            <w:rStyle w:val="Hyperlink"/>
          </w:rPr>
          <w:t xml:space="preserve">Building Your Funding Train</w:t>
        </w:r>
      </w:hyperlink>
    </w:p>
    <w:p>
      <w:pPr>
        <w:pStyle w:val="Compact"/>
        <w:numPr>
          <w:ilvl w:val="0"/>
          <w:numId w:val="1098"/>
        </w:numPr>
      </w:pPr>
      <w:hyperlink r:id="rId364">
        <w:r>
          <w:rPr>
            <w:rStyle w:val="Hyperlink"/>
          </w:rPr>
          <w:t xml:space="preserve">NIH Grant Writing Resources</w:t>
        </w:r>
      </w:hyperlink>
    </w:p>
    <w:bookmarkEnd w:id="365"/>
    <w:bookmarkStart w:id="369" w:name="ethics-and-global-health-research"/>
    <w:p>
      <w:pPr>
        <w:pStyle w:val="Heading2"/>
      </w:pPr>
      <w:r>
        <w:t xml:space="preserve">18.8 Ethics and global health research</w:t>
      </w:r>
    </w:p>
    <w:p>
      <w:pPr>
        <w:pStyle w:val="Compact"/>
        <w:numPr>
          <w:ilvl w:val="0"/>
          <w:numId w:val="1099"/>
        </w:numPr>
      </w:pPr>
      <w:hyperlink r:id="rId366">
        <w:r>
          <w:rPr>
            <w:rStyle w:val="Hyperlink"/>
          </w:rPr>
          <w:t xml:space="preserve">Global Code of Conduct For Research in Resource-Poor Settings</w:t>
        </w:r>
      </w:hyperlink>
    </w:p>
    <w:p>
      <w:pPr>
        <w:pStyle w:val="Compact"/>
        <w:numPr>
          <w:ilvl w:val="0"/>
          <w:numId w:val="1099"/>
        </w:numPr>
      </w:pPr>
      <w:hyperlink r:id="rId367">
        <w:r>
          <w:rPr>
            <w:rStyle w:val="Hyperlink"/>
          </w:rPr>
          <w:t xml:space="preserve">Who is a global health expert? Advice for aspiring global health experts</w:t>
        </w:r>
      </w:hyperlink>
    </w:p>
    <w:p>
      <w:pPr>
        <w:pStyle w:val="Compact"/>
        <w:numPr>
          <w:ilvl w:val="0"/>
          <w:numId w:val="1099"/>
        </w:numPr>
      </w:pPr>
      <w:hyperlink r:id="rId368">
        <w:r>
          <w:rPr>
            <w:rStyle w:val="Hyperlink"/>
          </w:rPr>
          <w:t xml:space="preserve">Transforming Global Health Partnerships</w:t>
        </w:r>
      </w:hyperlink>
    </w:p>
    <w:bookmarkEnd w:id="369"/>
    <w:bookmarkEnd w:id="3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 Target="media/rId205.png" /><Relationship Type="http://schemas.openxmlformats.org/officeDocument/2006/relationships/image" Id="rId235" Target="media/rId235.jpg" /><Relationship Type="http://schemas.openxmlformats.org/officeDocument/2006/relationships/image" Id="rId239" Target="media/rId239.png" /><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318" Target="https://github.com/features/copilot" TargetMode="External" /><Relationship Type="http://schemas.openxmlformats.org/officeDocument/2006/relationships/hyperlink" Id="rId319" Target="https://github.com/features/copilot/agents"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318" Target="https://github.com/features/copilot" TargetMode="External" /><Relationship Type="http://schemas.openxmlformats.org/officeDocument/2006/relationships/hyperlink" Id="rId319" Target="https://github.com/features/copilot/agents"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2026-01-10T09:26:05Z</dcterms:created>
  <dcterms:modified xsi:type="dcterms:W3CDTF">2026-01-10T09:26:05Z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