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4.png" ContentType="image/png"/>
  <Override PartName="/word/media/rId241.png" ContentType="image/png"/>
  <Override PartName="/word/media/rId320.jpg" ContentType="image/jpeg"/>
  <Override PartName="/word/media/rId326.png" ContentType="image/png"/>
  <Override PartName="/word/media/rId4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72"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71"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3" w:name="benefits-and-hazards"/>
    <w:p>
      <w:pPr>
        <w:pStyle w:val="Heading3"/>
      </w:pPr>
      <w:r>
        <w:t xml:space="preserve">17.4.3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25"/>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25"/>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25"/>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25"/>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25"/>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25"/>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26"/>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26"/>
        </w:numPr>
      </w:pPr>
      <w:r>
        <w:rPr>
          <w:b/>
          <w:bCs/>
        </w:rPr>
        <w:t xml:space="preserve">Subtle bugs</w:t>
      </w:r>
      <w:r>
        <w:t xml:space="preserve">:</w:t>
      </w:r>
      <w:r>
        <w:t xml:space="preserve"> </w:t>
      </w:r>
      <w:r>
        <w:t xml:space="preserve">AI-generated code may contain logic errors that are not immediately obvious</w:t>
      </w:r>
    </w:p>
    <w:p>
      <w:pPr>
        <w:numPr>
          <w:ilvl w:val="0"/>
          <w:numId w:val="1126"/>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26"/>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26"/>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26"/>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26"/>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2" w:name="further-readingviewing"/>
    <w:p>
      <w:pPr>
        <w:pStyle w:val="Heading4"/>
      </w:pPr>
      <w:r>
        <w:t xml:space="preserve">17.4.3.1 Further reading/viewing</w:t>
      </w:r>
    </w:p>
    <w:p>
      <w:pPr>
        <w:pStyle w:val="Compact"/>
        <w:numPr>
          <w:ilvl w:val="0"/>
          <w:numId w:val="1127"/>
        </w:numPr>
      </w:pPr>
      <w:r>
        <w:rPr>
          <w:i/>
          <w:iCs/>
        </w:rPr>
        <w:t xml:space="preserve">I Robot</w:t>
      </w:r>
      <w:r>
        <w:t xml:space="preserve"> </w:t>
      </w:r>
      <w:r>
        <w:t xml:space="preserve">(Asimov 1950)</w:t>
      </w:r>
    </w:p>
    <w:p>
      <w:pPr>
        <w:pStyle w:val="Compact"/>
        <w:numPr>
          <w:ilvl w:val="0"/>
          <w:numId w:val="1127"/>
        </w:numPr>
      </w:pPr>
      <w:r>
        <w:rPr>
          <w:i/>
          <w:iCs/>
        </w:rPr>
        <w:t xml:space="preserve">Dune</w:t>
      </w:r>
      <w:r>
        <w:t xml:space="preserve"> </w:t>
      </w:r>
      <w:r>
        <w:t xml:space="preserve">(Herbert 1965)</w:t>
      </w:r>
    </w:p>
    <w:p>
      <w:pPr>
        <w:pStyle w:val="Compact"/>
        <w:numPr>
          <w:ilvl w:val="0"/>
          <w:numId w:val="1127"/>
        </w:numPr>
      </w:pPr>
      <w:r>
        <w:t xml:space="preserve">“2001: A Space Odyssey”</w:t>
      </w:r>
      <w:r>
        <w:t xml:space="preserve"> </w:t>
      </w:r>
      <w:r>
        <w:t xml:space="preserve">(1968)</w:t>
      </w:r>
    </w:p>
    <w:p>
      <w:pPr>
        <w:pStyle w:val="Compact"/>
        <w:numPr>
          <w:ilvl w:val="0"/>
          <w:numId w:val="1127"/>
        </w:numPr>
      </w:pPr>
      <w:r>
        <w:t xml:space="preserve">“Terminator 3: Rise of the Machines”</w:t>
      </w:r>
      <w:r>
        <w:t xml:space="preserve"> </w:t>
      </w:r>
      <w:r>
        <w:t xml:space="preserve">(2003)</w:t>
      </w:r>
    </w:p>
    <w:p>
      <w:pPr>
        <w:pStyle w:val="Compact"/>
        <w:numPr>
          <w:ilvl w:val="0"/>
          <w:numId w:val="1127"/>
        </w:numPr>
      </w:pPr>
      <w:r>
        <w:t xml:space="preserve">“The Matrix”</w:t>
      </w:r>
      <w:r>
        <w:t xml:space="preserve"> </w:t>
      </w:r>
      <w:r>
        <w:t xml:space="preserve">(1999)</w:t>
      </w:r>
    </w:p>
    <w:p>
      <w:pPr>
        <w:pStyle w:val="Compact"/>
        <w:numPr>
          <w:ilvl w:val="0"/>
          <w:numId w:val="1127"/>
        </w:numPr>
      </w:pPr>
      <w:r>
        <w:t xml:space="preserve">“Blade Runner”</w:t>
      </w:r>
      <w:r>
        <w:t xml:space="preserve"> </w:t>
      </w:r>
      <w:r>
        <w:t xml:space="preserve">(1982)</w:t>
      </w:r>
    </w:p>
    <w:p>
      <w:pPr>
        <w:pStyle w:val="Compact"/>
        <w:numPr>
          <w:ilvl w:val="0"/>
          <w:numId w:val="1127"/>
        </w:numPr>
      </w:pPr>
      <w:r>
        <w:t xml:space="preserve">“WarGames”</w:t>
      </w:r>
      <w:r>
        <w:t xml:space="preserve"> </w:t>
      </w:r>
      <w:r>
        <w:t xml:space="preserve">(1983)</w:t>
      </w:r>
    </w:p>
    <w:p>
      <w:pPr>
        <w:pStyle w:val="Compact"/>
        <w:numPr>
          <w:ilvl w:val="0"/>
          <w:numId w:val="1127"/>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27"/>
        </w:numPr>
      </w:pPr>
      <w:r>
        <w:rPr>
          <w:i/>
          <w:iCs/>
        </w:rPr>
        <w:t xml:space="preserve">Ender’s Game</w:t>
      </w:r>
      <w:r>
        <w:t xml:space="preserve"> </w:t>
      </w:r>
      <w:r>
        <w:t xml:space="preserve">(Card 1985)</w:t>
      </w:r>
    </w:p>
    <w:p>
      <w:pPr>
        <w:pStyle w:val="Compact"/>
        <w:numPr>
          <w:ilvl w:val="0"/>
          <w:numId w:val="1127"/>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19" name="Picture"/>
            <a:graphic>
              <a:graphicData uri="http://schemas.openxmlformats.org/drawingml/2006/picture">
                <pic:pic>
                  <pic:nvPicPr>
                    <pic:cNvPr descr="assets/images/matrix-agents.png" id="420" name="Picture"/>
                    <pic:cNvPicPr>
                      <a:picLocks noChangeArrowheads="1" noChangeAspect="1"/>
                    </pic:cNvPicPr>
                  </pic:nvPicPr>
                  <pic:blipFill>
                    <a:blip r:embed="rId418"/>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1">
        <w:r>
          <w:rPr>
            <w:rStyle w:val="Hyperlink"/>
          </w:rPr>
          <w:t xml:space="preserve">Agents</w:t>
        </w:r>
      </w:hyperlink>
    </w:p>
    <w:bookmarkEnd w:id="422"/>
    <w:bookmarkEnd w:id="423"/>
    <w:bookmarkStart w:id="427" w:name="X4df097a63b2e25878cfbc7228b7eb578be2e8c9"/>
    <w:p>
      <w:pPr>
        <w:pStyle w:val="Heading3"/>
      </w:pPr>
      <w:r>
        <w:t xml:space="preserve">17.4.4 Best Practices for Safe and Successful Use</w:t>
      </w:r>
    </w:p>
    <w:p>
      <w:pPr>
        <w:pStyle w:val="FirstParagraph"/>
      </w:pPr>
      <w:r>
        <w:t xml:space="preserve">To work with coding agents safely and successfully:</w:t>
      </w:r>
    </w:p>
    <w:p>
      <w:pPr>
        <w:numPr>
          <w:ilvl w:val="0"/>
          <w:numId w:val="1128"/>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28"/>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28"/>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28"/>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28"/>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28"/>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28"/>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28"/>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5" name="Picture"/>
                  <a:graphic>
                    <a:graphicData uri="http://schemas.openxmlformats.org/drawingml/2006/picture">
                      <pic:pic>
                        <pic:nvPicPr>
                          <pic:cNvPr descr="/opt/quarto/share/formats/docx/warning.png" id="426" name="Picture"/>
                          <pic:cNvPicPr>
                            <a:picLocks noChangeArrowheads="1" noChangeAspect="1"/>
                          </pic:cNvPicPr>
                        </pic:nvPicPr>
                        <pic:blipFill>
                          <a:blip r:embed="rId4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29"/>
              </w:numPr>
            </w:pPr>
            <w:r>
              <w:t xml:space="preserve">Access secrets and credentials</w:t>
            </w:r>
          </w:p>
          <w:p>
            <w:pPr>
              <w:pStyle w:val="Compact"/>
              <w:numPr>
                <w:ilvl w:val="0"/>
                <w:numId w:val="1129"/>
              </w:numPr>
            </w:pPr>
            <w:r>
              <w:t xml:space="preserve">Deploy code to production</w:t>
            </w:r>
          </w:p>
          <w:p>
            <w:pPr>
              <w:pStyle w:val="Compact"/>
              <w:numPr>
                <w:ilvl w:val="0"/>
                <w:numId w:val="1129"/>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27"/>
    <w:bookmarkStart w:id="432" w:name="firewall-and-network-configuration"/>
    <w:p>
      <w:pPr>
        <w:pStyle w:val="Heading3"/>
      </w:pPr>
      <w:r>
        <w:t xml:space="preserve">17.4.5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29" w:name="built-in-agent-firewall"/>
    <w:p>
      <w:pPr>
        <w:pStyle w:val="Heading4"/>
      </w:pPr>
      <w:r>
        <w:t xml:space="preserve">17.4.5.1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0"/>
        </w:numPr>
      </w:pPr>
      <w:r>
        <w:t xml:space="preserve">Data exfiltration</w:t>
      </w:r>
    </w:p>
    <w:p>
      <w:pPr>
        <w:pStyle w:val="Compact"/>
        <w:numPr>
          <w:ilvl w:val="0"/>
          <w:numId w:val="1130"/>
        </w:numPr>
      </w:pPr>
      <w:r>
        <w:t xml:space="preserve">Accidental leaks of sensitive information</w:t>
      </w:r>
    </w:p>
    <w:p>
      <w:pPr>
        <w:pStyle w:val="Compact"/>
        <w:numPr>
          <w:ilvl w:val="0"/>
          <w:numId w:val="1130"/>
        </w:numPr>
      </w:pPr>
      <w:r>
        <w:t xml:space="preserve">Execution of malicious instructions</w:t>
      </w:r>
    </w:p>
    <w:p>
      <w:pPr>
        <w:pStyle w:val="FirstParagraph"/>
      </w:pPr>
      <w:r>
        <w:t xml:space="preserve">By default, the agent’s firewall allows access to:</w:t>
      </w:r>
    </w:p>
    <w:p>
      <w:pPr>
        <w:pStyle w:val="Compact"/>
        <w:numPr>
          <w:ilvl w:val="0"/>
          <w:numId w:val="1131"/>
        </w:numPr>
      </w:pPr>
      <w:r>
        <w:t xml:space="preserve">Common OS package repositories (Debian, Ubuntu, Red Hat, etc.)</w:t>
      </w:r>
    </w:p>
    <w:p>
      <w:pPr>
        <w:pStyle w:val="Compact"/>
        <w:numPr>
          <w:ilvl w:val="0"/>
          <w:numId w:val="1131"/>
        </w:numPr>
      </w:pPr>
      <w:r>
        <w:t xml:space="preserve">Popular container registries (Docker Hub, Azure Container Registry, AWS ECR, etc.)</w:t>
      </w:r>
    </w:p>
    <w:p>
      <w:pPr>
        <w:pStyle w:val="Compact"/>
        <w:numPr>
          <w:ilvl w:val="0"/>
          <w:numId w:val="1131"/>
        </w:numPr>
      </w:pPr>
      <w:r>
        <w:t xml:space="preserve">Language-specific package registries (npm, PyPI, Maven, RubyGems, etc.)</w:t>
      </w:r>
    </w:p>
    <w:p>
      <w:pPr>
        <w:pStyle w:val="Compact"/>
        <w:numPr>
          <w:ilvl w:val="0"/>
          <w:numId w:val="1131"/>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28">
        <w:r>
          <w:rPr>
            <w:rStyle w:val="Hyperlink"/>
          </w:rPr>
          <w:t xml:space="preserve">Copilot allowlist reference</w:t>
        </w:r>
      </w:hyperlink>
      <w:r>
        <w:t xml:space="preserve">.</w:t>
      </w:r>
    </w:p>
    <w:bookmarkEnd w:id="429"/>
    <w:bookmarkStart w:id="431" w:name="customizing-agent-firewall-settings"/>
    <w:p>
      <w:pPr>
        <w:pStyle w:val="Heading4"/>
      </w:pPr>
      <w:r>
        <w:t xml:space="preserve">17.4.5.2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32"/>
        </w:numPr>
      </w:pPr>
      <w:r>
        <w:t xml:space="preserve">Add custom hosts to the allowlist (for internal dependencies or additional registries)</w:t>
      </w:r>
    </w:p>
    <w:p>
      <w:pPr>
        <w:pStyle w:val="Compact"/>
        <w:numPr>
          <w:ilvl w:val="0"/>
          <w:numId w:val="1132"/>
        </w:numPr>
      </w:pPr>
      <w:r>
        <w:t xml:space="preserve">Opt out of the default recommended allowlist for stricter security</w:t>
      </w:r>
    </w:p>
    <w:p>
      <w:pPr>
        <w:pStyle w:val="Compact"/>
        <w:numPr>
          <w:ilvl w:val="0"/>
          <w:numId w:val="1132"/>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0">
        <w:r>
          <w:rPr>
            <w:rStyle w:val="Hyperlink"/>
          </w:rPr>
          <w:t xml:space="preserve">Customizing or disabling the firewall for GitHub Copilot coding agent</w:t>
        </w:r>
      </w:hyperlink>
      <w:r>
        <w:t xml:space="preserve">.</w:t>
      </w:r>
    </w:p>
    <w:bookmarkEnd w:id="431"/>
    <w:bookmarkEnd w:id="432"/>
    <w:bookmarkStart w:id="436" w:name="when-to-use-a-coding-agent"/>
    <w:p>
      <w:pPr>
        <w:pStyle w:val="Heading3"/>
      </w:pPr>
      <w:r>
        <w:t xml:space="preserve">17.4.6 When to use a coding agent</w:t>
      </w:r>
    </w:p>
    <w:p>
      <w:pPr>
        <w:pStyle w:val="FirstParagraph"/>
      </w:pPr>
      <w:r>
        <w:t xml:space="preserve">Coding agent sessions are currently</w:t>
      </w:r>
      <w:r>
        <w:rPr>
          <w:rStyle w:val="FootnoteReference"/>
        </w:rPr>
        <w:footnoteReference w:id="43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3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3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36"/>
    <w:bookmarkStart w:id="437" w:name="editing-with-.docx-files"/>
    <w:p>
      <w:pPr>
        <w:pStyle w:val="Heading3"/>
      </w:pPr>
      <w:r>
        <w:t xml:space="preserve">17.4.7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33"/>
        </w:numPr>
      </w:pPr>
      <w:r>
        <w:t xml:space="preserve">Lab members can export Quarto content to Word format for review</w:t>
      </w:r>
    </w:p>
    <w:p>
      <w:pPr>
        <w:pStyle w:val="Compact"/>
        <w:numPr>
          <w:ilvl w:val="0"/>
          <w:numId w:val="1133"/>
        </w:numPr>
      </w:pPr>
      <w:r>
        <w:t xml:space="preserve">Reviewers can make edits, add tracked changes, and insert comments in Word</w:t>
      </w:r>
    </w:p>
    <w:p>
      <w:pPr>
        <w:pStyle w:val="Compact"/>
        <w:numPr>
          <w:ilvl w:val="0"/>
          <w:numId w:val="1133"/>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34"/>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34"/>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34"/>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37"/>
    <w:bookmarkStart w:id="470" w:name="copilot-instructions-for-this-repository"/>
    <w:p>
      <w:pPr>
        <w:pStyle w:val="Heading3"/>
      </w:pPr>
      <w:r>
        <w:t xml:space="preserve">17.4.8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35"/>
        </w:numPr>
      </w:pPr>
      <w:r>
        <w:t xml:space="preserve">Markdown and Quarto formatting rules (e.g., blank lines before lists, line breaks in prose)</w:t>
      </w:r>
    </w:p>
    <w:p>
      <w:pPr>
        <w:pStyle w:val="Compact"/>
        <w:numPr>
          <w:ilvl w:val="0"/>
          <w:numId w:val="113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35"/>
        </w:numPr>
      </w:pPr>
      <w:r>
        <w:t xml:space="preserve">File organization patterns (e.g., using Quarto includes for modular content)</w:t>
      </w:r>
    </w:p>
    <w:p>
      <w:pPr>
        <w:pStyle w:val="Compact"/>
        <w:numPr>
          <w:ilvl w:val="0"/>
          <w:numId w:val="1135"/>
        </w:numPr>
      </w:pPr>
      <w:r>
        <w:t xml:space="preserve">How to work with DOCX files for hybrid editing workflows</w:t>
      </w:r>
    </w:p>
    <w:p>
      <w:pPr>
        <w:pStyle w:val="Compact"/>
        <w:numPr>
          <w:ilvl w:val="0"/>
          <w:numId w:val="113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 copilot-instructions.md</w:t>
            </w:r>
          </w:p>
        </w:tc>
      </w:tr>
      <w:tr>
        <w:trPr>
          <w:cantSplit/>
        </w:trPr>
        <w:tc>
          <w:tcPr>
            <w:tcMar>
              <w:top w:w="108" w:type="dxa"/>
              <w:bottom w:w="108" w:type="dxa"/>
            </w:tcMar>
          </w:tcPr>
          <w:p>
            <w:r>
              <w:br w:type="page"/>
            </w:r>
          </w:p>
          <w:bookmarkStart w:id="469" w:name="X2a0a2bea1b2d0c4fea50c3597cf9bbff5fb826e"/>
          <w:p>
            <w:pPr>
              <w:pStyle w:val="Heading1"/>
            </w:pPr>
            <w:r>
              <w:t xml:space="preserve">18. Copilot Instructions for UCD-SeRG Lab Manual</w:t>
            </w:r>
          </w:p>
          <w:p>
            <w:pPr>
              <w:pStyle w:val="FirstParagraph"/>
            </w:pPr>
            <w:r>
              <w:t xml:space="preserve">This file contains guidelines for GitHub Copilot and other AI assistants when working with the lab manual.</w:t>
            </w:r>
          </w:p>
          <w:bookmarkStart w:id="456" w:name="markdown-and-quarto-formatting-1"/>
          <w:p>
            <w:pPr>
              <w:pStyle w:val="Heading2"/>
            </w:pPr>
            <w:r>
              <w:t xml:space="preserve">18.1 Markdown and Quarto Formatting</w:t>
            </w:r>
          </w:p>
          <w:bookmarkStart w:id="451" w:name="talking-about-code"/>
          <w:p>
            <w:pPr>
              <w:pStyle w:val="Heading3"/>
            </w:pPr>
            <w:r>
              <w:t xml:space="preserve">18.1.1 Talking about code</w:t>
            </w:r>
          </w:p>
          <w:p>
            <w:pPr>
              <w:pStyle w:val="FirstParagraph"/>
            </w:pPr>
            <w:r>
              <w:t xml:space="preserve">When talking about code in prose sections,</w:t>
            </w:r>
            <w:r>
              <w:t xml:space="preserve"> </w:t>
            </w:r>
            <w:r>
              <w:t xml:space="preserve">use backticks to apply code formatting:</w:t>
            </w:r>
            <w:r>
              <w:t xml:space="preserve"> </w:t>
            </w:r>
            <w:r>
              <w:t xml:space="preserve">for example,</w:t>
            </w:r>
            <w:r>
              <w:t xml:space="preserve"> </w:t>
            </w:r>
            <w:r>
              <w:rPr>
                <w:rStyle w:val="VerbatimChar"/>
              </w:rPr>
              <w:t xml:space="preserve">dplyr::mutate()</w:t>
            </w:r>
          </w:p>
          <w:p>
            <w:pPr>
              <w:pStyle w:val="BodyText"/>
            </w:pPr>
            <w:r>
              <w:t xml:space="preserve">When talking about packages in prose,</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p>
          <w:p>
            <w:pPr>
              <w:pStyle w:val="BodyText"/>
            </w:pPr>
            <w:r>
              <w:t xml:space="preserve">Common package URLs:</w:t>
            </w:r>
          </w:p>
          <w:p>
            <w:pPr>
              <w:pStyle w:val="Compact"/>
              <w:numPr>
                <w:ilvl w:val="0"/>
                <w:numId w:val="1136"/>
              </w:numPr>
            </w:pPr>
            <w:hyperlink r:id="rId192">
              <w:r>
                <w:rPr>
                  <w:rStyle w:val="VerbatimChar"/>
                </w:rPr>
                <w:t xml:space="preserve">{dplyr}</w:t>
              </w:r>
            </w:hyperlink>
          </w:p>
          <w:p>
            <w:pPr>
              <w:pStyle w:val="Compact"/>
              <w:numPr>
                <w:ilvl w:val="0"/>
                <w:numId w:val="1136"/>
              </w:numPr>
            </w:pPr>
            <w:hyperlink r:id="rId440">
              <w:r>
                <w:rPr>
                  <w:rStyle w:val="VerbatimChar"/>
                </w:rPr>
                <w:t xml:space="preserve">{ggplot2}</w:t>
              </w:r>
            </w:hyperlink>
          </w:p>
          <w:p>
            <w:pPr>
              <w:pStyle w:val="Compact"/>
              <w:numPr>
                <w:ilvl w:val="0"/>
                <w:numId w:val="1136"/>
              </w:numPr>
            </w:pPr>
            <w:hyperlink r:id="rId441">
              <w:r>
                <w:rPr>
                  <w:rStyle w:val="VerbatimChar"/>
                </w:rPr>
                <w:t xml:space="preserve">{tidyr}</w:t>
              </w:r>
            </w:hyperlink>
          </w:p>
          <w:p>
            <w:pPr>
              <w:pStyle w:val="Compact"/>
              <w:numPr>
                <w:ilvl w:val="0"/>
                <w:numId w:val="1136"/>
              </w:numPr>
            </w:pPr>
            <w:hyperlink r:id="rId442">
              <w:r>
                <w:rPr>
                  <w:rStyle w:val="VerbatimChar"/>
                </w:rPr>
                <w:t xml:space="preserve">{readr}</w:t>
              </w:r>
            </w:hyperlink>
          </w:p>
          <w:p>
            <w:pPr>
              <w:pStyle w:val="Compact"/>
              <w:numPr>
                <w:ilvl w:val="0"/>
                <w:numId w:val="1136"/>
              </w:numPr>
            </w:pPr>
            <w:hyperlink r:id="rId443">
              <w:r>
                <w:rPr>
                  <w:rStyle w:val="VerbatimChar"/>
                </w:rPr>
                <w:t xml:space="preserve">{purrr}</w:t>
              </w:r>
            </w:hyperlink>
          </w:p>
          <w:p>
            <w:pPr>
              <w:pStyle w:val="Compact"/>
              <w:numPr>
                <w:ilvl w:val="0"/>
                <w:numId w:val="1136"/>
              </w:numPr>
            </w:pPr>
            <w:hyperlink r:id="rId444">
              <w:r>
                <w:rPr>
                  <w:rStyle w:val="VerbatimChar"/>
                </w:rPr>
                <w:t xml:space="preserve">{tibble}</w:t>
              </w:r>
            </w:hyperlink>
          </w:p>
          <w:p>
            <w:pPr>
              <w:pStyle w:val="Compact"/>
              <w:numPr>
                <w:ilvl w:val="0"/>
                <w:numId w:val="1136"/>
              </w:numPr>
            </w:pPr>
            <w:hyperlink r:id="rId445">
              <w:r>
                <w:rPr>
                  <w:rStyle w:val="VerbatimChar"/>
                </w:rPr>
                <w:t xml:space="preserve">{stringr}</w:t>
              </w:r>
            </w:hyperlink>
          </w:p>
          <w:p>
            <w:pPr>
              <w:pStyle w:val="Compact"/>
              <w:numPr>
                <w:ilvl w:val="0"/>
                <w:numId w:val="1136"/>
              </w:numPr>
            </w:pPr>
            <w:hyperlink r:id="rId446">
              <w:r>
                <w:rPr>
                  <w:rStyle w:val="VerbatimChar"/>
                </w:rPr>
                <w:t xml:space="preserve">{forcats}</w:t>
              </w:r>
            </w:hyperlink>
          </w:p>
          <w:p>
            <w:pPr>
              <w:pStyle w:val="Compact"/>
              <w:numPr>
                <w:ilvl w:val="0"/>
                <w:numId w:val="1136"/>
              </w:numPr>
            </w:pPr>
            <w:hyperlink r:id="rId206">
              <w:r>
                <w:rPr>
                  <w:rStyle w:val="VerbatimChar"/>
                </w:rPr>
                <w:t xml:space="preserve">{styler}</w:t>
              </w:r>
            </w:hyperlink>
          </w:p>
          <w:p>
            <w:pPr>
              <w:pStyle w:val="Compact"/>
              <w:numPr>
                <w:ilvl w:val="0"/>
                <w:numId w:val="1136"/>
              </w:numPr>
            </w:pPr>
            <w:hyperlink r:id="rId218">
              <w:r>
                <w:rPr>
                  <w:rStyle w:val="VerbatimChar"/>
                </w:rPr>
                <w:t xml:space="preserve">{lintr}</w:t>
              </w:r>
            </w:hyperlink>
          </w:p>
          <w:p>
            <w:pPr>
              <w:pStyle w:val="Compact"/>
              <w:numPr>
                <w:ilvl w:val="0"/>
                <w:numId w:val="1136"/>
              </w:numPr>
            </w:pPr>
            <w:hyperlink r:id="rId110">
              <w:r>
                <w:rPr>
                  <w:rStyle w:val="VerbatimChar"/>
                </w:rPr>
                <w:t xml:space="preserve">{roxygen2}</w:t>
              </w:r>
            </w:hyperlink>
          </w:p>
          <w:p>
            <w:pPr>
              <w:pStyle w:val="Compact"/>
              <w:numPr>
                <w:ilvl w:val="0"/>
                <w:numId w:val="1136"/>
              </w:numPr>
            </w:pPr>
            <w:hyperlink r:id="rId177">
              <w:r>
                <w:rPr>
                  <w:rStyle w:val="VerbatimChar"/>
                </w:rPr>
                <w:t xml:space="preserve">{testthat}</w:t>
              </w:r>
            </w:hyperlink>
          </w:p>
          <w:p>
            <w:pPr>
              <w:pStyle w:val="Compact"/>
              <w:numPr>
                <w:ilvl w:val="0"/>
                <w:numId w:val="1136"/>
              </w:numPr>
            </w:pPr>
            <w:hyperlink r:id="rId174">
              <w:r>
                <w:rPr>
                  <w:rStyle w:val="VerbatimChar"/>
                </w:rPr>
                <w:t xml:space="preserve">{usethis}</w:t>
              </w:r>
            </w:hyperlink>
          </w:p>
          <w:p>
            <w:pPr>
              <w:pStyle w:val="Compact"/>
              <w:numPr>
                <w:ilvl w:val="0"/>
                <w:numId w:val="1136"/>
              </w:numPr>
            </w:pPr>
            <w:hyperlink r:id="rId175">
              <w:r>
                <w:rPr>
                  <w:rStyle w:val="VerbatimChar"/>
                </w:rPr>
                <w:t xml:space="preserve">{devtools}</w:t>
              </w:r>
            </w:hyperlink>
          </w:p>
          <w:p>
            <w:pPr>
              <w:pStyle w:val="Compact"/>
              <w:numPr>
                <w:ilvl w:val="0"/>
                <w:numId w:val="1136"/>
              </w:numPr>
            </w:pPr>
            <w:hyperlink r:id="rId447">
              <w:r>
                <w:rPr>
                  <w:rStyle w:val="VerbatimChar"/>
                </w:rPr>
                <w:t xml:space="preserve">{renv}</w:t>
              </w:r>
            </w:hyperlink>
          </w:p>
          <w:p>
            <w:pPr>
              <w:pStyle w:val="Compact"/>
              <w:numPr>
                <w:ilvl w:val="0"/>
                <w:numId w:val="1136"/>
              </w:numPr>
            </w:pPr>
            <w:hyperlink r:id="rId448">
              <w:r>
                <w:rPr>
                  <w:rStyle w:val="VerbatimChar"/>
                </w:rPr>
                <w:t xml:space="preserve">{targets}</w:t>
              </w:r>
            </w:hyperlink>
          </w:p>
          <w:p>
            <w:pPr>
              <w:pStyle w:val="Compact"/>
              <w:numPr>
                <w:ilvl w:val="0"/>
                <w:numId w:val="1136"/>
              </w:numPr>
            </w:pPr>
            <w:hyperlink r:id="rId449">
              <w:r>
                <w:rPr>
                  <w:rStyle w:val="VerbatimChar"/>
                </w:rPr>
                <w:t xml:space="preserve">{data.table}</w:t>
              </w:r>
            </w:hyperlink>
          </w:p>
          <w:p>
            <w:pPr>
              <w:pStyle w:val="Compact"/>
              <w:numPr>
                <w:ilvl w:val="0"/>
                <w:numId w:val="1136"/>
              </w:numPr>
            </w:pPr>
            <w:hyperlink r:id="rId450">
              <w:r>
                <w:rPr>
                  <w:rStyle w:val="VerbatimChar"/>
                </w:rPr>
                <w:t xml:space="preserve">{assertthat}</w:t>
              </w:r>
            </w:hyperlink>
          </w:p>
          <w:bookmarkEnd w:id="451"/>
          <w:bookmarkStart w:id="452" w:name="blank-lines-before-lists"/>
          <w:p>
            <w:pPr>
              <w:pStyle w:val="Heading3"/>
            </w:pPr>
            <w:r>
              <w:t xml:space="preserve">18.1.2 Blank Lines Before Lists</w:t>
            </w:r>
          </w:p>
          <w:p>
            <w:pPr>
              <w:pStyle w:val="FirstParagraph"/>
            </w:pPr>
            <w:r>
              <w:rPr>
                <w:b/>
                <w:bCs/>
              </w:rPr>
              <w:t xml:space="preserve">ALWAYS include a blank line before bullet lists and numbered lists</w:t>
            </w:r>
            <w:r>
              <w:t xml:space="preserve"> </w:t>
            </w:r>
            <w:r>
              <w:t xml:space="preserve">in markdown and Quarto (.qmd) files.</w:t>
            </w:r>
          </w:p>
          <w:p>
            <w:pPr>
              <w:pStyle w:val="BodyText"/>
            </w:pPr>
            <w:r>
              <w:rPr>
                <w:b/>
                <w:bCs/>
              </w:rPr>
              <w:t xml:space="preserve">Correct:</w:t>
            </w:r>
          </w:p>
          <w:p>
            <w:pPr>
              <w:pStyle w:val="SourceCode"/>
            </w:pPr>
            <w:r>
              <w:rPr>
                <w:rStyle w:val="Annotation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rPr>
                <w:b/>
                <w:bCs/>
              </w:rPr>
              <w:t xml:space="preserve">Incorrect:</w:t>
            </w:r>
          </w:p>
          <w:p>
            <w:pPr>
              <w:pStyle w:val="SourceCode"/>
            </w:pPr>
            <w:r>
              <w:rPr>
                <w:rStyle w:val="AnnotationTok"/>
              </w:rPr>
              <w:t xml:space="preserve">Here are the key points: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p>
          <w:p>
            <w:pPr>
              <w:pStyle w:val="FirstParagraph"/>
            </w:pPr>
            <w:r>
              <w:t xml:space="preserve">This applies to:</w:t>
            </w:r>
          </w:p>
          <w:p>
            <w:pPr>
              <w:pStyle w:val="Compact"/>
              <w:numPr>
                <w:ilvl w:val="0"/>
                <w:numId w:val="1137"/>
              </w:numPr>
            </w:pPr>
            <w:r>
              <w:t xml:space="preserve">Bullet lists (starting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p>
            <w:pPr>
              <w:pStyle w:val="Compact"/>
              <w:numPr>
                <w:ilvl w:val="0"/>
                <w:numId w:val="1137"/>
              </w:numPr>
            </w:pPr>
            <w:r>
              <w:t xml:space="preserve">Numbered lists (starting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7"/>
              </w:numPr>
            </w:pPr>
            <w:r>
              <w:t xml:space="preserve">Lists in all .qmd files throughout the repository</w:t>
            </w:r>
          </w:p>
          <w:bookmarkEnd w:id="452"/>
          <w:bookmarkStart w:id="453" w:name="line-breaks-in-plain-text"/>
          <w:p>
            <w:pPr>
              <w:pStyle w:val="Heading3"/>
            </w:pPr>
            <w:r>
              <w:t xml:space="preserve">18.1.3 Line Breaks in Plain Text</w:t>
            </w:r>
          </w:p>
          <w:p>
            <w:pPr>
              <w:pStyle w:val="FirstParagraph"/>
            </w:pPr>
            <w:r>
              <w:rPr>
                <w:b/>
                <w:bCs/>
              </w:rPr>
              <w:t xml:space="preserve">ALWAYS line-break at the ends of sentences and long phrases in plain-text paragraphs in .qmd files</w:t>
            </w:r>
            <w:r>
              <w:t xml:space="preserve"> </w:t>
            </w:r>
            <w:r>
              <w:t xml:space="preserve">to avoid long lines.</w:t>
            </w:r>
          </w:p>
          <w:p>
            <w:pPr>
              <w:pStyle w:val="BodyText"/>
            </w:pPr>
            <w:r>
              <w:rPr>
                <w:b/>
                <w:bCs/>
              </w:rPr>
              <w:t xml:space="preserve">Correct:</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Benefits:</w:t>
            </w:r>
          </w:p>
          <w:p>
            <w:pPr>
              <w:pStyle w:val="Compact"/>
              <w:numPr>
                <w:ilvl w:val="0"/>
                <w:numId w:val="1138"/>
              </w:numPr>
            </w:pPr>
            <w:r>
              <w:t xml:space="preserve">Improves readability of source .qmd files</w:t>
            </w:r>
          </w:p>
          <w:p>
            <w:pPr>
              <w:pStyle w:val="Compact"/>
              <w:numPr>
                <w:ilvl w:val="0"/>
                <w:numId w:val="1138"/>
              </w:numPr>
            </w:pPr>
            <w:r>
              <w:t xml:space="preserve">Makes git diffs clearer and easier to review</w:t>
            </w:r>
          </w:p>
          <w:p>
            <w:pPr>
              <w:pStyle w:val="Compact"/>
              <w:numPr>
                <w:ilvl w:val="0"/>
                <w:numId w:val="1138"/>
              </w:numPr>
            </w:pPr>
            <w:r>
              <w:t xml:space="preserve">Helps identify specific changes in version control</w:t>
            </w:r>
          </w:p>
          <w:p>
            <w:pPr>
              <w:pStyle w:val="Compact"/>
              <w:numPr>
                <w:ilvl w:val="0"/>
                <w:numId w:val="1138"/>
              </w:numPr>
            </w:pPr>
            <w:r>
              <w:t xml:space="preserve">Prevents horizontal scrolling when editing</w:t>
            </w:r>
          </w:p>
          <w:p>
            <w:pPr>
              <w:pStyle w:val="Compact"/>
              <w:numPr>
                <w:ilvl w:val="0"/>
                <w:numId w:val="1138"/>
              </w:numPr>
            </w:pPr>
            <w:r>
              <w:t xml:space="preserve">Follows semantic line breaks best practice</w:t>
            </w:r>
          </w:p>
          <w:p>
            <w:pPr>
              <w:pStyle w:val="FirstParagraph"/>
            </w:pPr>
            <w:r>
              <w:rPr>
                <w:b/>
                <w:bCs/>
              </w:rPr>
              <w:t xml:space="preserve">Guidelines:</w:t>
            </w:r>
          </w:p>
          <w:p>
            <w:pPr>
              <w:pStyle w:val="Compact"/>
              <w:numPr>
                <w:ilvl w:val="0"/>
                <w:numId w:val="1139"/>
              </w:numPr>
            </w:pPr>
            <w:r>
              <w:t xml:space="preserve">Break after complete sentences (at periods)</w:t>
            </w:r>
          </w:p>
          <w:p>
            <w:pPr>
              <w:pStyle w:val="Compact"/>
              <w:numPr>
                <w:ilvl w:val="0"/>
                <w:numId w:val="1139"/>
              </w:numPr>
            </w:pPr>
            <w:r>
              <w:t xml:space="preserve">Break after long phrases or clauses (at commas or conjunctions)</w:t>
            </w:r>
          </w:p>
          <w:p>
            <w:pPr>
              <w:pStyle w:val="Compact"/>
              <w:numPr>
                <w:ilvl w:val="0"/>
                <w:numId w:val="1139"/>
              </w:numPr>
            </w:pPr>
            <w:r>
              <w:t xml:space="preserve">Break after approximately 60-80 characters when appropriate</w:t>
            </w:r>
          </w:p>
          <w:p>
            <w:pPr>
              <w:pStyle w:val="Compact"/>
              <w:numPr>
                <w:ilvl w:val="0"/>
                <w:numId w:val="1139"/>
              </w:numPr>
            </w:pPr>
            <w:r>
              <w:t xml:space="preserve">Keep related short phrases together on one line</w:t>
            </w:r>
          </w:p>
          <w:p>
            <w:pPr>
              <w:pStyle w:val="Compact"/>
              <w:numPr>
                <w:ilvl w:val="0"/>
                <w:numId w:val="1139"/>
              </w:numPr>
            </w:pPr>
            <w:r>
              <w:t xml:space="preserve">Don’t break in the middle of inline code, links, or formatting</w:t>
            </w:r>
          </w:p>
          <w:bookmarkEnd w:id="453"/>
          <w:bookmarkStart w:id="454" w:name="why-this-matters"/>
          <w:p>
            <w:pPr>
              <w:pStyle w:val="Heading3"/>
            </w:pPr>
            <w:r>
              <w:t xml:space="preserve">18.1.4 Why This Matters</w:t>
            </w:r>
          </w:p>
          <w:p>
            <w:pPr>
              <w:pStyle w:val="Compact"/>
              <w:numPr>
                <w:ilvl w:val="0"/>
                <w:numId w:val="1140"/>
              </w:numPr>
            </w:pPr>
            <w:r>
              <w:t xml:space="preserve">Ensures consistent markdown rendering across different platforms</w:t>
            </w:r>
          </w:p>
          <w:p>
            <w:pPr>
              <w:pStyle w:val="Compact"/>
              <w:numPr>
                <w:ilvl w:val="0"/>
                <w:numId w:val="1140"/>
              </w:numPr>
            </w:pPr>
            <w:r>
              <w:t xml:space="preserve">Improves readability in both source and rendered forms</w:t>
            </w:r>
          </w:p>
          <w:p>
            <w:pPr>
              <w:pStyle w:val="Compact"/>
              <w:numPr>
                <w:ilvl w:val="0"/>
                <w:numId w:val="1140"/>
              </w:numPr>
            </w:pPr>
            <w:r>
              <w:t xml:space="preserve">Prevents rendering issues in Quarto books</w:t>
            </w:r>
          </w:p>
          <w:p>
            <w:pPr>
              <w:pStyle w:val="Compact"/>
              <w:numPr>
                <w:ilvl w:val="0"/>
                <w:numId w:val="1140"/>
              </w:numPr>
            </w:pPr>
            <w:r>
              <w:t xml:space="preserve">Follows markdown best practices</w:t>
            </w:r>
          </w:p>
          <w:bookmarkEnd w:id="454"/>
          <w:bookmarkStart w:id="455" w:name="cross-references-for-figures-and-tables"/>
          <w:p>
            <w:pPr>
              <w:pStyle w:val="Heading3"/>
            </w:pPr>
            <w:r>
              <w:t xml:space="preserve">18.1.5 Cross-References for Figures and Tables</w:t>
            </w:r>
          </w:p>
          <w:p>
            <w:pPr>
              <w:pStyle w:val="FirstParagraph"/>
            </w:pPr>
            <w:r>
              <w:rPr>
                <w:b/>
                <w:bCs/>
              </w:rPr>
              <w:t xml:space="preserve">ALWAYS use Quarto’s cross-reference system for figures, tables, and other captioned content.</w:t>
            </w:r>
            <w:r>
              <w:t xml:space="preserve"> </w:t>
            </w:r>
            <w:r>
              <w:t xml:space="preserve">See</w:t>
            </w:r>
            <w:r>
              <w:t xml:space="preserve"> </w:t>
            </w:r>
            <w:hyperlink r:id="rId288">
              <w:r>
                <w:rPr>
                  <w:rStyle w:val="Hyperlink"/>
                </w:rPr>
                <w:t xml:space="preserve">Quarto Cross-References documentation</w:t>
              </w:r>
            </w:hyperlink>
            <w:r>
              <w:t xml:space="preserve"> </w:t>
            </w:r>
            <w:r>
              <w:t xml:space="preserve">for complete details.</w:t>
            </w:r>
          </w:p>
          <w:p>
            <w:pPr>
              <w:pStyle w:val="BodyText"/>
            </w:pPr>
            <w:r>
              <w:rPr>
                <w:b/>
                <w:bCs/>
              </w:rPr>
              <w:t xml:space="preserve">Required label prefixes:</w:t>
            </w:r>
          </w:p>
          <w:p>
            <w:pPr>
              <w:pStyle w:val="Compact"/>
              <w:numPr>
                <w:ilvl w:val="0"/>
                <w:numId w:val="114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#fig-data-masking</w:t>
            </w:r>
            <w:r>
              <w:t xml:space="preserve">,</w:t>
            </w:r>
            <w:r>
              <w:t xml:space="preserve"> </w:t>
            </w:r>
            <w:r>
              <w:rPr>
                <w:rStyle w:val="VerbatimChar"/>
              </w:rPr>
              <w:t xml:space="preserve">#fig-workflow-diagram</w:t>
            </w:r>
            <w:r>
              <w:t xml:space="preserve">)</w:t>
            </w:r>
          </w:p>
          <w:p>
            <w:pPr>
              <w:pStyle w:val="Compact"/>
              <w:numPr>
                <w:ilvl w:val="0"/>
                <w:numId w:val="114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#tbl-git-commands</w:t>
            </w:r>
            <w:r>
              <w:t xml:space="preserve">,</w:t>
            </w:r>
            <w:r>
              <w:t xml:space="preserve"> </w:t>
            </w:r>
            <w:r>
              <w:rPr>
                <w:rStyle w:val="VerbatimChar"/>
              </w:rPr>
              <w:t xml:space="preserve">#tbl-summary-stats</w:t>
            </w:r>
            <w:r>
              <w:t xml:space="preserve">)</w:t>
            </w:r>
          </w:p>
          <w:p>
            <w:pPr>
              <w:pStyle w:val="Compact"/>
              <w:numPr>
                <w:ilvl w:val="0"/>
                <w:numId w:val="114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 - already in use throughout manual</w:t>
            </w:r>
          </w:p>
          <w:p>
            <w:pPr>
              <w:pStyle w:val="Compact"/>
              <w:numPr>
                <w:ilvl w:val="0"/>
                <w:numId w:val="1141"/>
              </w:numPr>
            </w:pPr>
            <w:r>
              <w:t xml:space="preserve">Theorems:</w:t>
            </w:r>
            <w:r>
              <w:t xml:space="preserve"> </w:t>
            </w:r>
            <w:r>
              <w:rPr>
                <w:rStyle w:val="VerbatimChar"/>
              </w:rPr>
              <w:t xml:space="preserve">#thm-</w:t>
            </w:r>
            <w:r>
              <w:t xml:space="preserve"> </w:t>
            </w:r>
            <w:r>
              <w:t xml:space="preserve">(e.g.,</w:t>
            </w:r>
            <w:r>
              <w:t xml:space="preserve"> </w:t>
            </w:r>
            <w:r>
              <w:rPr>
                <w:rStyle w:val="VerbatimChar"/>
              </w:rPr>
              <w:t xml:space="preserve">#thm-central-limit</w:t>
            </w:r>
            <w:r>
              <w:t xml:space="preserve">)</w:t>
            </w:r>
          </w:p>
          <w:p>
            <w:pPr>
              <w:pStyle w:val="Compact"/>
              <w:numPr>
                <w:ilvl w:val="0"/>
                <w:numId w:val="1141"/>
              </w:numPr>
            </w:pPr>
            <w:r>
              <w:t xml:space="preserve">Lemmas:</w:t>
            </w:r>
            <w:r>
              <w:t xml:space="preserve"> </w:t>
            </w:r>
            <w:r>
              <w:rPr>
                <w:rStyle w:val="VerbatimChar"/>
              </w:rPr>
              <w:t xml:space="preserve">#lem-</w:t>
            </w:r>
            <w:r>
              <w:t xml:space="preserve"> </w:t>
            </w:r>
            <w:r>
              <w:t xml:space="preserve">(e.g.,</w:t>
            </w:r>
            <w:r>
              <w:t xml:space="preserve"> </w:t>
            </w:r>
            <w:r>
              <w:rPr>
                <w:rStyle w:val="VerbatimChar"/>
              </w:rPr>
              <w:t xml:space="preserve">#lem-auxiliary-result</w:t>
            </w:r>
            <w:r>
              <w:t xml:space="preserve">)</w:t>
            </w:r>
          </w:p>
          <w:p>
            <w:pPr>
              <w:pStyle w:val="Compact"/>
              <w:numPr>
                <w:ilvl w:val="0"/>
                <w:numId w:val="1141"/>
              </w:numPr>
            </w:pPr>
            <w:r>
              <w:t xml:space="preserve">Corollaries:</w:t>
            </w:r>
            <w:r>
              <w:t xml:space="preserve"> </w:t>
            </w:r>
            <w:r>
              <w:rPr>
                <w:rStyle w:val="VerbatimChar"/>
              </w:rPr>
              <w:t xml:space="preserve">#cor-</w:t>
            </w:r>
            <w:r>
              <w:t xml:space="preserve"> </w:t>
            </w:r>
            <w:r>
              <w:t xml:space="preserve">(e.g.,</w:t>
            </w:r>
            <w:r>
              <w:t xml:space="preserve"> </w:t>
            </w:r>
            <w:r>
              <w:rPr>
                <w:rStyle w:val="VerbatimChar"/>
              </w:rPr>
              <w:t xml:space="preserve">#cor-special-case</w:t>
            </w:r>
            <w:r>
              <w:t xml:space="preserve">)</w:t>
            </w:r>
          </w:p>
          <w:p>
            <w:pPr>
              <w:pStyle w:val="Compact"/>
              <w:numPr>
                <w:ilvl w:val="0"/>
                <w:numId w:val="1141"/>
              </w:numPr>
            </w:pPr>
            <w:r>
              <w:t xml:space="preserve">Propositions:</w:t>
            </w:r>
            <w:r>
              <w:t xml:space="preserve"> </w:t>
            </w:r>
            <w:r>
              <w:rPr>
                <w:rStyle w:val="VerbatimChar"/>
              </w:rPr>
              <w:t xml:space="preserve">#prp-</w:t>
            </w:r>
            <w:r>
              <w:t xml:space="preserve"> </w:t>
            </w:r>
            <w:r>
              <w:t xml:space="preserve">(e.g.,</w:t>
            </w:r>
            <w:r>
              <w:t xml:space="preserve"> </w:t>
            </w:r>
            <w:r>
              <w:rPr>
                <w:rStyle w:val="VerbatimChar"/>
              </w:rPr>
              <w:t xml:space="preserve">#prp-main-result</w:t>
            </w:r>
            <w:r>
              <w:t xml:space="preserve">)</w:t>
            </w:r>
          </w:p>
          <w:p>
            <w:pPr>
              <w:pStyle w:val="Compact"/>
              <w:numPr>
                <w:ilvl w:val="0"/>
                <w:numId w:val="1141"/>
              </w:numPr>
            </w:pPr>
            <w:r>
              <w:t xml:space="preserve">Examples:</w:t>
            </w:r>
            <w:r>
              <w:t xml:space="preserve"> </w:t>
            </w:r>
            <w:r>
              <w:rPr>
                <w:rStyle w:val="VerbatimChar"/>
              </w:rPr>
              <w:t xml:space="preserve">#exm-</w:t>
            </w:r>
            <w:r>
              <w:t xml:space="preserve"> </w:t>
            </w:r>
            <w:r>
              <w:t xml:space="preserve">(e.g.,</w:t>
            </w:r>
            <w:r>
              <w:t xml:space="preserve"> </w:t>
            </w:r>
            <w:r>
              <w:rPr>
                <w:rStyle w:val="VerbatimChar"/>
              </w:rPr>
              <w:t xml:space="preserve">#exm-simple-case</w:t>
            </w:r>
            <w:r>
              <w:t xml:space="preserve">)</w:t>
            </w:r>
          </w:p>
          <w:p>
            <w:pPr>
              <w:pStyle w:val="Compact"/>
              <w:numPr>
                <w:ilvl w:val="0"/>
                <w:numId w:val="1141"/>
              </w:numPr>
            </w:pPr>
            <w:r>
              <w:t xml:space="preserve">Exercises:</w:t>
            </w:r>
            <w:r>
              <w:t xml:space="preserve"> </w:t>
            </w:r>
            <w:r>
              <w:rPr>
                <w:rStyle w:val="VerbatimChar"/>
              </w:rPr>
              <w:t xml:space="preserve">#exr-</w:t>
            </w:r>
            <w:r>
              <w:t xml:space="preserve"> </w:t>
            </w:r>
            <w:r>
              <w:t xml:space="preserve">(e.g.,</w:t>
            </w:r>
            <w:r>
              <w:t xml:space="preserve"> </w:t>
            </w:r>
            <w:r>
              <w:rPr>
                <w:rStyle w:val="VerbatimChar"/>
              </w:rPr>
              <w:t xml:space="preserve">#exr-practice-problem</w:t>
            </w:r>
            <w:r>
              <w:t xml:space="preserve">)</w:t>
            </w:r>
          </w:p>
          <w:p>
            <w:pPr>
              <w:pStyle w:val="FirstParagraph"/>
            </w:pPr>
            <w:r>
              <w:rPr>
                <w:b/>
                <w:bCs/>
              </w:rPr>
              <w:t xml:space="preserve">For figures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p>
          <w:p>
            <w:pPr>
              <w:pStyle w:val="FirstParagraph"/>
            </w:pPr>
            <w:r>
              <w:rPr>
                <w:b/>
                <w:bCs/>
              </w:rPr>
              <w:t xml:space="preserve">Referencing in text:</w:t>
            </w:r>
          </w:p>
          <w:p>
            <w:pPr>
              <w:pStyle w:val="Compact"/>
              <w:numPr>
                <w:ilvl w:val="0"/>
                <w:numId w:val="114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3"/>
              </w:numPr>
            </w:pPr>
            <w:r>
              <w:t xml:space="preserve">Automatic numbering of figures, tables, and equations</w:t>
            </w:r>
          </w:p>
          <w:p>
            <w:pPr>
              <w:pStyle w:val="Compact"/>
              <w:numPr>
                <w:ilvl w:val="0"/>
                <w:numId w:val="1143"/>
              </w:numPr>
            </w:pPr>
            <w:r>
              <w:t xml:space="preserve">Automatic updates when content is reordered</w:t>
            </w:r>
          </w:p>
          <w:p>
            <w:pPr>
              <w:pStyle w:val="Compact"/>
              <w:numPr>
                <w:ilvl w:val="0"/>
                <w:numId w:val="1143"/>
              </w:numPr>
            </w:pPr>
            <w:r>
              <w:t xml:space="preserve">Clickable cross-references in HTML and PDF output</w:t>
            </w:r>
          </w:p>
          <w:p>
            <w:pPr>
              <w:pStyle w:val="Compact"/>
              <w:numPr>
                <w:ilvl w:val="0"/>
                <w:numId w:val="1143"/>
              </w:numPr>
            </w:pPr>
            <w:r>
              <w:t xml:space="preserve">Consistent formatting across all output formats</w:t>
            </w:r>
          </w:p>
          <w:p>
            <w:pPr>
              <w:pStyle w:val="Compact"/>
              <w:numPr>
                <w:ilvl w:val="0"/>
                <w:numId w:val="1143"/>
              </w:numPr>
            </w:pPr>
            <w:r>
              <w:t xml:space="preserve">Better accessibility for screen readers</w:t>
            </w:r>
          </w:p>
          <w:bookmarkEnd w:id="455"/>
          <w:bookmarkEnd w:id="456"/>
          <w:bookmarkStart w:id="457" w:name="r-code-style"/>
          <w:p>
            <w:pPr>
              <w:pStyle w:val="Heading2"/>
            </w:pPr>
            <w:r>
              <w:t xml:space="preserve">18.2 R Code Style</w:t>
            </w:r>
          </w:p>
          <w:p>
            <w:pPr>
              <w:pStyle w:val="Compact"/>
              <w:numPr>
                <w:ilvl w:val="0"/>
                <w:numId w:val="1144"/>
              </w:numPr>
            </w:pPr>
            <w:r>
              <w:t xml:space="preserve">Follow the tidyverse style guide: https://style.tidyverse.org</w:t>
            </w:r>
          </w:p>
          <w:p>
            <w:pPr>
              <w:pStyle w:val="Compact"/>
              <w:numPr>
                <w:ilvl w:val="0"/>
                <w:numId w:val="1144"/>
              </w:numPr>
            </w:pPr>
            <w:r>
              <w:t xml:space="preserve">Use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44"/>
              </w:numPr>
            </w:pPr>
            <w:r>
              <w:t xml:space="preserve">Use</w:t>
            </w:r>
            <w:r>
              <w:t xml:space="preserve"> </w:t>
            </w:r>
            <w:r>
              <w:rPr>
                <w:rStyle w:val="VerbatimChar"/>
              </w:rPr>
              <w:t xml:space="preserve">snake_case</w:t>
            </w:r>
            <w:r>
              <w:t xml:space="preserve"> </w:t>
            </w:r>
            <w:r>
              <w:t xml:space="preserve">for variable and function names</w:t>
            </w:r>
          </w:p>
          <w:p>
            <w:pPr>
              <w:pStyle w:val="Compact"/>
              <w:numPr>
                <w:ilvl w:val="0"/>
                <w:numId w:val="1144"/>
              </w:numPr>
            </w:pPr>
            <w:r>
              <w:t xml:space="preserve">Use</w:t>
            </w:r>
            <w:r>
              <w:t xml:space="preserve"> </w:t>
            </w:r>
            <w:r>
              <w:rPr>
                <w:rStyle w:val="VerbatimChar"/>
              </w:rPr>
              <w:t xml:space="preserve">.qmd</w:t>
            </w:r>
            <w:r>
              <w:t xml:space="preserve"> </w:t>
            </w:r>
            <w:r>
              <w:t xml:space="preserve">files exclusively (not</w:t>
            </w:r>
            <w:r>
              <w:t xml:space="preserve"> </w:t>
            </w:r>
            <w:r>
              <w:rPr>
                <w:rStyle w:val="VerbatimChar"/>
              </w:rPr>
              <w:t xml:space="preserve">.Rmd</w:t>
            </w:r>
            <w:r>
              <w:t xml:space="preserve">)</w:t>
            </w:r>
          </w:p>
          <w:p>
            <w:pPr>
              <w:pStyle w:val="Compact"/>
              <w:numPr>
                <w:ilvl w:val="0"/>
                <w:numId w:val="1144"/>
              </w:numPr>
            </w:pPr>
            <w:r>
              <w:t xml:space="preserve">All R projects should use R package structure</w:t>
            </w:r>
          </w:p>
          <w:bookmarkEnd w:id="457"/>
          <w:bookmarkStart w:id="466" w:name="file-organization"/>
          <w:p>
            <w:pPr>
              <w:pStyle w:val="Heading2"/>
            </w:pPr>
            <w:r>
              <w:t xml:space="preserve">18.3 File Organization</w:t>
            </w:r>
          </w:p>
          <w:bookmarkStart w:id="465" w:name="Xdf52e4adf7289fe2a1248ec509e40d9e4ca6068"/>
          <w:p>
            <w:pPr>
              <w:pStyle w:val="Heading3"/>
            </w:pPr>
            <w:r>
              <w:t xml:space="preserve">18.3.1 Using Quarto Includes for Modular Content</w:t>
            </w:r>
          </w:p>
          <w:p>
            <w:pPr>
              <w:pStyle w:val="FirstParagraph"/>
            </w:pPr>
            <w:r>
              <w:rPr>
                <w:b/>
                <w:bCs/>
              </w:rPr>
              <w:t xml:space="preserve">All chapters should use Quarto includes to decompose content into separate files.</w:t>
            </w:r>
            <w:r>
              <w:t xml:space="preserve"> </w:t>
            </w:r>
            <w:r>
              <w:t xml:space="preserve">This modular approach provides significant benefits for version control, collaboration, and content management.</w:t>
            </w:r>
          </w:p>
          <w:bookmarkStart w:id="458" w:name="why-use-includes"/>
          <w:p>
            <w:pPr>
              <w:pStyle w:val="Heading4"/>
            </w:pPr>
            <w:r>
              <w:t xml:space="preserve">18.3.1.1 Why Use Includes?</w:t>
            </w:r>
          </w:p>
          <w:p>
            <w:pPr>
              <w:numPr>
                <w:ilvl w:val="0"/>
                <w:numId w:val="1145"/>
              </w:numPr>
            </w:pPr>
            <w:r>
              <w:rPr>
                <w:b/>
                <w:bCs/>
              </w:rPr>
              <w:t xml:space="preserve">Better Git History</w:t>
            </w:r>
            <w:r>
              <w:t xml:space="preserve">: When sections are reordered, only the main chapter file changes (moving include statements), making it immediately clear that content was reorganized rather than edited. When content is edited, only the specific include file changes. This makes reviews focused and precise.</w:t>
            </w:r>
          </w:p>
          <w:p>
            <w:pPr>
              <w:numPr>
                <w:ilvl w:val="0"/>
                <w:numId w:val="1145"/>
              </w:numPr>
            </w:pPr>
            <w:r>
              <w:rPr>
                <w:b/>
                <w:bCs/>
              </w:rPr>
              <w:t xml:space="preserve">Easier Code Review</w:t>
            </w:r>
            <w:r>
              <w:t xml:space="preserve">: Reviewers can see exactly what changed—either the organization (main file) or the content (include file)—without having to parse through large diffs.</w:t>
            </w:r>
          </w:p>
          <w:p>
            <w:pPr>
              <w:numPr>
                <w:ilvl w:val="0"/>
                <w:numId w:val="1145"/>
              </w:numPr>
            </w:pPr>
            <w:r>
              <w:rPr>
                <w:b/>
                <w:bCs/>
              </w:rPr>
              <w:t xml:space="preserve">Modular Maintenance</w:t>
            </w:r>
            <w:r>
              <w:t xml:space="preserve">: Each section lives in its own file, making it easier to:</w:t>
            </w:r>
          </w:p>
          <w:p>
            <w:pPr>
              <w:pStyle w:val="Compact"/>
              <w:numPr>
                <w:ilvl w:val="1"/>
                <w:numId w:val="1146"/>
              </w:numPr>
            </w:pPr>
            <w:r>
              <w:t xml:space="preserve">Find and edit specific content</w:t>
            </w:r>
          </w:p>
          <w:p>
            <w:pPr>
              <w:pStyle w:val="Compact"/>
              <w:numPr>
                <w:ilvl w:val="1"/>
                <w:numId w:val="1146"/>
              </w:numPr>
            </w:pPr>
            <w:r>
              <w:t xml:space="preserve">Reuse sections across chapters if needed</w:t>
            </w:r>
          </w:p>
          <w:p>
            <w:pPr>
              <w:pStyle w:val="Compact"/>
              <w:numPr>
                <w:ilvl w:val="1"/>
                <w:numId w:val="1146"/>
              </w:numPr>
            </w:pPr>
            <w:r>
              <w:t xml:space="preserve">Work on different sections simultaneously without merge conflicts</w:t>
            </w:r>
          </w:p>
          <w:p>
            <w:pPr>
              <w:pStyle w:val="Compact"/>
              <w:numPr>
                <w:ilvl w:val="1"/>
                <w:numId w:val="1146"/>
              </w:numPr>
            </w:pPr>
            <w:r>
              <w:t xml:space="preserve">Test and preview individual sections</w:t>
            </w:r>
          </w:p>
          <w:p>
            <w:pPr>
              <w:numPr>
                <w:ilvl w:val="0"/>
                <w:numId w:val="1145"/>
              </w:numPr>
            </w:pPr>
            <w:r>
              <w:rPr>
                <w:b/>
                <w:bCs/>
              </w:rPr>
              <w:t xml:space="preserve">Clear Structure</w:t>
            </w:r>
            <w:r>
              <w:t xml:space="preserve">: The main chapter file becomes a table of contents showing the organization at a glance.</w:t>
            </w:r>
          </w:p>
          <w:bookmarkEnd w:id="458"/>
          <w:bookmarkStart w:id="459" w:name="structure-pattern"/>
          <w:p>
            <w:pPr>
              <w:pStyle w:val="Heading4"/>
            </w:pPr>
            <w:r>
              <w:t xml:space="preserve">18.3.1.2 Structure Pattern</w:t>
            </w:r>
          </w:p>
          <w:p>
            <w:pPr>
              <w:pStyle w:val="FirstParagraph"/>
            </w:pPr>
            <w:r>
              <w:rPr>
                <w:b/>
                <w:bCs/>
              </w:rPr>
              <w:t xml:space="preserve">Main chapter file</w:t>
            </w:r>
            <w:r>
              <w:t xml:space="preserve"> </w:t>
            </w:r>
            <w:r>
              <w:t xml:space="preserve">(e.g.,</w:t>
            </w:r>
            <w:r>
              <w:t xml:space="preserve"> </w:t>
            </w:r>
            <w:r>
              <w:rPr>
                <w:rStyle w:val="VerbatimChar"/>
              </w:rPr>
              <w:t xml:space="preserve">05-coding-practices.qmd</w:t>
            </w:r>
            <w:r>
              <w:t xml:space="preserve">):</w:t>
            </w:r>
          </w:p>
          <w:p>
            <w:pPr>
              <w:pStyle w:val="Compact"/>
              <w:numPr>
                <w:ilvl w:val="0"/>
                <w:numId w:val="1147"/>
              </w:numPr>
            </w:pPr>
            <w:r>
              <w:t xml:space="preserve">Contains the chapter title and introduction</w:t>
            </w:r>
          </w:p>
          <w:p>
            <w:pPr>
              <w:pStyle w:val="Compact"/>
              <w:numPr>
                <w:ilvl w:val="0"/>
                <w:numId w:val="1147"/>
              </w:numPr>
            </w:pPr>
            <w:r>
              <w:t xml:space="preserve">Contains section headings (##, ###, etc.)</w:t>
            </w:r>
          </w:p>
          <w:p>
            <w:pPr>
              <w:pStyle w:val="Compact"/>
              <w:numPr>
                <w:ilvl w:val="0"/>
                <w:numId w:val="1147"/>
              </w:numPr>
            </w:pPr>
            <w:r>
              <w:t xml:space="preserve">Uses the</w:t>
            </w:r>
            <w:r>
              <w:t xml:space="preserve"> </w:t>
            </w:r>
            <w:r>
              <w:rPr>
                <w:rStyle w:val="VerbatimChar"/>
              </w:rPr>
              <w:t xml:space="preserve">include</w:t>
            </w:r>
            <w:r>
              <w:t xml:space="preserve"> </w:t>
            </w:r>
            <w:r>
              <w:t xml:space="preserve">shortcode to pull in content</w:t>
            </w:r>
            <w:r>
              <w:t xml:space="preserve"> </w:t>
            </w:r>
            <w:r>
              <w:t xml:space="preserve">(see</w:t>
            </w:r>
            <w:r>
              <w:t xml:space="preserve"> </w:t>
            </w:r>
            <w:hyperlink r:id="rId290">
              <w:r>
                <w:rPr>
                  <w:rStyle w:val="Hyperlink"/>
                </w:rPr>
                <w:t xml:space="preserve">https://quarto.org/docs/authoring/includes.html</w:t>
              </w:r>
            </w:hyperlink>
            <w:r>
              <w:t xml:space="preserve"> </w:t>
            </w:r>
            <w:r>
              <w:t xml:space="preserve">for details)</w:t>
            </w:r>
          </w:p>
          <w:p>
            <w:pPr>
              <w:pStyle w:val="Compact"/>
              <w:numPr>
                <w:ilvl w:val="0"/>
                <w:numId w:val="1147"/>
              </w:numPr>
            </w:pPr>
            <w:r>
              <w:t xml:space="preserve">Shows the organization/outline of the chapter</w:t>
            </w:r>
          </w:p>
          <w:p>
            <w:pPr>
              <w:pStyle w:val="FirstParagraph"/>
            </w:pPr>
            <w:r>
              <w:rPr>
                <w:b/>
                <w:bCs/>
              </w:rPr>
              <w:t xml:space="preserve">Include files</w:t>
            </w:r>
            <w:r>
              <w:t xml:space="preserve"> </w:t>
            </w:r>
            <w:r>
              <w:t xml:space="preserve">(e.g.,</w:t>
            </w:r>
            <w:r>
              <w:t xml:space="preserve"> </w:t>
            </w:r>
            <w:r>
              <w:rPr>
                <w:rStyle w:val="VerbatimChar"/>
              </w:rPr>
              <w:t xml:space="preserve">05-coding-practices/lab-protocols-for-code-and-data.qmd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bookmarkEnd w:id="459"/>
          <w:bookmarkStart w:id="460" w:name="required-pattern"/>
          <w:p>
            <w:pPr>
              <w:pStyle w:val="Heading4"/>
            </w:pPr>
            <w:r>
              <w:t xml:space="preserve">18.3.1.3 Required Pattern</w:t>
            </w:r>
          </w:p>
          <w:p>
            <w:pPr>
              <w:pStyle w:val="FirstParagraph"/>
            </w:pPr>
            <w:r>
              <w:rPr>
                <w:b/>
                <w:bCs/>
              </w:rPr>
              <w:t xml:space="preserve">Always follow this pattern:</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Correct example:</w:t>
            </w:r>
          </w:p>
          <w:p>
            <w:pPr>
              <w:pStyle w:val="SourceCode"/>
            </w:pPr>
            <w:r>
              <w:rPr>
                <w:rStyle w:val="FunctionTok"/>
              </w:rPr>
              <w:t xml:space="preserve">## Section heading</w:t>
            </w:r>
            <w:r>
              <w:br/>
            </w:r>
            <w:r>
              <w:br/>
            </w:r>
            <w:r>
              <w:rPr>
                <w:rStyle w:val="NormalTok"/>
              </w:rPr>
              <w:t xml:space="preserve">{{ &lt; include folder/section-name.qmd &gt; }}</w:t>
            </w:r>
            <w:r>
              <w:br/>
            </w:r>
          </w:p>
          <w:p>
            <w:pPr>
              <w:pStyle w:val="FirstParagraph"/>
            </w:pPr>
            <w:r>
              <w:rPr>
                <w:b/>
                <w:bCs/>
              </w:rPr>
              <w:t xml:space="preserve">Incorrect (don’t do this):</w:t>
            </w:r>
          </w:p>
          <w:p>
            <w:pPr>
              <w:pStyle w:val="SourceCode"/>
            </w:pPr>
            <w:r>
              <w:rPr>
                <w:rStyle w:val="NormalTok"/>
              </w:rPr>
              <w:t xml:space="preserve">{{ &lt; include folder/section-name.qmd &gt; }}</w:t>
            </w:r>
            <w:r>
              <w:br/>
            </w:r>
          </w:p>
          <w:p>
            <w:pPr>
              <w:pStyle w:val="FirstParagraph"/>
            </w:pPr>
            <w:r>
              <w:t xml:space="preserve">The heading must be in the main file, followed by a blank line, then the include statement.</w:t>
            </w:r>
          </w:p>
          <w:bookmarkEnd w:id="460"/>
          <w:bookmarkStart w:id="461" w:name="file-naming-conventions"/>
          <w:p>
            <w:pPr>
              <w:pStyle w:val="Heading4"/>
            </w:pPr>
            <w:r>
              <w:t xml:space="preserve">18.3.1.4 File Naming Conventions</w:t>
            </w:r>
          </w:p>
          <w:p>
            <w:pPr>
              <w:pStyle w:val="Compact"/>
              <w:numPr>
                <w:ilvl w:val="0"/>
                <w:numId w:val="1149"/>
              </w:numPr>
            </w:pPr>
            <w:r>
              <w:t xml:space="preserve">Main chapter files:</w:t>
            </w:r>
            <w:r>
              <w:t xml:space="preserve"> </w:t>
            </w:r>
            <w:r>
              <w:rPr>
                <w:rStyle w:val="VerbatimChar"/>
              </w:rPr>
              <w:t xml:space="preserve">##-chapter-name.qmd</w:t>
            </w:r>
            <w:r>
              <w:t xml:space="preserve"> </w:t>
            </w:r>
            <w:r>
              <w:t xml:space="preserve">(e.g.,</w:t>
            </w:r>
            <w:r>
              <w:t xml:space="preserve"> </w:t>
            </w:r>
            <w:r>
              <w:rPr>
                <w:rStyle w:val="VerbatimChar"/>
              </w:rPr>
              <w:t xml:space="preserve">05-coding-practices.qmd</w:t>
            </w:r>
            <w:r>
              <w:t xml:space="preserve">)</w:t>
            </w:r>
          </w:p>
          <w:p>
            <w:pPr>
              <w:pStyle w:val="Compact"/>
              <w:numPr>
                <w:ilvl w:val="0"/>
                <w:numId w:val="1149"/>
              </w:numPr>
            </w:pPr>
            <w:r>
              <w:t xml:space="preserve">Subdirectory:</w:t>
            </w:r>
            <w:r>
              <w:t xml:space="preserve"> </w:t>
            </w:r>
            <w:r>
              <w:rPr>
                <w:rStyle w:val="VerbatimChar"/>
              </w:rPr>
              <w:t xml:space="preserve">##-chapter-name/</w:t>
            </w:r>
            <w:r>
              <w:t xml:space="preserve"> </w:t>
            </w:r>
            <w:r>
              <w:t xml:space="preserve">(matches the main file name)</w:t>
            </w:r>
          </w:p>
          <w:p>
            <w:pPr>
              <w:pStyle w:val="Compact"/>
              <w:numPr>
                <w:ilvl w:val="0"/>
                <w:numId w:val="1149"/>
              </w:numPr>
            </w:pPr>
            <w:r>
              <w:t xml:space="preserve">Include files:</w:t>
            </w:r>
            <w:r>
              <w:t xml:space="preserve"> </w:t>
            </w:r>
            <w:r>
              <w:rPr>
                <w:rStyle w:val="VerbatimChar"/>
              </w:rPr>
              <w:t xml:space="preserve">descriptive-section-name.qmd</w:t>
            </w:r>
            <w:r>
              <w:t xml:space="preserve"> </w:t>
            </w:r>
            <w:r>
              <w:t xml:space="preserve">using kebab-case</w:t>
            </w:r>
          </w:p>
          <w:p>
            <w:pPr>
              <w:pStyle w:val="Compact"/>
              <w:numPr>
                <w:ilvl w:val="0"/>
                <w:numId w:val="1149"/>
              </w:numPr>
            </w:pPr>
            <w:r>
              <w:t xml:space="preserve">Use descriptive names that clearly indicate the content</w:t>
            </w:r>
          </w:p>
          <w:p>
            <w:pPr>
              <w:pStyle w:val="Compact"/>
              <w:numPr>
                <w:ilvl w:val="0"/>
                <w:numId w:val="1149"/>
              </w:numPr>
            </w:pPr>
            <w:r>
              <w:t xml:space="preserve">Prefix with underscore</w:t>
            </w:r>
            <w:r>
              <w:t xml:space="preserve"> </w:t>
            </w:r>
            <w:r>
              <w:rPr>
                <w:rStyle w:val="VerbatimChar"/>
              </w:rPr>
              <w:t xml:space="preserve">_</w:t>
            </w:r>
            <w:r>
              <w:t xml:space="preserve"> </w:t>
            </w:r>
            <w:r>
              <w:t xml:space="preserve">for partial/helper files not directly included (e.g.,</w:t>
            </w:r>
            <w:r>
              <w:t xml:space="preserve"> </w:t>
            </w:r>
            <w:r>
              <w:rPr>
                <w:rStyle w:val="VerbatimChar"/>
              </w:rPr>
              <w:t xml:space="preserve">_lintr-summary.qmd</w:t>
            </w:r>
            <w:r>
              <w:t xml:space="preserve">)</w:t>
            </w:r>
          </w:p>
          <w:bookmarkEnd w:id="461"/>
          <w:bookmarkStart w:id="462" w:name="git-history-benefits-example"/>
          <w:p>
            <w:pPr>
              <w:pStyle w:val="Heading4"/>
            </w:pPr>
            <w:r>
              <w:t xml:space="preserve">18.3.1.5 Git History Benefits Example</w:t>
            </w:r>
          </w:p>
          <w:p>
            <w:pPr>
              <w:pStyle w:val="FirstParagraph"/>
            </w:pPr>
            <w:r>
              <w:rPr>
                <w:b/>
                <w:bCs/>
              </w:rPr>
              <w:t xml:space="preserve">When reordering sections:</w:t>
            </w:r>
          </w:p>
          <w:p>
            <w:pPr>
              <w:pStyle w:val="SourceCode"/>
            </w:pPr>
            <w:r>
              <w:rPr>
                <w:rStyle w:val="StringTok"/>
              </w:rPr>
              <w:t xml:space="preserve">-## Object naming</w:t>
            </w:r>
            <w:r>
              <w:br/>
            </w:r>
            <w:r>
              <w:rPr>
                <w:rStyle w:val="VariableTok"/>
              </w:rPr>
              <w:t xml:space="preserve">+## Function calls</w:t>
            </w:r>
            <w:r>
              <w:br/>
            </w:r>
            <w:r>
              <w:rPr>
                <w:rStyle w:val="NormalTok"/>
              </w:rPr>
              <w:t xml:space="preserve"> </w:t>
            </w:r>
            <w:r>
              <w:br/>
            </w:r>
            <w:r>
              <w:rPr>
                <w:rStyle w:val="StringTok"/>
              </w:rPr>
              <w:t xml:space="preserve">-{{&lt; include demo-folder/section-name.qmd &gt;}}</w:t>
            </w:r>
            <w:r>
              <w:br/>
            </w:r>
            <w:r>
              <w:rPr>
                <w:rStyle w:val="VariableTok"/>
              </w:rPr>
              <w:t xml:space="preserve">+{{&lt; include demo-folder/section-2.qmd &gt;}}</w:t>
            </w:r>
            <w:r>
              <w:br/>
            </w:r>
            <w:r>
              <w:rPr>
                <w:rStyle w:val="NormalTok"/>
              </w:rPr>
              <w:t xml:space="preserve"> </w:t>
            </w:r>
            <w:r>
              <w:br/>
            </w:r>
            <w:r>
              <w:rPr>
                <w:rStyle w:val="StringTok"/>
              </w:rPr>
              <w:t xml:space="preserve">-## Function calls</w:t>
            </w:r>
            <w:r>
              <w:br/>
            </w:r>
            <w:r>
              <w:rPr>
                <w:rStyle w:val="VariableTok"/>
              </w:rPr>
              <w:t xml:space="preserve">+## Object naming</w:t>
            </w:r>
            <w:r>
              <w:br/>
            </w:r>
            <w:r>
              <w:rPr>
                <w:rStyle w:val="NormalTok"/>
              </w:rPr>
              <w:t xml:space="preserve"> </w:t>
            </w:r>
            <w:r>
              <w:br/>
            </w:r>
            <w:r>
              <w:rPr>
                <w:rStyle w:val="StringTok"/>
              </w:rPr>
              <w:t xml:space="preserve">-{{&lt; include demo-folder/section-2.qmd &gt;}}</w:t>
            </w:r>
            <w:r>
              <w:br/>
            </w:r>
            <w:r>
              <w:rPr>
                <w:rStyle w:val="VariableTok"/>
              </w:rPr>
              <w:t xml:space="preserve">+{{&lt; include demo-folder/section-name.qmd &gt;}}</w:t>
            </w:r>
          </w:p>
          <w:p>
            <w:pPr>
              <w:pStyle w:val="FirstParagraph"/>
            </w:pPr>
            <w:r>
              <w:t xml:space="preserve">This diff clearly shows a reordering (swapping two sections) with no content changes—only the main chapter file changes.</w:t>
            </w:r>
          </w:p>
          <w:p>
            <w:pPr>
              <w:pStyle w:val="BodyText"/>
            </w:pPr>
            <w:r>
              <w:rPr>
                <w:b/>
                <w:bCs/>
              </w:rPr>
              <w:t xml:space="preserve">When editing content:</w:t>
            </w:r>
            <w:r>
              <w:t xml:space="preserve"> </w:t>
            </w:r>
            <w:r>
              <w:t xml:space="preserve">Only the specific include file (e.g.,</w:t>
            </w:r>
            <w:r>
              <w:t xml:space="preserve"> </w:t>
            </w:r>
            <w:r>
              <w:rPr>
                <w:rStyle w:val="VerbatimChar"/>
              </w:rPr>
              <w:t xml:space="preserve">05-coding-practices/function-calls.qmd</w:t>
            </w:r>
            <w:r>
              <w:t xml:space="preserve">) appears in the git diff, making it easy to review the actual content changes without distraction.</w:t>
            </w:r>
          </w:p>
          <w:bookmarkEnd w:id="462"/>
          <w:bookmarkStart w:id="463" w:name="when-to-create-a-new-include-file"/>
          <w:p>
            <w:pPr>
              <w:pStyle w:val="Heading4"/>
            </w:pPr>
            <w:r>
              <w:t xml:space="preserve">18.3.1.6 When to Create a New Include File</w:t>
            </w:r>
          </w:p>
          <w:p>
            <w:pPr>
              <w:pStyle w:val="FirstParagraph"/>
            </w:pPr>
            <w:r>
              <w:t xml:space="preserve">Create a new include file when:</w:t>
            </w:r>
          </w:p>
          <w:p>
            <w:pPr>
              <w:pStyle w:val="Compact"/>
              <w:numPr>
                <w:ilvl w:val="0"/>
                <w:numId w:val="1150"/>
              </w:numPr>
            </w:pPr>
            <w:r>
              <w:t xml:space="preserve">Adding a new section to a chapter</w:t>
            </w:r>
          </w:p>
          <w:p>
            <w:pPr>
              <w:pStyle w:val="Compact"/>
              <w:numPr>
                <w:ilvl w:val="0"/>
                <w:numId w:val="1150"/>
              </w:numPr>
            </w:pPr>
            <w:r>
              <w:t xml:space="preserve">A section becomes long enough to benefit from being in its own file (&gt;20-30 lines)</w:t>
            </w:r>
          </w:p>
          <w:p>
            <w:pPr>
              <w:pStyle w:val="Compact"/>
              <w:numPr>
                <w:ilvl w:val="0"/>
                <w:numId w:val="1150"/>
              </w:numPr>
            </w:pPr>
            <w:r>
              <w:t xml:space="preserve">Content might be reused elsewhere</w:t>
            </w:r>
          </w:p>
          <w:p>
            <w:pPr>
              <w:pStyle w:val="Compact"/>
              <w:numPr>
                <w:ilvl w:val="0"/>
                <w:numId w:val="1150"/>
              </w:numPr>
            </w:pPr>
            <w:r>
              <w:t xml:space="preserve">You want to work on a section independently</w:t>
            </w:r>
          </w:p>
          <w:bookmarkEnd w:id="463"/>
          <w:bookmarkStart w:id="464" w:name="migration-strategy"/>
          <w:p>
            <w:pPr>
              <w:pStyle w:val="Heading4"/>
            </w:pPr>
            <w:r>
              <w:t xml:space="preserve">18.3.1.7 Migration Strategy</w:t>
            </w:r>
          </w:p>
          <w:p>
            <w:pPr>
              <w:pStyle w:val="FirstParagraph"/>
            </w:pPr>
            <w:r>
              <w:t xml:space="preserve">When working with chapters that don’t yet use includes:</w:t>
            </w:r>
          </w:p>
          <w:p>
            <w:pPr>
              <w:pStyle w:val="Compact"/>
              <w:numPr>
                <w:ilvl w:val="0"/>
                <w:numId w:val="1151"/>
              </w:numPr>
            </w:pPr>
            <w:r>
              <w:t xml:space="preserve">Create a subdirectory matching the chapter name</w:t>
            </w:r>
          </w:p>
          <w:p>
            <w:pPr>
              <w:pStyle w:val="Compact"/>
              <w:numPr>
                <w:ilvl w:val="0"/>
                <w:numId w:val="1151"/>
              </w:numPr>
            </w:pPr>
            <w:r>
              <w:t xml:space="preserve">Extract each section into its own include file</w:t>
            </w:r>
          </w:p>
          <w:p>
            <w:pPr>
              <w:pStyle w:val="Compact"/>
              <w:numPr>
                <w:ilvl w:val="0"/>
                <w:numId w:val="1151"/>
              </w:numPr>
            </w:pPr>
            <w:r>
              <w:t xml:space="preserve">Update the main chapter file to use includes</w:t>
            </w:r>
          </w:p>
          <w:p>
            <w:pPr>
              <w:pStyle w:val="Compact"/>
              <w:numPr>
                <w:ilvl w:val="0"/>
                <w:numId w:val="1151"/>
              </w:numPr>
            </w:pPr>
            <w:r>
              <w:t xml:space="preserve">Keep headings in the main file</w:t>
            </w:r>
          </w:p>
          <w:p>
            <w:pPr>
              <w:pStyle w:val="Compact"/>
              <w:numPr>
                <w:ilvl w:val="0"/>
                <w:numId w:val="1151"/>
              </w:numPr>
            </w:pPr>
            <w:r>
              <w:t xml:space="preserve">Ensure blank lines before include statements</w:t>
            </w:r>
          </w:p>
          <w:p>
            <w:pPr>
              <w:pStyle w:val="Compact"/>
              <w:numPr>
                <w:ilvl w:val="0"/>
                <w:numId w:val="1151"/>
              </w:numPr>
            </w:pPr>
            <w:r>
              <w:t xml:space="preserve">Test that rendering still works correctly</w:t>
            </w:r>
          </w:p>
          <w:bookmarkEnd w:id="464"/>
          <w:bookmarkEnd w:id="465"/>
          <w:bookmarkEnd w:id="466"/>
          <w:bookmarkStart w:id="467" w:name="working-with-docx-files"/>
          <w:p>
            <w:pPr>
              <w:pStyle w:val="Heading2"/>
            </w:pPr>
            <w:r>
              <w:t xml:space="preserve">18.4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52"/>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52"/>
              </w:numPr>
            </w:pPr>
            <w:r>
              <w:rPr>
                <w:b/>
                <w:bCs/>
              </w:rPr>
              <w:t xml:space="preserve">Review comments</w:t>
            </w:r>
            <w:r>
              <w:t xml:space="preserve">: Look for and address any comments in the DOCX file that may provide context or instructions for edits</w:t>
            </w:r>
          </w:p>
          <w:p>
            <w:pPr>
              <w:pStyle w:val="Compact"/>
              <w:numPr>
                <w:ilvl w:val="0"/>
                <w:numId w:val="1152"/>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52"/>
              </w:numPr>
            </w:pPr>
            <w:r>
              <w:rPr>
                <w:b/>
                <w:bCs/>
              </w:rPr>
              <w:t xml:space="preserve">Preserve formatting</w:t>
            </w:r>
            <w:r>
              <w:t xml:space="preserve">: Ensure that formatting, citations, and cross-references are properly converted to Quarto/markdown syntax</w:t>
            </w:r>
          </w:p>
          <w:p>
            <w:pPr>
              <w:pStyle w:val="Compact"/>
              <w:numPr>
                <w:ilvl w:val="0"/>
                <w:numId w:val="1152"/>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67"/>
          <w:bookmarkStart w:id="468" w:name="additional-guidelines"/>
          <w:p>
            <w:pPr>
              <w:pStyle w:val="Heading2"/>
            </w:pPr>
            <w:r>
              <w:t xml:space="preserve">18.5 Additional Guidelines</w:t>
            </w:r>
          </w:p>
          <w:p>
            <w:pPr>
              <w:pStyle w:val="Compact"/>
              <w:numPr>
                <w:ilvl w:val="0"/>
                <w:numId w:val="1153"/>
              </w:numPr>
            </w:pPr>
            <w:r>
              <w:t xml:space="preserve">Maintain consistency with existing code style</w:t>
            </w:r>
          </w:p>
          <w:p>
            <w:pPr>
              <w:pStyle w:val="Compact"/>
              <w:numPr>
                <w:ilvl w:val="0"/>
                <w:numId w:val="1153"/>
              </w:numPr>
            </w:pPr>
            <w:r>
              <w:t xml:space="preserve">Preserve all existing content when refactoring</w:t>
            </w:r>
          </w:p>
          <w:p>
            <w:pPr>
              <w:pStyle w:val="Compact"/>
              <w:numPr>
                <w:ilvl w:val="0"/>
                <w:numId w:val="1153"/>
              </w:numPr>
            </w:pPr>
            <w:r>
              <w:t xml:space="preserve">Add blank lines before all lists</w:t>
            </w:r>
          </w:p>
          <w:p>
            <w:pPr>
              <w:pStyle w:val="Compact"/>
              <w:numPr>
                <w:ilvl w:val="0"/>
                <w:numId w:val="1153"/>
              </w:numPr>
            </w:pPr>
            <w:r>
              <w:t xml:space="preserve">Follow the lab’s R package development workflow (as described throughout this repo)</w:t>
            </w:r>
          </w:p>
          <w:p/>
        </w:tc>
      </w:tr>
    </w:tbl>
    <w:bookmarkEnd w:id="468"/>
    <w:bookmarkEnd w:id="469"/>
    <w:p>
      <w:r>
        <w:br w:type="page"/>
      </w:r>
    </w:p>
    <w:bookmarkEnd w:id="470"/>
    <w:bookmarkEnd w:id="471"/>
    <w:bookmarkEnd w:id="472"/>
    <w:bookmarkStart w:id="482" w:name="checklists"/>
    <w:p>
      <w:pPr>
        <w:pStyle w:val="Heading1"/>
      </w:pPr>
      <w:r>
        <w:t xml:space="preserve">19. Checklists</w:t>
      </w:r>
    </w:p>
    <w:p>
      <w:pPr>
        <w:pStyle w:val="FirstParagraph"/>
      </w:pPr>
      <w:r>
        <w:t xml:space="preserve">Adapted by UCD-SeRG team from</w:t>
      </w:r>
      <w:r>
        <w:t xml:space="preserve"> </w:t>
      </w:r>
      <w:hyperlink r:id="rId473">
        <w:r>
          <w:rPr>
            <w:rStyle w:val="Hyperlink"/>
          </w:rPr>
          <w:t xml:space="preserve">original by Jade Benjamin-Chung</w:t>
        </w:r>
      </w:hyperlink>
    </w:p>
    <w:bookmarkStart w:id="474" w:name="pre-analysis-plan-checklist"/>
    <w:p>
      <w:pPr>
        <w:pStyle w:val="Heading2"/>
      </w:pPr>
      <w:r>
        <w:t xml:space="preserve">19.1 Pre-analysis plan checklist</w:t>
      </w:r>
    </w:p>
    <w:p>
      <w:pPr>
        <w:pStyle w:val="Compact"/>
        <w:numPr>
          <w:ilvl w:val="0"/>
          <w:numId w:val="1154"/>
        </w:numPr>
      </w:pPr>
      <w:r>
        <w:t xml:space="preserve">Brief background on the study (a condensed version of the introduction section of the paper)</w:t>
      </w:r>
    </w:p>
    <w:p>
      <w:pPr>
        <w:pStyle w:val="Compact"/>
        <w:numPr>
          <w:ilvl w:val="0"/>
          <w:numId w:val="1154"/>
        </w:numPr>
      </w:pPr>
      <w:r>
        <w:t xml:space="preserve">Hypotheses / objectives</w:t>
      </w:r>
    </w:p>
    <w:p>
      <w:pPr>
        <w:pStyle w:val="Compact"/>
        <w:numPr>
          <w:ilvl w:val="0"/>
          <w:numId w:val="1154"/>
        </w:numPr>
      </w:pPr>
      <w:r>
        <w:t xml:space="preserve">Study design</w:t>
      </w:r>
    </w:p>
    <w:p>
      <w:pPr>
        <w:pStyle w:val="Compact"/>
        <w:numPr>
          <w:ilvl w:val="0"/>
          <w:numId w:val="1154"/>
        </w:numPr>
      </w:pPr>
      <w:r>
        <w:t xml:space="preserve">Description of data</w:t>
      </w:r>
    </w:p>
    <w:p>
      <w:pPr>
        <w:pStyle w:val="Compact"/>
        <w:numPr>
          <w:ilvl w:val="0"/>
          <w:numId w:val="1154"/>
        </w:numPr>
      </w:pPr>
      <w:r>
        <w:t xml:space="preserve">Definition of outcomes</w:t>
      </w:r>
    </w:p>
    <w:p>
      <w:pPr>
        <w:pStyle w:val="Compact"/>
        <w:numPr>
          <w:ilvl w:val="0"/>
          <w:numId w:val="1154"/>
        </w:numPr>
      </w:pPr>
      <w:r>
        <w:t xml:space="preserve">Definition of interventions / exposures</w:t>
      </w:r>
    </w:p>
    <w:p>
      <w:pPr>
        <w:pStyle w:val="Compact"/>
        <w:numPr>
          <w:ilvl w:val="0"/>
          <w:numId w:val="1154"/>
        </w:numPr>
      </w:pPr>
      <w:r>
        <w:t xml:space="preserve">Definition of covariates</w:t>
      </w:r>
    </w:p>
    <w:p>
      <w:pPr>
        <w:pStyle w:val="Compact"/>
        <w:numPr>
          <w:ilvl w:val="0"/>
          <w:numId w:val="1154"/>
        </w:numPr>
      </w:pPr>
      <w:r>
        <w:t xml:space="preserve">Statistical power calculation</w:t>
      </w:r>
    </w:p>
    <w:p>
      <w:pPr>
        <w:pStyle w:val="Compact"/>
        <w:numPr>
          <w:ilvl w:val="0"/>
          <w:numId w:val="1154"/>
        </w:numPr>
      </w:pPr>
      <w:r>
        <w:t xml:space="preserve">Statistical model description</w:t>
      </w:r>
    </w:p>
    <w:p>
      <w:pPr>
        <w:pStyle w:val="Compact"/>
        <w:numPr>
          <w:ilvl w:val="0"/>
          <w:numId w:val="1154"/>
        </w:numPr>
      </w:pPr>
      <w:r>
        <w:t xml:space="preserve">Covariate selection / screening</w:t>
      </w:r>
    </w:p>
    <w:p>
      <w:pPr>
        <w:pStyle w:val="Compact"/>
        <w:numPr>
          <w:ilvl w:val="0"/>
          <w:numId w:val="1154"/>
        </w:numPr>
      </w:pPr>
      <w:r>
        <w:t xml:space="preserve">Standard error estimation method</w:t>
      </w:r>
    </w:p>
    <w:p>
      <w:pPr>
        <w:pStyle w:val="Compact"/>
        <w:numPr>
          <w:ilvl w:val="0"/>
          <w:numId w:val="1154"/>
        </w:numPr>
      </w:pPr>
      <w:r>
        <w:t xml:space="preserve">Missing data analysis</w:t>
      </w:r>
    </w:p>
    <w:p>
      <w:pPr>
        <w:pStyle w:val="Compact"/>
        <w:numPr>
          <w:ilvl w:val="0"/>
          <w:numId w:val="1154"/>
        </w:numPr>
      </w:pPr>
      <w:r>
        <w:t xml:space="preserve">Assessment of effect modification / subgroup analyses</w:t>
      </w:r>
    </w:p>
    <w:p>
      <w:pPr>
        <w:pStyle w:val="Compact"/>
        <w:numPr>
          <w:ilvl w:val="0"/>
          <w:numId w:val="1154"/>
        </w:numPr>
      </w:pPr>
      <w:r>
        <w:t xml:space="preserve">Sensitivity analyses</w:t>
      </w:r>
    </w:p>
    <w:p>
      <w:pPr>
        <w:pStyle w:val="Compact"/>
        <w:numPr>
          <w:ilvl w:val="0"/>
          <w:numId w:val="1154"/>
        </w:numPr>
      </w:pPr>
      <w:r>
        <w:t xml:space="preserve">Negative control analyses</w:t>
      </w:r>
    </w:p>
    <w:bookmarkEnd w:id="474"/>
    <w:bookmarkStart w:id="476" w:name="code-checklist"/>
    <w:p>
      <w:pPr>
        <w:pStyle w:val="Heading2"/>
      </w:pPr>
      <w:r>
        <w:t xml:space="preserve">19.2 Code checklist</w:t>
      </w:r>
    </w:p>
    <w:p>
      <w:pPr>
        <w:pStyle w:val="Compact"/>
        <w:numPr>
          <w:ilvl w:val="0"/>
          <w:numId w:val="1155"/>
        </w:numPr>
      </w:pPr>
      <w:r>
        <w:t xml:space="preserve">Does the script run without errors?</w:t>
      </w:r>
    </w:p>
    <w:p>
      <w:pPr>
        <w:pStyle w:val="Compact"/>
        <w:numPr>
          <w:ilvl w:val="0"/>
          <w:numId w:val="1155"/>
        </w:numPr>
      </w:pPr>
      <w:r>
        <w:t xml:space="preserve">Is code self-contained within repo and/or associated Box folder?</w:t>
      </w:r>
    </w:p>
    <w:p>
      <w:pPr>
        <w:pStyle w:val="Compact"/>
        <w:numPr>
          <w:ilvl w:val="0"/>
          <w:numId w:val="1155"/>
        </w:numPr>
      </w:pPr>
      <w:r>
        <w:t xml:space="preserve">Is all commented out code / remarks removed?</w:t>
      </w:r>
    </w:p>
    <w:p>
      <w:pPr>
        <w:pStyle w:val="Compact"/>
        <w:numPr>
          <w:ilvl w:val="0"/>
          <w:numId w:val="1155"/>
        </w:numPr>
      </w:pPr>
      <w:r>
        <w:t xml:space="preserve">Does the header accurately describe the process completed in the script?</w:t>
      </w:r>
    </w:p>
    <w:p>
      <w:pPr>
        <w:pStyle w:val="Compact"/>
        <w:numPr>
          <w:ilvl w:val="0"/>
          <w:numId w:val="1155"/>
        </w:numPr>
      </w:pPr>
      <w:r>
        <w:t xml:space="preserve">Is the script pushed to its github repository?</w:t>
      </w:r>
    </w:p>
    <w:p>
      <w:pPr>
        <w:pStyle w:val="Compact"/>
        <w:numPr>
          <w:ilvl w:val="0"/>
          <w:numId w:val="1155"/>
        </w:numPr>
      </w:pPr>
      <w:r>
        <w:t xml:space="preserve">Does the code adhere to the</w:t>
      </w:r>
      <w:r>
        <w:t xml:space="preserve"> </w:t>
      </w:r>
      <w:hyperlink r:id="rId475">
        <w:r>
          <w:rPr>
            <w:rStyle w:val="Hyperlink"/>
          </w:rPr>
          <w:t xml:space="preserve">coding style guide</w:t>
        </w:r>
      </w:hyperlink>
      <w:r>
        <w:t xml:space="preserve">?</w:t>
      </w:r>
    </w:p>
    <w:p>
      <w:pPr>
        <w:pStyle w:val="Compact"/>
        <w:numPr>
          <w:ilvl w:val="0"/>
          <w:numId w:val="1155"/>
        </w:numPr>
      </w:pPr>
      <w:r>
        <w:t xml:space="preserve">Are all warnings ignorable? Should any warnings be intentionally suppressed or addressed?</w:t>
      </w:r>
    </w:p>
    <w:bookmarkEnd w:id="476"/>
    <w:bookmarkStart w:id="478"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6"/>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6"/>
        </w:numPr>
      </w:pPr>
      <w:r>
        <w:t xml:space="preserve">Are the study results within the manuscript replicable (i.e., if you rerun the code in the study’s repository, the tables and figures will be exactly replicated?)</w:t>
      </w:r>
    </w:p>
    <w:p>
      <w:pPr>
        <w:pStyle w:val="Compact"/>
        <w:numPr>
          <w:ilvl w:val="0"/>
          <w:numId w:val="1156"/>
        </w:numPr>
      </w:pPr>
      <w:r>
        <w:t xml:space="preserve">Is a target journal selected?</w:t>
      </w:r>
    </w:p>
    <w:p>
      <w:pPr>
        <w:pStyle w:val="Compact"/>
        <w:numPr>
          <w:ilvl w:val="0"/>
          <w:numId w:val="1156"/>
        </w:numPr>
      </w:pPr>
      <w:r>
        <w:t xml:space="preserve">Is the title declarative, in other words, does it state the object/findings rather than suggest them?</w:t>
      </w:r>
    </w:p>
    <w:p>
      <w:pPr>
        <w:pStyle w:val="Compact"/>
        <w:numPr>
          <w:ilvl w:val="0"/>
          <w:numId w:val="1156"/>
        </w:numPr>
      </w:pPr>
      <w:r>
        <w:t xml:space="preserve">Is the word count of the manuscript close to the target journal’s allowance?</w:t>
      </w:r>
    </w:p>
    <w:p>
      <w:pPr>
        <w:pStyle w:val="Compact"/>
        <w:numPr>
          <w:ilvl w:val="0"/>
          <w:numId w:val="1156"/>
        </w:numPr>
      </w:pPr>
      <w:r>
        <w:t xml:space="preserve">Does the manuscript adhere to the formatting guide of the target journal?</w:t>
      </w:r>
    </w:p>
    <w:p>
      <w:pPr>
        <w:pStyle w:val="Compact"/>
        <w:numPr>
          <w:ilvl w:val="0"/>
          <w:numId w:val="1156"/>
        </w:numPr>
      </w:pPr>
      <w:r>
        <w:t xml:space="preserve">Does the manuscript use a consistent voice (passive or active – usually active is preferred … pun intended)?</w:t>
      </w:r>
    </w:p>
    <w:p>
      <w:pPr>
        <w:pStyle w:val="Compact"/>
        <w:numPr>
          <w:ilvl w:val="0"/>
          <w:numId w:val="1156"/>
        </w:numPr>
      </w:pPr>
      <w:r>
        <w:t xml:space="preserve">Is each figure and table (including supplementary material) referenced in the main text?</w:t>
      </w:r>
    </w:p>
    <w:p>
      <w:pPr>
        <w:pStyle w:val="Compact"/>
        <w:numPr>
          <w:ilvl w:val="0"/>
          <w:numId w:val="1156"/>
        </w:numPr>
      </w:pPr>
      <w:r>
        <w:t xml:space="preserve">Is there a caption for each figure and table (including supplementary material)?</w:t>
      </w:r>
    </w:p>
    <w:p>
      <w:pPr>
        <w:pStyle w:val="Compact"/>
        <w:numPr>
          <w:ilvl w:val="0"/>
          <w:numId w:val="1156"/>
        </w:numPr>
      </w:pPr>
      <w:r>
        <w:t xml:space="preserve">Are tables/figures and supplementary material numbered in accordance with their appearance in the main text?</w:t>
      </w:r>
    </w:p>
    <w:p>
      <w:pPr>
        <w:pStyle w:val="Compact"/>
        <w:numPr>
          <w:ilvl w:val="0"/>
          <w:numId w:val="1156"/>
        </w:numPr>
      </w:pPr>
      <w:r>
        <w:t xml:space="preserve">Does the text use past tense if it is reporting research findings or future tense if it is a study protocol?</w:t>
      </w:r>
    </w:p>
    <w:p>
      <w:pPr>
        <w:pStyle w:val="Compact"/>
        <w:numPr>
          <w:ilvl w:val="0"/>
          <w:numId w:val="115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6"/>
        </w:numPr>
      </w:pPr>
      <w:r>
        <w:t xml:space="preserve">Does the text use minimal abbreviations, and are all abbreviations defined at first use?</w:t>
      </w:r>
    </w:p>
    <w:p>
      <w:pPr>
        <w:pStyle w:val="Compact"/>
        <w:numPr>
          <w:ilvl w:val="0"/>
          <w:numId w:val="115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77">
        <w:r>
          <w:rPr>
            <w:rStyle w:val="Hyperlink"/>
          </w:rPr>
          <w:t xml:space="preserve">here</w:t>
        </w:r>
      </w:hyperlink>
      <w:r>
        <w:t xml:space="preserve">)</w:t>
      </w:r>
    </w:p>
    <w:p>
      <w:pPr>
        <w:pStyle w:val="Compact"/>
        <w:numPr>
          <w:ilvl w:val="0"/>
          <w:numId w:val="1156"/>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78"/>
    <w:bookmarkStart w:id="481" w:name="figure-checklist"/>
    <w:p>
      <w:pPr>
        <w:pStyle w:val="Heading2"/>
      </w:pPr>
      <w:r>
        <w:t xml:space="preserve">19.4 Figure checklist</w:t>
      </w:r>
    </w:p>
    <w:p>
      <w:pPr>
        <w:pStyle w:val="Compact"/>
        <w:numPr>
          <w:ilvl w:val="0"/>
          <w:numId w:val="1157"/>
        </w:numPr>
      </w:pPr>
      <w:r>
        <w:t xml:space="preserve">Are the x-axis and y-axis labeled?</w:t>
      </w:r>
    </w:p>
    <w:p>
      <w:pPr>
        <w:pStyle w:val="Compact"/>
        <w:numPr>
          <w:ilvl w:val="0"/>
          <w:numId w:val="1157"/>
        </w:numPr>
      </w:pPr>
      <w:r>
        <w:t xml:space="preserve">If the figure includes panels, is each panel labeled?</w:t>
      </w:r>
    </w:p>
    <w:p>
      <w:pPr>
        <w:pStyle w:val="Compact"/>
        <w:numPr>
          <w:ilvl w:val="0"/>
          <w:numId w:val="1157"/>
        </w:numPr>
      </w:pPr>
      <w:r>
        <w:t xml:space="preserve">Are there sufficient numerical / text labels and breaks on the x-axis and y-axis?</w:t>
      </w:r>
    </w:p>
    <w:p>
      <w:pPr>
        <w:pStyle w:val="Compact"/>
        <w:numPr>
          <w:ilvl w:val="0"/>
          <w:numId w:val="1157"/>
        </w:numPr>
      </w:pPr>
      <w:r>
        <w:t xml:space="preserve">Is the font size appropriate (i.e., large enough to read, not so large that it distracts from the data presented in the figure?)</w:t>
      </w:r>
    </w:p>
    <w:p>
      <w:pPr>
        <w:pStyle w:val="Compact"/>
        <w:numPr>
          <w:ilvl w:val="0"/>
          <w:numId w:val="1157"/>
        </w:numPr>
      </w:pPr>
      <w:r>
        <w:t xml:space="preserve">Are the colors used colorblind friendly? See a colorblind-friendly palette</w:t>
      </w:r>
      <w:r>
        <w:t xml:space="preserve"> </w:t>
      </w:r>
      <w:hyperlink r:id="rId479">
        <w:r>
          <w:rPr>
            <w:rStyle w:val="Hyperlink"/>
          </w:rPr>
          <w:t xml:space="preserve">here</w:t>
        </w:r>
      </w:hyperlink>
      <w:r>
        <w:t xml:space="preserve">, a neat palette generator with colorblind options</w:t>
      </w:r>
      <w:r>
        <w:t xml:space="preserve"> </w:t>
      </w:r>
      <w:hyperlink r:id="rId480">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7"/>
        </w:numPr>
      </w:pPr>
      <w:r>
        <w:t xml:space="preserve">Are colors/shapes/line types defined in a legend?</w:t>
      </w:r>
    </w:p>
    <w:p>
      <w:pPr>
        <w:pStyle w:val="Compact"/>
        <w:numPr>
          <w:ilvl w:val="0"/>
          <w:numId w:val="1157"/>
        </w:numPr>
      </w:pPr>
      <w:r>
        <w:t xml:space="preserve">Are the legends and other labels easy to understand with minimal abbreviations?</w:t>
      </w:r>
    </w:p>
    <w:p>
      <w:pPr>
        <w:pStyle w:val="Compact"/>
        <w:numPr>
          <w:ilvl w:val="0"/>
          <w:numId w:val="1157"/>
        </w:numPr>
      </w:pPr>
      <w:r>
        <w:t xml:space="preserve">If there is overplotting, is transparency used to show overlapping data?</w:t>
      </w:r>
    </w:p>
    <w:p>
      <w:pPr>
        <w:pStyle w:val="Compact"/>
        <w:numPr>
          <w:ilvl w:val="0"/>
          <w:numId w:val="1157"/>
        </w:numPr>
      </w:pPr>
      <w:r>
        <w:t xml:space="preserve">Are 95% confidence intervals or other measures of precision shown, if applicable?</w:t>
      </w:r>
    </w:p>
    <w:p>
      <w:r>
        <w:br w:type="page"/>
      </w:r>
    </w:p>
    <w:bookmarkEnd w:id="481"/>
    <w:bookmarkEnd w:id="482"/>
    <w:bookmarkStart w:id="513" w:name="resources-2"/>
    <w:p>
      <w:pPr>
        <w:pStyle w:val="Heading1"/>
      </w:pPr>
      <w:r>
        <w:t xml:space="preserve">20. Resources</w:t>
      </w:r>
    </w:p>
    <w:p>
      <w:pPr>
        <w:pStyle w:val="FirstParagraph"/>
      </w:pPr>
      <w:r>
        <w:t xml:space="preserve">Adapted by UCD-SeRG team from</w:t>
      </w:r>
      <w:r>
        <w:t xml:space="preserve"> </w:t>
      </w:r>
      <w:hyperlink r:id="rId483">
        <w:r>
          <w:rPr>
            <w:rStyle w:val="Hyperlink"/>
          </w:rPr>
          <w:t xml:space="preserve">original by Jade Benjamin-Chung and Kunal Mishra</w:t>
        </w:r>
      </w:hyperlink>
    </w:p>
    <w:bookmarkStart w:id="494" w:name="resources-for-r"/>
    <w:p>
      <w:pPr>
        <w:pStyle w:val="Heading2"/>
      </w:pPr>
      <w:r>
        <w:t xml:space="preserve">20.1 Resources for R</w:t>
      </w:r>
    </w:p>
    <w:bookmarkStart w:id="485" w:name="books-and-comprehensive-guides"/>
    <w:p>
      <w:pPr>
        <w:pStyle w:val="Heading3"/>
      </w:pPr>
      <w:r>
        <w:t xml:space="preserve">20.1.1 Books and Comprehensive Guides</w:t>
      </w:r>
    </w:p>
    <w:p>
      <w:pPr>
        <w:pStyle w:val="Compact"/>
        <w:numPr>
          <w:ilvl w:val="0"/>
          <w:numId w:val="1158"/>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8"/>
        </w:numPr>
      </w:pPr>
      <w:hyperlink r:id="rId484">
        <w:r>
          <w:rPr>
            <w:rStyle w:val="Hyperlink"/>
          </w:rPr>
          <w:t xml:space="preserve">Jade’s R-for-epi course</w:t>
        </w:r>
      </w:hyperlink>
    </w:p>
    <w:bookmarkEnd w:id="485"/>
    <w:bookmarkStart w:id="490" w:name="cheat-sheets"/>
    <w:p>
      <w:pPr>
        <w:pStyle w:val="Heading3"/>
      </w:pPr>
      <w:r>
        <w:t xml:space="preserve">20.1.2 Cheat Sheets</w:t>
      </w:r>
    </w:p>
    <w:p>
      <w:pPr>
        <w:pStyle w:val="Compact"/>
        <w:numPr>
          <w:ilvl w:val="0"/>
          <w:numId w:val="1159"/>
        </w:numPr>
      </w:pPr>
      <w:hyperlink r:id="rId486">
        <w:r>
          <w:rPr>
            <w:rStyle w:val="Hyperlink"/>
          </w:rPr>
          <w:t xml:space="preserve">dplyr and tidyr cheat sheet</w:t>
        </w:r>
      </w:hyperlink>
    </w:p>
    <w:p>
      <w:pPr>
        <w:pStyle w:val="Compact"/>
        <w:numPr>
          <w:ilvl w:val="0"/>
          <w:numId w:val="1159"/>
        </w:numPr>
      </w:pPr>
      <w:hyperlink r:id="rId487">
        <w:r>
          <w:rPr>
            <w:rStyle w:val="Hyperlink"/>
          </w:rPr>
          <w:t xml:space="preserve">ggplot cheat sheet</w:t>
        </w:r>
      </w:hyperlink>
    </w:p>
    <w:p>
      <w:pPr>
        <w:pStyle w:val="Compact"/>
        <w:numPr>
          <w:ilvl w:val="0"/>
          <w:numId w:val="1159"/>
        </w:numPr>
      </w:pPr>
      <w:hyperlink r:id="rId488">
        <w:r>
          <w:rPr>
            <w:rStyle w:val="Hyperlink"/>
          </w:rPr>
          <w:t xml:space="preserve">data table cheat sheet</w:t>
        </w:r>
      </w:hyperlink>
    </w:p>
    <w:p>
      <w:pPr>
        <w:pStyle w:val="Compact"/>
        <w:numPr>
          <w:ilvl w:val="0"/>
          <w:numId w:val="1159"/>
        </w:numPr>
      </w:pPr>
      <w:hyperlink r:id="rId489">
        <w:r>
          <w:rPr>
            <w:rStyle w:val="Hyperlink"/>
          </w:rPr>
          <w:t xml:space="preserve">RMarkdown cheat sheet</w:t>
        </w:r>
      </w:hyperlink>
    </w:p>
    <w:bookmarkEnd w:id="490"/>
    <w:bookmarkStart w:id="492" w:name="style-and-best-practices"/>
    <w:p>
      <w:pPr>
        <w:pStyle w:val="Heading3"/>
      </w:pPr>
      <w:r>
        <w:t xml:space="preserve">20.1.3 Style and Best Practices</w:t>
      </w:r>
    </w:p>
    <w:p>
      <w:pPr>
        <w:pStyle w:val="Compact"/>
        <w:numPr>
          <w:ilvl w:val="0"/>
          <w:numId w:val="1160"/>
        </w:numPr>
      </w:pPr>
      <w:hyperlink r:id="rId491">
        <w:r>
          <w:rPr>
            <w:rStyle w:val="Hyperlink"/>
          </w:rPr>
          <w:t xml:space="preserve">Hadley Wickham’s R Style Guide</w:t>
        </w:r>
      </w:hyperlink>
    </w:p>
    <w:bookmarkEnd w:id="492"/>
    <w:bookmarkStart w:id="493" w:name="tidy-evaluation-resources"/>
    <w:p>
      <w:pPr>
        <w:pStyle w:val="Heading3"/>
      </w:pPr>
      <w:r>
        <w:t xml:space="preserve">20.1.4 Tidy Evaluation Resources</w:t>
      </w:r>
    </w:p>
    <w:p>
      <w:pPr>
        <w:pStyle w:val="Compact"/>
        <w:numPr>
          <w:ilvl w:val="0"/>
          <w:numId w:val="1161"/>
        </w:numPr>
      </w:pPr>
      <w:hyperlink r:id="rId147">
        <w:r>
          <w:rPr>
            <w:rStyle w:val="Hyperlink"/>
          </w:rPr>
          <w:t xml:space="preserve">Tidy Eval in 5 Minutes</w:t>
        </w:r>
      </w:hyperlink>
      <w:r>
        <w:t xml:space="preserve"> </w:t>
      </w:r>
      <w:r>
        <w:t xml:space="preserve">(video)</w:t>
      </w:r>
    </w:p>
    <w:p>
      <w:pPr>
        <w:pStyle w:val="Compact"/>
        <w:numPr>
          <w:ilvl w:val="0"/>
          <w:numId w:val="1161"/>
        </w:numPr>
      </w:pPr>
      <w:hyperlink r:id="rId148">
        <w:r>
          <w:rPr>
            <w:rStyle w:val="Hyperlink"/>
          </w:rPr>
          <w:t xml:space="preserve">Tidy Evaluation</w:t>
        </w:r>
      </w:hyperlink>
      <w:r>
        <w:t xml:space="preserve"> </w:t>
      </w:r>
      <w:r>
        <w:t xml:space="preserve">(e-book)</w:t>
      </w:r>
    </w:p>
    <w:p>
      <w:pPr>
        <w:pStyle w:val="Compact"/>
        <w:numPr>
          <w:ilvl w:val="0"/>
          <w:numId w:val="1161"/>
        </w:numPr>
      </w:pPr>
      <w:hyperlink r:id="rId150">
        <w:r>
          <w:rPr>
            <w:rStyle w:val="Hyperlink"/>
          </w:rPr>
          <w:t xml:space="preserve">Data Frame Columns as Arguments to Dplyr Functions</w:t>
        </w:r>
      </w:hyperlink>
      <w:r>
        <w:t xml:space="preserve"> </w:t>
      </w:r>
      <w:r>
        <w:t xml:space="preserve">(blog)</w:t>
      </w:r>
    </w:p>
    <w:p>
      <w:pPr>
        <w:pStyle w:val="Compact"/>
        <w:numPr>
          <w:ilvl w:val="0"/>
          <w:numId w:val="1161"/>
        </w:numPr>
      </w:pPr>
      <w:hyperlink r:id="rId151">
        <w:r>
          <w:rPr>
            <w:rStyle w:val="Hyperlink"/>
          </w:rPr>
          <w:t xml:space="preserve">Standard Evaluation for *_join</w:t>
        </w:r>
      </w:hyperlink>
      <w:r>
        <w:t xml:space="preserve"> </w:t>
      </w:r>
      <w:r>
        <w:t xml:space="preserve">(stackoverflow)</w:t>
      </w:r>
    </w:p>
    <w:p>
      <w:pPr>
        <w:pStyle w:val="Compact"/>
        <w:numPr>
          <w:ilvl w:val="0"/>
          <w:numId w:val="1161"/>
        </w:numPr>
      </w:pPr>
      <w:hyperlink r:id="rId148">
        <w:r>
          <w:rPr>
            <w:rStyle w:val="Hyperlink"/>
          </w:rPr>
          <w:t xml:space="preserve">Programming with dplyr</w:t>
        </w:r>
      </w:hyperlink>
      <w:r>
        <w:t xml:space="preserve"> </w:t>
      </w:r>
      <w:r>
        <w:t xml:space="preserve">(package vignette)</w:t>
      </w:r>
    </w:p>
    <w:bookmarkEnd w:id="493"/>
    <w:bookmarkEnd w:id="494"/>
    <w:bookmarkStart w:id="496" w:name="resources-for-git-github"/>
    <w:p>
      <w:pPr>
        <w:pStyle w:val="Heading2"/>
      </w:pPr>
      <w:r>
        <w:t xml:space="preserve">20.2 Resources for Git &amp; Github</w:t>
      </w:r>
    </w:p>
    <w:p>
      <w:pPr>
        <w:pStyle w:val="Compact"/>
        <w:numPr>
          <w:ilvl w:val="0"/>
          <w:numId w:val="116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62"/>
        </w:numPr>
      </w:pPr>
      <w:hyperlink r:id="rId495">
        <w:r>
          <w:rPr>
            <w:rStyle w:val="Hyperlink"/>
          </w:rPr>
          <w:t xml:space="preserve">GitHub Skills: Introduction to GitHub</w:t>
        </w:r>
      </w:hyperlink>
    </w:p>
    <w:bookmarkEnd w:id="496"/>
    <w:bookmarkStart w:id="497" w:name="scientific-figures"/>
    <w:p>
      <w:pPr>
        <w:pStyle w:val="Heading2"/>
      </w:pPr>
      <w:r>
        <w:t xml:space="preserve">20.3 Scientific figures</w:t>
      </w:r>
    </w:p>
    <w:p>
      <w:pPr>
        <w:pStyle w:val="Compact"/>
        <w:numPr>
          <w:ilvl w:val="0"/>
          <w:numId w:val="1163"/>
        </w:numPr>
      </w:pPr>
      <w:r>
        <w:t xml:space="preserve">Ten Simple Rules for Better Figures</w:t>
      </w:r>
      <w:r>
        <w:t xml:space="preserve"> </w:t>
      </w:r>
      <w:r>
        <w:t xml:space="preserve">(Rougier, Droettboom, and Bourne 2014)</w:t>
      </w:r>
    </w:p>
    <w:bookmarkEnd w:id="497"/>
    <w:bookmarkStart w:id="500" w:name="writing"/>
    <w:p>
      <w:pPr>
        <w:pStyle w:val="Heading2"/>
      </w:pPr>
      <w:r>
        <w:t xml:space="preserve">20.4 Writing</w:t>
      </w:r>
    </w:p>
    <w:p>
      <w:pPr>
        <w:pStyle w:val="Compact"/>
        <w:numPr>
          <w:ilvl w:val="0"/>
          <w:numId w:val="1164"/>
        </w:numPr>
      </w:pPr>
      <w:r>
        <w:t xml:space="preserve">Unpacking the Scientific Toolbox</w:t>
      </w:r>
      <w:r>
        <w:t xml:space="preserve"> </w:t>
      </w:r>
      <w:r>
        <w:t xml:space="preserve">(Silbiger and Stubler 2019)</w:t>
      </w:r>
    </w:p>
    <w:p>
      <w:pPr>
        <w:pStyle w:val="Compact"/>
        <w:numPr>
          <w:ilvl w:val="0"/>
          <w:numId w:val="1164"/>
        </w:numPr>
      </w:pPr>
      <w:r>
        <w:t xml:space="preserve">ICMJE Definition of authorship</w:t>
      </w:r>
      <w:r>
        <w:t xml:space="preserve"> </w:t>
      </w:r>
      <w:r>
        <w:t xml:space="preserve">(International Committee of Medical Journal Editors, n.d.)</w:t>
      </w:r>
    </w:p>
    <w:p>
      <w:pPr>
        <w:pStyle w:val="Compact"/>
        <w:numPr>
          <w:ilvl w:val="0"/>
          <w:numId w:val="1164"/>
        </w:numPr>
      </w:pPr>
      <w:r>
        <w:t xml:space="preserve">Computational science: …why scientific programming does not compute</w:t>
      </w:r>
      <w:r>
        <w:t xml:space="preserve"> </w:t>
      </w:r>
      <w:r>
        <w:t xml:space="preserve">(Merali and Giles 2010)</w:t>
      </w:r>
    </w:p>
    <w:p>
      <w:pPr>
        <w:pStyle w:val="Compact"/>
        <w:numPr>
          <w:ilvl w:val="0"/>
          <w:numId w:val="1164"/>
        </w:numPr>
      </w:pPr>
      <w:hyperlink r:id="rId498">
        <w:r>
          <w:rPr>
            <w:rStyle w:val="Hyperlink"/>
          </w:rPr>
          <w:t xml:space="preserve">The Pathway to Publishing: A Guide to Quantitative Writing in the Health Sciences</w:t>
        </w:r>
      </w:hyperlink>
    </w:p>
    <w:p>
      <w:pPr>
        <w:pStyle w:val="Compact"/>
        <w:numPr>
          <w:ilvl w:val="0"/>
          <w:numId w:val="1164"/>
        </w:numPr>
      </w:pPr>
      <w:hyperlink r:id="rId499">
        <w:r>
          <w:rPr>
            <w:rStyle w:val="Hyperlink"/>
          </w:rPr>
          <w:t xml:space="preserve">Secret, actionable writing tips</w:t>
        </w:r>
      </w:hyperlink>
    </w:p>
    <w:bookmarkEnd w:id="500"/>
    <w:bookmarkStart w:id="504" w:name="presentations"/>
    <w:p>
      <w:pPr>
        <w:pStyle w:val="Heading2"/>
      </w:pPr>
      <w:r>
        <w:t xml:space="preserve">20.5 Presentations</w:t>
      </w:r>
    </w:p>
    <w:p>
      <w:pPr>
        <w:pStyle w:val="Compact"/>
        <w:numPr>
          <w:ilvl w:val="0"/>
          <w:numId w:val="1165"/>
        </w:numPr>
      </w:pPr>
      <w:r>
        <w:t xml:space="preserve">How to tell a compelling story in scientific presentations</w:t>
      </w:r>
      <w:r>
        <w:t xml:space="preserve"> </w:t>
      </w:r>
      <w:r>
        <w:t xml:space="preserve">(Van Noorden 2021)</w:t>
      </w:r>
    </w:p>
    <w:p>
      <w:pPr>
        <w:pStyle w:val="Compact"/>
        <w:numPr>
          <w:ilvl w:val="0"/>
          <w:numId w:val="1165"/>
        </w:numPr>
      </w:pPr>
      <w:hyperlink r:id="rId501">
        <w:r>
          <w:rPr>
            <w:rStyle w:val="Hyperlink"/>
          </w:rPr>
          <w:t xml:space="preserve">How to give a killer narratively-driven scientific talk</w:t>
        </w:r>
      </w:hyperlink>
    </w:p>
    <w:p>
      <w:pPr>
        <w:pStyle w:val="Compact"/>
        <w:numPr>
          <w:ilvl w:val="0"/>
          <w:numId w:val="1165"/>
        </w:numPr>
      </w:pPr>
      <w:hyperlink r:id="rId502">
        <w:r>
          <w:rPr>
            <w:rStyle w:val="Hyperlink"/>
          </w:rPr>
          <w:t xml:space="preserve">How to make a better poster</w:t>
        </w:r>
      </w:hyperlink>
    </w:p>
    <w:p>
      <w:pPr>
        <w:pStyle w:val="Compact"/>
        <w:numPr>
          <w:ilvl w:val="0"/>
          <w:numId w:val="1165"/>
        </w:numPr>
      </w:pPr>
      <w:hyperlink r:id="rId503">
        <w:r>
          <w:rPr>
            <w:rStyle w:val="Hyperlink"/>
          </w:rPr>
          <w:t xml:space="preserve">How to make an even better poster</w:t>
        </w:r>
      </w:hyperlink>
    </w:p>
    <w:bookmarkEnd w:id="504"/>
    <w:bookmarkStart w:id="506" w:name="professional-advice"/>
    <w:p>
      <w:pPr>
        <w:pStyle w:val="Heading2"/>
      </w:pPr>
      <w:r>
        <w:t xml:space="preserve">20.6 Professional advice</w:t>
      </w:r>
    </w:p>
    <w:p>
      <w:pPr>
        <w:pStyle w:val="Compact"/>
        <w:numPr>
          <w:ilvl w:val="0"/>
          <w:numId w:val="1166"/>
        </w:numPr>
      </w:pPr>
      <w:hyperlink r:id="rId505">
        <w:r>
          <w:rPr>
            <w:rStyle w:val="Hyperlink"/>
          </w:rPr>
          <w:t xml:space="preserve">Professional advice, especially for your first job</w:t>
        </w:r>
      </w:hyperlink>
    </w:p>
    <w:bookmarkEnd w:id="506"/>
    <w:bookmarkStart w:id="509" w:name="funding"/>
    <w:p>
      <w:pPr>
        <w:pStyle w:val="Heading2"/>
      </w:pPr>
      <w:r>
        <w:t xml:space="preserve">20.7 Funding</w:t>
      </w:r>
    </w:p>
    <w:p>
      <w:pPr>
        <w:pStyle w:val="Compact"/>
        <w:numPr>
          <w:ilvl w:val="0"/>
          <w:numId w:val="1167"/>
        </w:numPr>
      </w:pPr>
      <w:hyperlink r:id="rId507">
        <w:r>
          <w:rPr>
            <w:rStyle w:val="Hyperlink"/>
          </w:rPr>
          <w:t xml:space="preserve">Building Your Funding Train</w:t>
        </w:r>
      </w:hyperlink>
    </w:p>
    <w:p>
      <w:pPr>
        <w:pStyle w:val="Compact"/>
        <w:numPr>
          <w:ilvl w:val="0"/>
          <w:numId w:val="1167"/>
        </w:numPr>
      </w:pPr>
      <w:hyperlink r:id="rId508">
        <w:r>
          <w:rPr>
            <w:rStyle w:val="Hyperlink"/>
          </w:rPr>
          <w:t xml:space="preserve">NIH Grant Writing Resources</w:t>
        </w:r>
      </w:hyperlink>
    </w:p>
    <w:bookmarkEnd w:id="509"/>
    <w:bookmarkStart w:id="512" w:name="ethics-and-global-health-research"/>
    <w:p>
      <w:pPr>
        <w:pStyle w:val="Heading2"/>
      </w:pPr>
      <w:r>
        <w:t xml:space="preserve">20.8 Ethics and global health research</w:t>
      </w:r>
    </w:p>
    <w:p>
      <w:pPr>
        <w:pStyle w:val="Compact"/>
        <w:numPr>
          <w:ilvl w:val="0"/>
          <w:numId w:val="1168"/>
        </w:numPr>
      </w:pPr>
      <w:hyperlink r:id="rId510">
        <w:r>
          <w:rPr>
            <w:rStyle w:val="Hyperlink"/>
          </w:rPr>
          <w:t xml:space="preserve">Global Code of Conduct For Research in Resource-Poor Settings</w:t>
        </w:r>
      </w:hyperlink>
    </w:p>
    <w:p>
      <w:pPr>
        <w:pStyle w:val="Compact"/>
        <w:numPr>
          <w:ilvl w:val="0"/>
          <w:numId w:val="1168"/>
        </w:numPr>
      </w:pPr>
      <w:r>
        <w:t xml:space="preserve">Addressing power asymmetries in global health</w:t>
      </w:r>
      <w:r>
        <w:t xml:space="preserve"> </w:t>
      </w:r>
      <w:r>
        <w:t xml:space="preserve">(Abimbola et al. 2022)</w:t>
      </w:r>
    </w:p>
    <w:p>
      <w:pPr>
        <w:pStyle w:val="Compact"/>
        <w:numPr>
          <w:ilvl w:val="0"/>
          <w:numId w:val="1168"/>
        </w:numPr>
      </w:pPr>
      <w:hyperlink r:id="rId511">
        <w:r>
          <w:rPr>
            <w:rStyle w:val="Hyperlink"/>
          </w:rPr>
          <w:t xml:space="preserve">Transforming Global Health Partnerships</w:t>
        </w:r>
      </w:hyperlink>
    </w:p>
    <w:p>
      <w:r>
        <w:br w:type="page"/>
      </w:r>
    </w:p>
    <w:bookmarkEnd w:id="512"/>
    <w:bookmarkEnd w:id="513"/>
    <w:bookmarkStart w:id="531" w:name="professional-development"/>
    <w:p>
      <w:pPr>
        <w:pStyle w:val="Heading1"/>
      </w:pPr>
      <w:r>
        <w:t xml:space="preserve">21. Professional Development</w:t>
      </w:r>
    </w:p>
    <w:p>
      <w:pPr>
        <w:pStyle w:val="FirstParagraph"/>
      </w:pPr>
      <w:r>
        <w:t xml:space="preserve">Adapted by UCD-SeRG team from</w:t>
      </w:r>
      <w:r>
        <w:t xml:space="preserve"> </w:t>
      </w:r>
      <w:hyperlink r:id="rId514">
        <w:r>
          <w:rPr>
            <w:rStyle w:val="Hyperlink"/>
          </w:rPr>
          <w:t xml:space="preserve">original by Jade Benjamin-Chung</w:t>
        </w:r>
      </w:hyperlink>
    </w:p>
    <w:bookmarkStart w:id="51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169"/>
        </w:numPr>
      </w:pPr>
      <w:r>
        <w:t xml:space="preserve">Regular, open communication between mentees and mentors</w:t>
      </w:r>
    </w:p>
    <w:p>
      <w:pPr>
        <w:pStyle w:val="Compact"/>
        <w:numPr>
          <w:ilvl w:val="0"/>
          <w:numId w:val="1169"/>
        </w:numPr>
      </w:pPr>
      <w:r>
        <w:t xml:space="preserve">Mutual respect and trust</w:t>
      </w:r>
    </w:p>
    <w:p>
      <w:pPr>
        <w:pStyle w:val="Compact"/>
        <w:numPr>
          <w:ilvl w:val="0"/>
          <w:numId w:val="1169"/>
        </w:numPr>
      </w:pPr>
      <w:r>
        <w:t xml:space="preserve">Clear expectations and goals</w:t>
      </w:r>
    </w:p>
    <w:p>
      <w:pPr>
        <w:pStyle w:val="Compact"/>
        <w:numPr>
          <w:ilvl w:val="0"/>
          <w:numId w:val="1169"/>
        </w:numPr>
      </w:pPr>
      <w:r>
        <w:t xml:space="preserve">Constructive feedback</w:t>
      </w:r>
    </w:p>
    <w:p>
      <w:pPr>
        <w:pStyle w:val="Compact"/>
        <w:numPr>
          <w:ilvl w:val="0"/>
          <w:numId w:val="1169"/>
        </w:numPr>
      </w:pPr>
      <w:r>
        <w:t xml:space="preserve">Support for both research and career development</w:t>
      </w:r>
    </w:p>
    <w:bookmarkEnd w:id="515"/>
    <w:bookmarkStart w:id="51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170"/>
        </w:numPr>
      </w:pPr>
      <w:r>
        <w:t xml:space="preserve">Short-term and long-term career goals</w:t>
      </w:r>
    </w:p>
    <w:p>
      <w:pPr>
        <w:pStyle w:val="Compact"/>
        <w:numPr>
          <w:ilvl w:val="0"/>
          <w:numId w:val="1170"/>
        </w:numPr>
      </w:pPr>
      <w:r>
        <w:t xml:space="preserve">Skills to develop</w:t>
      </w:r>
    </w:p>
    <w:p>
      <w:pPr>
        <w:pStyle w:val="Compact"/>
        <w:numPr>
          <w:ilvl w:val="0"/>
          <w:numId w:val="1170"/>
        </w:numPr>
      </w:pPr>
      <w:r>
        <w:t xml:space="preserve">Training needs and opportunities</w:t>
      </w:r>
    </w:p>
    <w:p>
      <w:pPr>
        <w:pStyle w:val="Compact"/>
        <w:numPr>
          <w:ilvl w:val="0"/>
          <w:numId w:val="1170"/>
        </w:numPr>
      </w:pPr>
      <w:r>
        <w:t xml:space="preserve">Timeline and milestones</w:t>
      </w:r>
    </w:p>
    <w:p>
      <w:pPr>
        <w:pStyle w:val="Compact"/>
        <w:numPr>
          <w:ilvl w:val="0"/>
          <w:numId w:val="1170"/>
        </w:numPr>
      </w:pPr>
      <w:r>
        <w:t xml:space="preserve">Progress toward goals</w:t>
      </w:r>
    </w:p>
    <w:p>
      <w:pPr>
        <w:pStyle w:val="FirstParagraph"/>
      </w:pPr>
      <w:r>
        <w:t xml:space="preserve">Update your IDP at least annually and discuss it with your PI. Useful resources:</w:t>
      </w:r>
    </w:p>
    <w:p>
      <w:pPr>
        <w:pStyle w:val="Compact"/>
        <w:numPr>
          <w:ilvl w:val="0"/>
          <w:numId w:val="1171"/>
        </w:numPr>
      </w:pPr>
      <w:hyperlink r:id="rId516">
        <w:r>
          <w:rPr>
            <w:rStyle w:val="Hyperlink"/>
          </w:rPr>
          <w:t xml:space="preserve">myIDP - Individual Development Plan tool</w:t>
        </w:r>
      </w:hyperlink>
    </w:p>
    <w:p>
      <w:pPr>
        <w:pStyle w:val="Compact"/>
        <w:numPr>
          <w:ilvl w:val="0"/>
          <w:numId w:val="1171"/>
        </w:numPr>
      </w:pPr>
      <w:hyperlink r:id="rId517">
        <w:r>
          <w:rPr>
            <w:rStyle w:val="Hyperlink"/>
          </w:rPr>
          <w:t xml:space="preserve">NIH OITE Career Resources</w:t>
        </w:r>
      </w:hyperlink>
    </w:p>
    <w:bookmarkEnd w:id="518"/>
    <w:bookmarkStart w:id="52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172"/>
        </w:numPr>
      </w:pPr>
      <w:r>
        <w:t xml:space="preserve">Discuss conference opportunities with PIs early</w:t>
      </w:r>
    </w:p>
    <w:p>
      <w:pPr>
        <w:pStyle w:val="Compact"/>
        <w:numPr>
          <w:ilvl w:val="0"/>
          <w:numId w:val="1172"/>
        </w:numPr>
      </w:pPr>
      <w:r>
        <w:t xml:space="preserve">Submit abstracts with PI approval</w:t>
      </w:r>
    </w:p>
    <w:p>
      <w:pPr>
        <w:pStyle w:val="Compact"/>
        <w:numPr>
          <w:ilvl w:val="0"/>
          <w:numId w:val="1172"/>
        </w:numPr>
      </w:pPr>
      <w:r>
        <w:t xml:space="preserve">Practice presentations in lab meeting before the conference</w:t>
      </w:r>
    </w:p>
    <w:p>
      <w:pPr>
        <w:pStyle w:val="Compact"/>
        <w:numPr>
          <w:ilvl w:val="0"/>
          <w:numId w:val="1172"/>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3"/>
        </w:numPr>
      </w:pPr>
      <w:hyperlink r:id="rId519">
        <w:r>
          <w:rPr>
            <w:rStyle w:val="Hyperlink"/>
          </w:rPr>
          <w:t xml:space="preserve">How to tell a compelling story in scientific presentations</w:t>
        </w:r>
      </w:hyperlink>
    </w:p>
    <w:p>
      <w:pPr>
        <w:pStyle w:val="Compact"/>
        <w:numPr>
          <w:ilvl w:val="0"/>
          <w:numId w:val="1173"/>
        </w:numPr>
      </w:pPr>
      <w:hyperlink r:id="rId501">
        <w:r>
          <w:rPr>
            <w:rStyle w:val="Hyperlink"/>
          </w:rPr>
          <w:t xml:space="preserve">How to give a killer narratively-driven scientific talk</w:t>
        </w:r>
      </w:hyperlink>
    </w:p>
    <w:p>
      <w:pPr>
        <w:pStyle w:val="Compact"/>
        <w:numPr>
          <w:ilvl w:val="0"/>
          <w:numId w:val="1173"/>
        </w:numPr>
      </w:pPr>
      <w:hyperlink r:id="rId520">
        <w:r>
          <w:rPr>
            <w:rStyle w:val="Hyperlink"/>
          </w:rPr>
          <w:t xml:space="preserve">How to make a better poster</w:t>
        </w:r>
      </w:hyperlink>
    </w:p>
    <w:p>
      <w:pPr>
        <w:pStyle w:val="Compact"/>
        <w:numPr>
          <w:ilvl w:val="0"/>
          <w:numId w:val="1173"/>
        </w:numPr>
      </w:pPr>
      <w:hyperlink r:id="rId503">
        <w:r>
          <w:rPr>
            <w:rStyle w:val="Hyperlink"/>
          </w:rPr>
          <w:t xml:space="preserve">How to make an even better poster</w:t>
        </w:r>
      </w:hyperlink>
    </w:p>
    <w:bookmarkEnd w:id="521"/>
    <w:bookmarkStart w:id="52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174"/>
        </w:numPr>
      </w:pPr>
      <w:r>
        <w:t xml:space="preserve">Label x-axis and y-axis clearly</w:t>
      </w:r>
    </w:p>
    <w:p>
      <w:pPr>
        <w:pStyle w:val="Compact"/>
        <w:numPr>
          <w:ilvl w:val="0"/>
          <w:numId w:val="1174"/>
        </w:numPr>
      </w:pPr>
      <w:r>
        <w:t xml:space="preserve">Use panel labels when including multiple subplots</w:t>
      </w:r>
    </w:p>
    <w:p>
      <w:pPr>
        <w:pStyle w:val="Compact"/>
        <w:numPr>
          <w:ilvl w:val="0"/>
          <w:numId w:val="1174"/>
        </w:numPr>
      </w:pPr>
      <w:r>
        <w:t xml:space="preserve">Include sufficient tick marks and labels</w:t>
      </w:r>
    </w:p>
    <w:p>
      <w:pPr>
        <w:pStyle w:val="Compact"/>
        <w:numPr>
          <w:ilvl w:val="0"/>
          <w:numId w:val="1174"/>
        </w:numPr>
      </w:pPr>
      <w:r>
        <w:t xml:space="preserve">Use appropriate font sizes (readable but not distracting)</w:t>
      </w:r>
    </w:p>
    <w:p>
      <w:pPr>
        <w:pStyle w:val="Compact"/>
        <w:numPr>
          <w:ilvl w:val="0"/>
          <w:numId w:val="1174"/>
        </w:numPr>
      </w:pPr>
      <w:r>
        <w:t xml:space="preserve">Use colorblind-friendly palettes (see</w:t>
      </w:r>
      <w:r>
        <w:t xml:space="preserve"> </w:t>
      </w:r>
      <w:hyperlink r:id="rId522">
        <w:r>
          <w:rPr>
            <w:rStyle w:val="Hyperlink"/>
          </w:rPr>
          <w:t xml:space="preserve">ColorBrewer</w:t>
        </w:r>
      </w:hyperlink>
      <w:r>
        <w:t xml:space="preserve"> </w:t>
      </w:r>
      <w:r>
        <w:t xml:space="preserve">or</w:t>
      </w:r>
      <w:r>
        <w:t xml:space="preserve"> </w:t>
      </w:r>
      <w:hyperlink r:id="rId523">
        <w:r>
          <w:rPr>
            <w:rStyle w:val="Hyperlink"/>
          </w:rPr>
          <w:t xml:space="preserve">iwanthue</w:t>
        </w:r>
      </w:hyperlink>
      <w:r>
        <w:t xml:space="preserve">)</w:t>
      </w:r>
    </w:p>
    <w:p>
      <w:pPr>
        <w:pStyle w:val="Compact"/>
        <w:numPr>
          <w:ilvl w:val="0"/>
          <w:numId w:val="1174"/>
        </w:numPr>
      </w:pPr>
      <w:r>
        <w:t xml:space="preserve">Define colors, shapes, and line types in legends</w:t>
      </w:r>
    </w:p>
    <w:p>
      <w:pPr>
        <w:pStyle w:val="Compact"/>
        <w:numPr>
          <w:ilvl w:val="0"/>
          <w:numId w:val="1174"/>
        </w:numPr>
      </w:pPr>
      <w:r>
        <w:t xml:space="preserve">Minimize abbreviations in labels and legends</w:t>
      </w:r>
    </w:p>
    <w:p>
      <w:pPr>
        <w:pStyle w:val="Compact"/>
        <w:numPr>
          <w:ilvl w:val="0"/>
          <w:numId w:val="1174"/>
        </w:numPr>
      </w:pPr>
      <w:r>
        <w:t xml:space="preserve">Use transparency to show overlapping data</w:t>
      </w:r>
    </w:p>
    <w:p>
      <w:pPr>
        <w:pStyle w:val="Compact"/>
        <w:numPr>
          <w:ilvl w:val="0"/>
          <w:numId w:val="1174"/>
        </w:numPr>
      </w:pPr>
      <w:r>
        <w:t xml:space="preserve">Show measures of precision (e.g., 95% confidence intervals)</w:t>
      </w:r>
    </w:p>
    <w:p>
      <w:pPr>
        <w:pStyle w:val="FirstParagraph"/>
      </w:pPr>
      <w:r>
        <w:rPr>
          <w:b/>
          <w:bCs/>
        </w:rPr>
        <w:t xml:space="preserve">Resources:</w:t>
      </w:r>
    </w:p>
    <w:p>
      <w:pPr>
        <w:pStyle w:val="Compact"/>
        <w:numPr>
          <w:ilvl w:val="0"/>
          <w:numId w:val="1175"/>
        </w:numPr>
      </w:pPr>
      <w:hyperlink r:id="rId524">
        <w:r>
          <w:rPr>
            <w:rStyle w:val="Hyperlink"/>
          </w:rPr>
          <w:t xml:space="preserve">Ten Simple Rules for Better Figures</w:t>
        </w:r>
      </w:hyperlink>
    </w:p>
    <w:bookmarkEnd w:id="525"/>
    <w:bookmarkStart w:id="528" w:name="grant-writing"/>
    <w:p>
      <w:pPr>
        <w:pStyle w:val="Heading2"/>
      </w:pPr>
      <w:r>
        <w:t xml:space="preserve">21.5 Grant Writing</w:t>
      </w:r>
    </w:p>
    <w:p>
      <w:pPr>
        <w:pStyle w:val="Compact"/>
        <w:numPr>
          <w:ilvl w:val="0"/>
          <w:numId w:val="1176"/>
        </w:numPr>
      </w:pPr>
      <w:r>
        <w:t xml:space="preserve">Graduate students and postdocs are encouraged to apply for fellowships (e.g., NIH F31, NSF GRFP, K awards)</w:t>
      </w:r>
    </w:p>
    <w:p>
      <w:pPr>
        <w:pStyle w:val="Compact"/>
        <w:numPr>
          <w:ilvl w:val="0"/>
          <w:numId w:val="1176"/>
        </w:numPr>
      </w:pPr>
      <w:r>
        <w:t xml:space="preserve">PIs will support fellowship applications with feedback, letters of support, and mentoring</w:t>
      </w:r>
    </w:p>
    <w:p>
      <w:pPr>
        <w:pStyle w:val="Compact"/>
        <w:numPr>
          <w:ilvl w:val="0"/>
          <w:numId w:val="1176"/>
        </w:numPr>
      </w:pPr>
      <w:r>
        <w:t xml:space="preserve">Start planning fellowship applications well in advance of deadlines (typically 3-6 months)</w:t>
      </w:r>
    </w:p>
    <w:p>
      <w:pPr>
        <w:pStyle w:val="Compact"/>
        <w:numPr>
          <w:ilvl w:val="0"/>
          <w:numId w:val="1176"/>
        </w:numPr>
      </w:pPr>
      <w:r>
        <w:t xml:space="preserve">Attend grant writing workshops and seek feedback from multiple sources</w:t>
      </w:r>
    </w:p>
    <w:p>
      <w:pPr>
        <w:pStyle w:val="FirstParagraph"/>
      </w:pPr>
      <w:r>
        <w:rPr>
          <w:b/>
          <w:bCs/>
        </w:rPr>
        <w:t xml:space="preserve">Resources:</w:t>
      </w:r>
    </w:p>
    <w:p>
      <w:pPr>
        <w:pStyle w:val="Compact"/>
        <w:numPr>
          <w:ilvl w:val="0"/>
          <w:numId w:val="1177"/>
        </w:numPr>
      </w:pPr>
      <w:hyperlink r:id="rId526">
        <w:r>
          <w:rPr>
            <w:rStyle w:val="Hyperlink"/>
          </w:rPr>
          <w:t xml:space="preserve">Building Your Funding Train</w:t>
        </w:r>
      </w:hyperlink>
    </w:p>
    <w:p>
      <w:pPr>
        <w:pStyle w:val="Compact"/>
        <w:numPr>
          <w:ilvl w:val="0"/>
          <w:numId w:val="1177"/>
        </w:numPr>
      </w:pPr>
      <w:hyperlink r:id="rId527">
        <w:r>
          <w:rPr>
            <w:rStyle w:val="Hyperlink"/>
          </w:rPr>
          <w:t xml:space="preserve">NIH Funding Opportunities</w:t>
        </w:r>
      </w:hyperlink>
    </w:p>
    <w:p>
      <w:pPr>
        <w:pStyle w:val="Compact"/>
        <w:numPr>
          <w:ilvl w:val="0"/>
          <w:numId w:val="1177"/>
        </w:numPr>
      </w:pPr>
      <w:hyperlink r:id="rId508">
        <w:r>
          <w:rPr>
            <w:rStyle w:val="Hyperlink"/>
          </w:rPr>
          <w:t xml:space="preserve">NIH Grant Writing Resources</w:t>
        </w:r>
      </w:hyperlink>
    </w:p>
    <w:bookmarkEnd w:id="528"/>
    <w:bookmarkStart w:id="529" w:name="teaching-and-outreach"/>
    <w:p>
      <w:pPr>
        <w:pStyle w:val="Heading2"/>
      </w:pPr>
      <w:r>
        <w:t xml:space="preserve">21.6 Teaching and Outreach</w:t>
      </w:r>
    </w:p>
    <w:p>
      <w:pPr>
        <w:pStyle w:val="FirstParagraph"/>
      </w:pPr>
      <w:r>
        <w:t xml:space="preserve">Teaching and outreach are valuable professional development opportunities:</w:t>
      </w:r>
    </w:p>
    <w:p>
      <w:pPr>
        <w:pStyle w:val="Compact"/>
        <w:numPr>
          <w:ilvl w:val="0"/>
          <w:numId w:val="1178"/>
        </w:numPr>
      </w:pPr>
      <w:r>
        <w:t xml:space="preserve">Graduate students are encouraged to gain teaching experience</w:t>
      </w:r>
    </w:p>
    <w:p>
      <w:pPr>
        <w:pStyle w:val="Compact"/>
        <w:numPr>
          <w:ilvl w:val="0"/>
          <w:numId w:val="1178"/>
        </w:numPr>
      </w:pPr>
      <w:r>
        <w:t xml:space="preserve">We support science communication and outreach activities</w:t>
      </w:r>
    </w:p>
    <w:p>
      <w:pPr>
        <w:pStyle w:val="Compact"/>
        <w:numPr>
          <w:ilvl w:val="0"/>
          <w:numId w:val="1178"/>
        </w:numPr>
      </w:pPr>
      <w:r>
        <w:t xml:space="preserve">Discuss opportunities with PIs</w:t>
      </w:r>
    </w:p>
    <w:bookmarkEnd w:id="529"/>
    <w:bookmarkStart w:id="530" w:name="networking"/>
    <w:p>
      <w:pPr>
        <w:pStyle w:val="Heading2"/>
      </w:pPr>
      <w:r>
        <w:t xml:space="preserve">21.7 Networking</w:t>
      </w:r>
    </w:p>
    <w:p>
      <w:pPr>
        <w:pStyle w:val="FirstParagraph"/>
      </w:pPr>
      <w:r>
        <w:t xml:space="preserve">Building a professional network is important for your career:</w:t>
      </w:r>
    </w:p>
    <w:p>
      <w:pPr>
        <w:pStyle w:val="Compact"/>
        <w:numPr>
          <w:ilvl w:val="0"/>
          <w:numId w:val="1179"/>
        </w:numPr>
      </w:pPr>
      <w:r>
        <w:t xml:space="preserve">Attend seminars and departmental events</w:t>
      </w:r>
    </w:p>
    <w:p>
      <w:pPr>
        <w:pStyle w:val="Compact"/>
        <w:numPr>
          <w:ilvl w:val="0"/>
          <w:numId w:val="1179"/>
        </w:numPr>
      </w:pPr>
      <w:r>
        <w:t xml:space="preserve">Connect with researchers in your field</w:t>
      </w:r>
    </w:p>
    <w:p>
      <w:pPr>
        <w:pStyle w:val="Compact"/>
        <w:numPr>
          <w:ilvl w:val="0"/>
          <w:numId w:val="1179"/>
        </w:numPr>
      </w:pPr>
      <w:r>
        <w:t xml:space="preserve">Join professional societies</w:t>
      </w:r>
    </w:p>
    <w:p>
      <w:pPr>
        <w:pStyle w:val="Compact"/>
        <w:numPr>
          <w:ilvl w:val="0"/>
          <w:numId w:val="1179"/>
        </w:numPr>
      </w:pPr>
      <w:r>
        <w:t xml:space="preserve">Use professional social media platforms to share research and engage with the scientific community</w:t>
      </w:r>
    </w:p>
    <w:p>
      <w:r>
        <w:br w:type="page"/>
      </w:r>
    </w:p>
    <w:bookmarkEnd w:id="530"/>
    <w:bookmarkEnd w:id="531"/>
    <w:bookmarkStart w:id="539" w:name="manuscript-preparation-and-publication"/>
    <w:p>
      <w:pPr>
        <w:pStyle w:val="Heading1"/>
      </w:pPr>
      <w:r>
        <w:t xml:space="preserve">22. Manuscript Preparation and Publication</w:t>
      </w:r>
    </w:p>
    <w:p>
      <w:pPr>
        <w:pStyle w:val="FirstParagraph"/>
      </w:pPr>
      <w:r>
        <w:t xml:space="preserve">Adapted by UCD-SeRG team from</w:t>
      </w:r>
      <w:r>
        <w:t xml:space="preserve"> </w:t>
      </w:r>
      <w:hyperlink r:id="rId514">
        <w:r>
          <w:rPr>
            <w:rStyle w:val="Hyperlink"/>
          </w:rPr>
          <w:t xml:space="preserve">original by Jade Benjamin-Chung</w:t>
        </w:r>
      </w:hyperlink>
    </w:p>
    <w:bookmarkStart w:id="532" w:name="publication-process"/>
    <w:p>
      <w:pPr>
        <w:pStyle w:val="Heading2"/>
      </w:pPr>
      <w:r>
        <w:t xml:space="preserve">22.1 Publication Process</w:t>
      </w:r>
    </w:p>
    <w:p>
      <w:pPr>
        <w:pStyle w:val="FirstParagraph"/>
      </w:pPr>
      <w:r>
        <w:t xml:space="preserve">The typical workflow for manuscript preparation and publication:</w:t>
      </w:r>
    </w:p>
    <w:p>
      <w:pPr>
        <w:pStyle w:val="Compact"/>
        <w:numPr>
          <w:ilvl w:val="0"/>
          <w:numId w:val="1180"/>
        </w:numPr>
      </w:pPr>
      <w:r>
        <w:rPr>
          <w:b/>
          <w:bCs/>
        </w:rPr>
        <w:t xml:space="preserve">Planning</w:t>
      </w:r>
      <w:r>
        <w:t xml:space="preserve">: Discuss target journals, outline, and timeline with PIs</w:t>
      </w:r>
    </w:p>
    <w:p>
      <w:pPr>
        <w:pStyle w:val="Compact"/>
        <w:numPr>
          <w:ilvl w:val="0"/>
          <w:numId w:val="1180"/>
        </w:numPr>
      </w:pPr>
      <w:r>
        <w:rPr>
          <w:b/>
          <w:bCs/>
        </w:rPr>
        <w:t xml:space="preserve">Drafting</w:t>
      </w:r>
      <w:r>
        <w:t xml:space="preserve">: Lead author prepares initial draft</w:t>
      </w:r>
    </w:p>
    <w:p>
      <w:pPr>
        <w:pStyle w:val="Compact"/>
        <w:numPr>
          <w:ilvl w:val="0"/>
          <w:numId w:val="1180"/>
        </w:numPr>
      </w:pPr>
      <w:r>
        <w:rPr>
          <w:b/>
          <w:bCs/>
        </w:rPr>
        <w:t xml:space="preserve">Internal review</w:t>
      </w:r>
      <w:r>
        <w:t xml:space="preserve">: Co-authors review and provide feedback</w:t>
      </w:r>
    </w:p>
    <w:p>
      <w:pPr>
        <w:pStyle w:val="Compact"/>
        <w:numPr>
          <w:ilvl w:val="0"/>
          <w:numId w:val="1180"/>
        </w:numPr>
      </w:pPr>
      <w:r>
        <w:rPr>
          <w:b/>
          <w:bCs/>
        </w:rPr>
        <w:t xml:space="preserve">Revision</w:t>
      </w:r>
      <w:r>
        <w:t xml:space="preserve">: Lead author incorporates feedback iteratively</w:t>
      </w:r>
    </w:p>
    <w:p>
      <w:pPr>
        <w:pStyle w:val="Compact"/>
        <w:numPr>
          <w:ilvl w:val="0"/>
          <w:numId w:val="1180"/>
        </w:numPr>
      </w:pPr>
      <w:r>
        <w:rPr>
          <w:b/>
          <w:bCs/>
        </w:rPr>
        <w:t xml:space="preserve">PI approval</w:t>
      </w:r>
      <w:r>
        <w:t xml:space="preserve">: Obtain final approval from PIs before submission</w:t>
      </w:r>
    </w:p>
    <w:p>
      <w:pPr>
        <w:pStyle w:val="Compact"/>
        <w:numPr>
          <w:ilvl w:val="0"/>
          <w:numId w:val="1180"/>
        </w:numPr>
      </w:pPr>
      <w:r>
        <w:rPr>
          <w:b/>
          <w:bCs/>
        </w:rPr>
        <w:t xml:space="preserve">Submission</w:t>
      </w:r>
      <w:r>
        <w:t xml:space="preserve">: Submit to journal</w:t>
      </w:r>
    </w:p>
    <w:p>
      <w:pPr>
        <w:pStyle w:val="Compact"/>
        <w:numPr>
          <w:ilvl w:val="0"/>
          <w:numId w:val="1180"/>
        </w:numPr>
      </w:pPr>
      <w:r>
        <w:rPr>
          <w:b/>
          <w:bCs/>
        </w:rPr>
        <w:t xml:space="preserve">Revisions</w:t>
      </w:r>
      <w:r>
        <w:t xml:space="preserve">: Lead author coordinates response to peer reviewers</w:t>
      </w:r>
    </w:p>
    <w:p>
      <w:pPr>
        <w:pStyle w:val="Compact"/>
        <w:numPr>
          <w:ilvl w:val="0"/>
          <w:numId w:val="1180"/>
        </w:numPr>
      </w:pPr>
      <w:r>
        <w:rPr>
          <w:b/>
          <w:bCs/>
        </w:rPr>
        <w:t xml:space="preserve">Publication</w:t>
      </w:r>
      <w:r>
        <w:t xml:space="preserve">: Celebrate and share!</w:t>
      </w:r>
    </w:p>
    <w:bookmarkEnd w:id="532"/>
    <w:bookmarkStart w:id="535" w:name="preprints-and-open-access"/>
    <w:p>
      <w:pPr>
        <w:pStyle w:val="Heading2"/>
      </w:pPr>
      <w:r>
        <w:t xml:space="preserve">22.2 Preprints and Open Access</w:t>
      </w:r>
    </w:p>
    <w:p>
      <w:pPr>
        <w:pStyle w:val="Compact"/>
        <w:numPr>
          <w:ilvl w:val="0"/>
          <w:numId w:val="1181"/>
        </w:numPr>
      </w:pPr>
      <w:r>
        <w:t xml:space="preserve">We encourage posting preprints prior to or during peer review on platforms like</w:t>
      </w:r>
      <w:r>
        <w:t xml:space="preserve"> </w:t>
      </w:r>
      <w:hyperlink r:id="rId533">
        <w:r>
          <w:rPr>
            <w:rStyle w:val="Hyperlink"/>
          </w:rPr>
          <w:t xml:space="preserve">medRxiv</w:t>
        </w:r>
      </w:hyperlink>
      <w:r>
        <w:t xml:space="preserve"> </w:t>
      </w:r>
      <w:r>
        <w:t xml:space="preserve">or</w:t>
      </w:r>
      <w:r>
        <w:t xml:space="preserve"> </w:t>
      </w:r>
      <w:hyperlink r:id="rId534">
        <w:r>
          <w:rPr>
            <w:rStyle w:val="Hyperlink"/>
          </w:rPr>
          <w:t xml:space="preserve">bioRxiv</w:t>
        </w:r>
      </w:hyperlink>
    </w:p>
    <w:p>
      <w:pPr>
        <w:pStyle w:val="Compact"/>
        <w:numPr>
          <w:ilvl w:val="0"/>
          <w:numId w:val="1181"/>
        </w:numPr>
      </w:pPr>
      <w:r>
        <w:t xml:space="preserve">Preprints allow rapid dissemination of findings and can be cited in grant applications</w:t>
      </w:r>
    </w:p>
    <w:p>
      <w:pPr>
        <w:pStyle w:val="Compact"/>
        <w:numPr>
          <w:ilvl w:val="0"/>
          <w:numId w:val="1181"/>
        </w:numPr>
      </w:pPr>
      <w:r>
        <w:t xml:space="preserve">We support publishing in open access journals when possible to maximize accessibility</w:t>
      </w:r>
    </w:p>
    <w:p>
      <w:pPr>
        <w:pStyle w:val="Compact"/>
        <w:numPr>
          <w:ilvl w:val="0"/>
          <w:numId w:val="1181"/>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33">
        <w:r>
          <w:rPr>
            <w:rStyle w:val="Hyperlink"/>
          </w:rPr>
          <w:t xml:space="preserve">medRxiv</w:t>
        </w:r>
      </w:hyperlink>
      <w:r>
        <w:t xml:space="preserve">.</w:t>
      </w:r>
    </w:p>
    <w:bookmarkEnd w:id="535"/>
    <w:bookmarkStart w:id="537" w:name="reporting-checklists"/>
    <w:p>
      <w:pPr>
        <w:pStyle w:val="Heading2"/>
      </w:pPr>
      <w:r>
        <w:t xml:space="preserve">22.3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82"/>
        </w:numPr>
      </w:pPr>
      <w:r>
        <w:t xml:space="preserve">CONSORT for randomized trials</w:t>
      </w:r>
    </w:p>
    <w:p>
      <w:pPr>
        <w:pStyle w:val="Compact"/>
        <w:numPr>
          <w:ilvl w:val="0"/>
          <w:numId w:val="1182"/>
        </w:numPr>
      </w:pPr>
      <w:r>
        <w:t xml:space="preserve">STROBE for observational studies</w:t>
      </w:r>
    </w:p>
    <w:p>
      <w:pPr>
        <w:pStyle w:val="Compact"/>
        <w:numPr>
          <w:ilvl w:val="0"/>
          <w:numId w:val="1182"/>
        </w:numPr>
      </w:pPr>
      <w:r>
        <w:t xml:space="preserve">PRISMA for systematic reviews</w:t>
      </w:r>
    </w:p>
    <w:p>
      <w:pPr>
        <w:pStyle w:val="Compact"/>
        <w:numPr>
          <w:ilvl w:val="0"/>
          <w:numId w:val="1182"/>
        </w:numPr>
      </w:pPr>
      <w:r>
        <w:t xml:space="preserve">Others as appropriate (see</w:t>
      </w:r>
      <w:r>
        <w:t xml:space="preserve"> </w:t>
      </w:r>
      <w:hyperlink r:id="rId536">
        <w:r>
          <w:rPr>
            <w:rStyle w:val="Hyperlink"/>
          </w:rPr>
          <w:t xml:space="preserve">EQUATOR Network</w:t>
        </w:r>
      </w:hyperlink>
      <w:r>
        <w:t xml:space="preserve">)</w:t>
      </w:r>
    </w:p>
    <w:bookmarkEnd w:id="537"/>
    <w:bookmarkStart w:id="538" w:name="manuscript-checklist-1"/>
    <w:p>
      <w:pPr>
        <w:pStyle w:val="Heading2"/>
      </w:pPr>
      <w:r>
        <w:t xml:space="preserve">22.4 Manuscript Checklist</w:t>
      </w:r>
    </w:p>
    <w:p>
      <w:pPr>
        <w:pStyle w:val="FirstParagraph"/>
      </w:pPr>
      <w:r>
        <w:t xml:space="preserve">Before submitting a manuscript:</w:t>
      </w:r>
    </w:p>
    <w:p>
      <w:pPr>
        <w:pStyle w:val="Compact"/>
        <w:numPr>
          <w:ilvl w:val="0"/>
          <w:numId w:val="1183"/>
        </w:numPr>
      </w:pPr>
      <w:r>
        <w:t xml:space="preserve">Completed relevant reporting checklist</w:t>
      </w:r>
    </w:p>
    <w:p>
      <w:pPr>
        <w:pStyle w:val="Compact"/>
        <w:numPr>
          <w:ilvl w:val="0"/>
          <w:numId w:val="1184"/>
        </w:numPr>
      </w:pPr>
      <w:r>
        <w:t xml:space="preserve">Results are reproducible (rerunning code replicates tables/figures exactly)</w:t>
      </w:r>
    </w:p>
    <w:p>
      <w:pPr>
        <w:pStyle w:val="Compact"/>
        <w:numPr>
          <w:ilvl w:val="0"/>
          <w:numId w:val="1185"/>
        </w:numPr>
      </w:pPr>
      <w:r>
        <w:t xml:space="preserve">Target journal selected</w:t>
      </w:r>
    </w:p>
    <w:p>
      <w:pPr>
        <w:pStyle w:val="Compact"/>
        <w:numPr>
          <w:ilvl w:val="0"/>
          <w:numId w:val="1186"/>
        </w:numPr>
      </w:pPr>
      <w:r>
        <w:t xml:space="preserve">Title is declarative and states findings clearly</w:t>
      </w:r>
    </w:p>
    <w:p>
      <w:pPr>
        <w:pStyle w:val="Compact"/>
        <w:numPr>
          <w:ilvl w:val="0"/>
          <w:numId w:val="1187"/>
        </w:numPr>
      </w:pPr>
      <w:r>
        <w:t xml:space="preserve">Word count meets journal requirements</w:t>
      </w:r>
    </w:p>
    <w:p>
      <w:pPr>
        <w:pStyle w:val="Compact"/>
        <w:numPr>
          <w:ilvl w:val="0"/>
          <w:numId w:val="1188"/>
        </w:numPr>
      </w:pPr>
      <w:r>
        <w:t xml:space="preserve">Manuscript follows journal formatting guidelines</w:t>
      </w:r>
    </w:p>
    <w:p>
      <w:pPr>
        <w:pStyle w:val="Compact"/>
        <w:numPr>
          <w:ilvl w:val="0"/>
          <w:numId w:val="1189"/>
        </w:numPr>
      </w:pPr>
      <w:r>
        <w:t xml:space="preserve">Consistent voice throughout (typically active voice)</w:t>
      </w:r>
    </w:p>
    <w:p>
      <w:pPr>
        <w:pStyle w:val="Compact"/>
        <w:numPr>
          <w:ilvl w:val="0"/>
          <w:numId w:val="1190"/>
        </w:numPr>
      </w:pPr>
      <w:r>
        <w:t xml:space="preserve">All figures and tables referenced in main text</w:t>
      </w:r>
    </w:p>
    <w:p>
      <w:pPr>
        <w:pStyle w:val="Compact"/>
        <w:numPr>
          <w:ilvl w:val="0"/>
          <w:numId w:val="1191"/>
        </w:numPr>
      </w:pPr>
      <w:r>
        <w:t xml:space="preserve">Captions for all figures and tables</w:t>
      </w:r>
    </w:p>
    <w:p>
      <w:pPr>
        <w:pStyle w:val="Compact"/>
        <w:numPr>
          <w:ilvl w:val="0"/>
          <w:numId w:val="1192"/>
        </w:numPr>
      </w:pPr>
      <w:r>
        <w:t xml:space="preserve">Tables/figures numbered by order of appearance</w:t>
      </w:r>
    </w:p>
    <w:p>
      <w:pPr>
        <w:pStyle w:val="Compact"/>
        <w:numPr>
          <w:ilvl w:val="0"/>
          <w:numId w:val="1193"/>
        </w:numPr>
      </w:pPr>
      <w:r>
        <w:t xml:space="preserve">Abbreviations defined at first use and used sparingly</w:t>
      </w:r>
    </w:p>
    <w:p>
      <w:pPr>
        <w:pStyle w:val="Compact"/>
        <w:numPr>
          <w:ilvl w:val="0"/>
          <w:numId w:val="1194"/>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5"/>
        </w:numPr>
      </w:pPr>
      <w:r>
        <w:t xml:space="preserve">Avoid directionless statements (specify direction of associations)</w:t>
      </w:r>
    </w:p>
    <w:p>
      <w:pPr>
        <w:pStyle w:val="Compact"/>
        <w:numPr>
          <w:ilvl w:val="0"/>
          <w:numId w:val="1196"/>
        </w:numPr>
      </w:pPr>
      <w:r>
        <w:t xml:space="preserve">Causal language only when supported by study design</w:t>
      </w:r>
    </w:p>
    <w:p>
      <w:pPr>
        <w:pStyle w:val="Compact"/>
        <w:numPr>
          <w:ilvl w:val="0"/>
          <w:numId w:val="1197"/>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8"/>
        </w:numPr>
      </w:pPr>
      <w:r>
        <w:t xml:space="preserve">Author contributions drafted using CRediT Taxonomy</w:t>
      </w:r>
    </w:p>
    <w:p>
      <w:r>
        <w:br w:type="page"/>
      </w:r>
    </w:p>
    <w:bookmarkEnd w:id="538"/>
    <w:bookmarkEnd w:id="539"/>
    <w:bookmarkStart w:id="619" w:name="references"/>
    <w:p>
      <w:pPr>
        <w:pStyle w:val="Heading1"/>
      </w:pPr>
      <w:r>
        <w:t xml:space="preserve">References</w:t>
      </w:r>
    </w:p>
    <w:bookmarkStart w:id="618" w:name="refs"/>
    <w:bookmarkStart w:id="541" w:name="ref-space_odyssey"/>
    <w:p>
      <w:pPr>
        <w:pStyle w:val="Bibliography"/>
      </w:pPr>
      <w:r>
        <w:t xml:space="preserve">“2001: A Space Odyssey.”</w:t>
      </w:r>
      <w:r>
        <w:t xml:space="preserve"> </w:t>
      </w:r>
      <w:r>
        <w:t xml:space="preserve">1968. Film.</w:t>
      </w:r>
      <w:r>
        <w:t xml:space="preserve"> </w:t>
      </w:r>
      <w:hyperlink r:id="rId540">
        <w:r>
          <w:rPr>
            <w:rStyle w:val="Hyperlink"/>
          </w:rPr>
          <w:t xml:space="preserve">https://en.wikipedia.org/wiki/2001:_A_Space_Odyssey_(film)</w:t>
        </w:r>
      </w:hyperlink>
      <w:r>
        <w:t xml:space="preserve">.</w:t>
      </w:r>
    </w:p>
    <w:bookmarkEnd w:id="541"/>
    <w:bookmarkStart w:id="543"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42">
        <w:r>
          <w:rPr>
            <w:rStyle w:val="Hyperlink"/>
          </w:rPr>
          <w:t xml:space="preserve">https://doi.org/10.1371/journal.pgph.0002269</w:t>
        </w:r>
      </w:hyperlink>
      <w:r>
        <w:t xml:space="preserve">.</w:t>
      </w:r>
    </w:p>
    <w:bookmarkEnd w:id="543"/>
    <w:bookmarkStart w:id="545"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44">
        <w:r>
          <w:rPr>
            <w:rStyle w:val="Hyperlink"/>
          </w:rPr>
          <w:t xml:space="preserve">https://search.library.ucdavis.edu/permalink/01UCD_INST/9fle3i/alma990000226350403126</w:t>
        </w:r>
      </w:hyperlink>
      <w:r>
        <w:t xml:space="preserve">.</w:t>
      </w:r>
    </w:p>
    <w:bookmarkEnd w:id="545"/>
    <w:bookmarkStart w:id="54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46">
        <w:r>
          <w:rPr>
            <w:rStyle w:val="Hyperlink"/>
          </w:rPr>
          <w:t xml:space="preserve">https://doi.org/10.1038/d41586-019-01431-z</w:t>
        </w:r>
      </w:hyperlink>
      <w:r>
        <w:t xml:space="preserve">.</w:t>
      </w:r>
    </w:p>
    <w:bookmarkEnd w:id="547"/>
    <w:bookmarkStart w:id="549" w:name="ref-battlestar_galactica_2004"/>
    <w:p>
      <w:pPr>
        <w:pStyle w:val="Bibliography"/>
      </w:pPr>
      <w:r>
        <w:t xml:space="preserve">“Battlestar Galactica.”</w:t>
      </w:r>
      <w:r>
        <w:t xml:space="preserve"> </w:t>
      </w:r>
      <w:r>
        <w:t xml:space="preserve">2004. Television Series.</w:t>
      </w:r>
      <w:r>
        <w:t xml:space="preserve"> </w:t>
      </w:r>
      <w:hyperlink r:id="rId548">
        <w:r>
          <w:rPr>
            <w:rStyle w:val="Hyperlink"/>
          </w:rPr>
          <w:t xml:space="preserve">https://en.wikipedia.org/wiki/Battlestar_Galactica_(2004_TV_series)</w:t>
        </w:r>
      </w:hyperlink>
      <w:r>
        <w:t xml:space="preserve">.</w:t>
      </w:r>
    </w:p>
    <w:bookmarkEnd w:id="549"/>
    <w:bookmarkStart w:id="550"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14">
        <w:r>
          <w:rPr>
            <w:rStyle w:val="Hyperlink"/>
          </w:rPr>
          <w:t xml:space="preserve">https://jadebc.github.io/lab-manual/</w:t>
        </w:r>
      </w:hyperlink>
      <w:r>
        <w:t xml:space="preserve">.</w:t>
      </w:r>
    </w:p>
    <w:bookmarkEnd w:id="550"/>
    <w:bookmarkStart w:id="552" w:name="ref-blade_runner"/>
    <w:p>
      <w:pPr>
        <w:pStyle w:val="Bibliography"/>
      </w:pPr>
      <w:r>
        <w:t xml:space="preserve">“Blade Runner.”</w:t>
      </w:r>
      <w:r>
        <w:t xml:space="preserve"> </w:t>
      </w:r>
      <w:r>
        <w:t xml:space="preserve">1982. Film.</w:t>
      </w:r>
      <w:r>
        <w:t xml:space="preserve"> </w:t>
      </w:r>
      <w:hyperlink r:id="rId551">
        <w:r>
          <w:rPr>
            <w:rStyle w:val="Hyperlink"/>
          </w:rPr>
          <w:t xml:space="preserve">https://en.wikipedia.org/wiki/Blade_Runner</w:t>
        </w:r>
      </w:hyperlink>
      <w:r>
        <w:t xml:space="preserve">.</w:t>
      </w:r>
    </w:p>
    <w:bookmarkEnd w:id="552"/>
    <w:bookmarkStart w:id="554"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53">
        <w:r>
          <w:rPr>
            <w:rStyle w:val="Hyperlink"/>
          </w:rPr>
          <w:t xml:space="preserve">https://happygitwithr.com/</w:t>
        </w:r>
      </w:hyperlink>
      <w:r>
        <w:t xml:space="preserve">.</w:t>
      </w:r>
    </w:p>
    <w:bookmarkEnd w:id="554"/>
    <w:bookmarkStart w:id="556"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55">
        <w:r>
          <w:rPr>
            <w:rStyle w:val="Hyperlink"/>
          </w:rPr>
          <w:t xml:space="preserve">https://en.wikipedia.org/wiki/Ender%27s_Game</w:t>
        </w:r>
      </w:hyperlink>
      <w:r>
        <w:t xml:space="preserve">.</w:t>
      </w:r>
    </w:p>
    <w:bookmarkEnd w:id="556"/>
    <w:bookmarkStart w:id="558"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57">
        <w:r>
          <w:rPr>
            <w:rStyle w:val="Hyperlink"/>
          </w:rPr>
          <w:t xml:space="preserve">https://doi.org/10.1038/s41467-020-19160-7</w:t>
        </w:r>
      </w:hyperlink>
      <w:r>
        <w:t xml:space="preserve">.</w:t>
      </w:r>
    </w:p>
    <w:bookmarkEnd w:id="558"/>
    <w:bookmarkStart w:id="560"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59">
        <w:r>
          <w:rPr>
            <w:rStyle w:val="Hyperlink"/>
          </w:rPr>
          <w:t xml:space="preserve">http://creativecommons.org/licenses/by-nc/4.0/</w:t>
        </w:r>
      </w:hyperlink>
      <w:r>
        <w:t xml:space="preserve">.</w:t>
      </w:r>
    </w:p>
    <w:bookmarkEnd w:id="560"/>
    <w:bookmarkStart w:id="562" w:name="ref-credit"/>
    <w:p>
      <w:pPr>
        <w:pStyle w:val="Bibliography"/>
      </w:pPr>
      <w:r>
        <w:t xml:space="preserve">“CRediT: Contributor Roles Taxonomy.”</w:t>
      </w:r>
      <w:r>
        <w:t xml:space="preserve"> </w:t>
      </w:r>
      <w:r>
        <w:t xml:space="preserve">n.d. PLOS ONE.</w:t>
      </w:r>
      <w:r>
        <w:t xml:space="preserve"> </w:t>
      </w:r>
      <w:hyperlink r:id="rId561">
        <w:r>
          <w:rPr>
            <w:rStyle w:val="Hyperlink"/>
          </w:rPr>
          <w:t xml:space="preserve">https://journals.plos.org/plosone/s/authorship</w:t>
        </w:r>
      </w:hyperlink>
      <w:r>
        <w:t xml:space="preserve">.</w:t>
      </w:r>
    </w:p>
    <w:bookmarkEnd w:id="562"/>
    <w:bookmarkStart w:id="564" w:name="ref-dryad"/>
    <w:p>
      <w:pPr>
        <w:pStyle w:val="Bibliography"/>
      </w:pPr>
      <w:r>
        <w:t xml:space="preserve">“Dryad Digital Repository.”</w:t>
      </w:r>
      <w:r>
        <w:t xml:space="preserve"> </w:t>
      </w:r>
      <w:r>
        <w:t xml:space="preserve">n.d. Dryad.</w:t>
      </w:r>
      <w:r>
        <w:t xml:space="preserve"> </w:t>
      </w:r>
      <w:hyperlink r:id="rId563">
        <w:r>
          <w:rPr>
            <w:rStyle w:val="Hyperlink"/>
          </w:rPr>
          <w:t xml:space="preserve">https://datadryad.org/</w:t>
        </w:r>
      </w:hyperlink>
      <w:r>
        <w:t xml:space="preserve">.</w:t>
      </w:r>
    </w:p>
    <w:bookmarkEnd w:id="564"/>
    <w:bookmarkStart w:id="565"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36">
        <w:r>
          <w:rPr>
            <w:rStyle w:val="Hyperlink"/>
          </w:rPr>
          <w:t xml:space="preserve">https://www.equator-network.org/</w:t>
        </w:r>
      </w:hyperlink>
      <w:r>
        <w:t xml:space="preserve">.</w:t>
      </w:r>
    </w:p>
    <w:bookmarkEnd w:id="565"/>
    <w:bookmarkStart w:id="567"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66">
        <w:r>
          <w:rPr>
            <w:rStyle w:val="Hyperlink"/>
          </w:rPr>
          <w:t xml:space="preserve">https://engineering-shiny.org/</w:t>
        </w:r>
      </w:hyperlink>
      <w:r>
        <w:t xml:space="preserve">.</w:t>
      </w:r>
    </w:p>
    <w:bookmarkEnd w:id="567"/>
    <w:bookmarkStart w:id="569"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68">
        <w:r>
          <w:rPr>
            <w:rStyle w:val="Hyperlink"/>
          </w:rPr>
          <w:t xml:space="preserve">https://www.youtube.com/watch?v=B1BdQcJ2ZYY</w:t>
        </w:r>
      </w:hyperlink>
      <w:r>
        <w:t xml:space="preserve">.</w:t>
      </w:r>
    </w:p>
    <w:bookmarkEnd w:id="569"/>
    <w:bookmarkStart w:id="571" w:name="ref-githubdesktop"/>
    <w:p>
      <w:pPr>
        <w:pStyle w:val="Bibliography"/>
      </w:pPr>
      <w:r>
        <w:t xml:space="preserve">“GitHub Desktop.”</w:t>
      </w:r>
      <w:r>
        <w:t xml:space="preserve"> </w:t>
      </w:r>
      <w:r>
        <w:t xml:space="preserve">n.d. GitHub.</w:t>
      </w:r>
      <w:r>
        <w:t xml:space="preserve"> </w:t>
      </w:r>
      <w:hyperlink r:id="rId570">
        <w:r>
          <w:rPr>
            <w:rStyle w:val="Hyperlink"/>
          </w:rPr>
          <w:t xml:space="preserve">https://desktop.github.com/</w:t>
        </w:r>
      </w:hyperlink>
      <w:r>
        <w:t xml:space="preserve">.</w:t>
      </w:r>
    </w:p>
    <w:bookmarkEnd w:id="571"/>
    <w:bookmarkStart w:id="573" w:name="ref-dune"/>
    <w:p>
      <w:pPr>
        <w:pStyle w:val="Bibliography"/>
      </w:pPr>
      <w:r>
        <w:t xml:space="preserve">Herbert, Frank. 1965.</w:t>
      </w:r>
      <w:r>
        <w:t xml:space="preserve"> </w:t>
      </w:r>
      <w:r>
        <w:t xml:space="preserve">“Dune.”</w:t>
      </w:r>
      <w:r>
        <w:t xml:space="preserve"> </w:t>
      </w:r>
      <w:r>
        <w:t xml:space="preserve">Novel.</w:t>
      </w:r>
      <w:r>
        <w:t xml:space="preserve"> </w:t>
      </w:r>
      <w:hyperlink r:id="rId572">
        <w:r>
          <w:rPr>
            <w:rStyle w:val="Hyperlink"/>
          </w:rPr>
          <w:t xml:space="preserve">https://en.wikipedia.org/wiki/Organizations_of_the_Dune_universe#Thinking_machines</w:t>
        </w:r>
      </w:hyperlink>
      <w:r>
        <w:t xml:space="preserve">.</w:t>
      </w:r>
    </w:p>
    <w:bookmarkEnd w:id="573"/>
    <w:bookmarkStart w:id="575" w:name="ref-plos_data"/>
    <w:p>
      <w:pPr>
        <w:pStyle w:val="Bibliography"/>
      </w:pPr>
      <w:r>
        <w:t xml:space="preserve">“How to Store and Manage Your Data.”</w:t>
      </w:r>
      <w:r>
        <w:t xml:space="preserve"> </w:t>
      </w:r>
      <w:r>
        <w:t xml:space="preserve">n.d. PLOS.</w:t>
      </w:r>
      <w:r>
        <w:t xml:space="preserve"> </w:t>
      </w:r>
      <w:hyperlink r:id="rId574">
        <w:r>
          <w:rPr>
            <w:rStyle w:val="Hyperlink"/>
          </w:rPr>
          <w:t xml:space="preserve">https://plos.org/resource/how-to-store-and-manage-your-data/</w:t>
        </w:r>
      </w:hyperlink>
      <w:r>
        <w:t xml:space="preserve">.</w:t>
      </w:r>
    </w:p>
    <w:bookmarkEnd w:id="575"/>
    <w:bookmarkStart w:id="57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76"/>
    <w:bookmarkStart w:id="577" w:name="ref-medRxiv"/>
    <w:p>
      <w:pPr>
        <w:pStyle w:val="Bibliography"/>
      </w:pPr>
      <w:r>
        <w:t xml:space="preserve">“medRxiv: The Preprint Server for Health Sciences.”</w:t>
      </w:r>
      <w:r>
        <w:t xml:space="preserve"> </w:t>
      </w:r>
      <w:r>
        <w:t xml:space="preserve">n.d. Cold Spring Harbor Laboratory.</w:t>
      </w:r>
      <w:r>
        <w:t xml:space="preserve"> </w:t>
      </w:r>
      <w:hyperlink r:id="rId533">
        <w:r>
          <w:rPr>
            <w:rStyle w:val="Hyperlink"/>
          </w:rPr>
          <w:t xml:space="preserve">https://www.medrxiv.org/</w:t>
        </w:r>
      </w:hyperlink>
      <w:r>
        <w:t xml:space="preserve">.</w:t>
      </w:r>
    </w:p>
    <w:bookmarkEnd w:id="577"/>
    <w:bookmarkStart w:id="57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78">
        <w:r>
          <w:rPr>
            <w:rStyle w:val="Hyperlink"/>
          </w:rPr>
          <w:t xml:space="preserve">https://doi.org/10.1038/467775a</w:t>
        </w:r>
      </w:hyperlink>
      <w:r>
        <w:t xml:space="preserve">.</w:t>
      </w:r>
    </w:p>
    <w:bookmarkEnd w:id="579"/>
    <w:bookmarkStart w:id="581"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80">
        <w:r>
          <w:rPr>
            <w:rStyle w:val="Hyperlink"/>
          </w:rPr>
          <w:t xml:space="preserve">https://doi.org/10.1038/s41562-016-0021</w:t>
        </w:r>
      </w:hyperlink>
      <w:r>
        <w:t xml:space="preserve">.</w:t>
      </w:r>
    </w:p>
    <w:bookmarkEnd w:id="581"/>
    <w:bookmarkStart w:id="58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82">
        <w:r>
          <w:rPr>
            <w:rStyle w:val="Hyperlink"/>
          </w:rPr>
          <w:t xml:space="preserve">https://doi.org/10.1038/526182a</w:t>
        </w:r>
      </w:hyperlink>
      <w:r>
        <w:t xml:space="preserve">.</w:t>
      </w:r>
    </w:p>
    <w:bookmarkEnd w:id="583"/>
    <w:bookmarkStart w:id="585" w:name="ref-osf"/>
    <w:p>
      <w:pPr>
        <w:pStyle w:val="Bibliography"/>
      </w:pPr>
      <w:r>
        <w:t xml:space="preserve">“Open Science Framework.”</w:t>
      </w:r>
      <w:r>
        <w:t xml:space="preserve"> </w:t>
      </w:r>
      <w:r>
        <w:t xml:space="preserve">n.d. Center for Open Science.</w:t>
      </w:r>
      <w:r>
        <w:t xml:space="preserve"> </w:t>
      </w:r>
      <w:hyperlink r:id="rId584">
        <w:r>
          <w:rPr>
            <w:rStyle w:val="Hyperlink"/>
          </w:rPr>
          <w:t xml:space="preserve">https://osf.io/</w:t>
        </w:r>
      </w:hyperlink>
      <w:r>
        <w:t xml:space="preserve">.</w:t>
      </w:r>
    </w:p>
    <w:bookmarkEnd w:id="585"/>
    <w:bookmarkStart w:id="587" w:name="ref-gitfixum"/>
    <w:p>
      <w:pPr>
        <w:pStyle w:val="Bibliography"/>
      </w:pPr>
      <w:r>
        <w:t xml:space="preserve">Robertson, Seth. n.d.</w:t>
      </w:r>
      <w:r>
        <w:t xml:space="preserve"> </w:t>
      </w:r>
      <w:r>
        <w:t xml:space="preserve">“On Undoing, Fixing, or Removing Commits in Git.”</w:t>
      </w:r>
      <w:r>
        <w:t xml:space="preserve"> </w:t>
      </w:r>
      <w:hyperlink r:id="rId586">
        <w:r>
          <w:rPr>
            <w:rStyle w:val="Hyperlink"/>
          </w:rPr>
          <w:t xml:space="preserve">https://sethrobertson.github.io/GitFixUm/fixup.html</w:t>
        </w:r>
      </w:hyperlink>
      <w:r>
        <w:t xml:space="preserve">.</w:t>
      </w:r>
    </w:p>
    <w:bookmarkEnd w:id="587"/>
    <w:bookmarkStart w:id="58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88">
        <w:r>
          <w:rPr>
            <w:rStyle w:val="Hyperlink"/>
          </w:rPr>
          <w:t xml:space="preserve">https://doi.org/10.1371/journal.pcbi.1003833</w:t>
        </w:r>
      </w:hyperlink>
      <w:r>
        <w:t xml:space="preserve">.</w:t>
      </w:r>
    </w:p>
    <w:bookmarkEnd w:id="589"/>
    <w:bookmarkStart w:id="59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90">
        <w:r>
          <w:rPr>
            <w:rStyle w:val="Hyperlink"/>
          </w:rPr>
          <w:t xml:space="preserve">https://doi.org/10.1038/d41586-019-02918-5</w:t>
        </w:r>
      </w:hyperlink>
      <w:r>
        <w:t xml:space="preserve">.</w:t>
      </w:r>
    </w:p>
    <w:bookmarkEnd w:id="591"/>
    <w:bookmarkStart w:id="593" w:name="ref-slurm"/>
    <w:p>
      <w:pPr>
        <w:pStyle w:val="Bibliography"/>
      </w:pPr>
      <w:r>
        <w:t xml:space="preserve">“Slurm Workload Manager: Sbatch Documentation.”</w:t>
      </w:r>
      <w:r>
        <w:t xml:space="preserve"> </w:t>
      </w:r>
      <w:r>
        <w:t xml:space="preserve">n.d. SchedMD.</w:t>
      </w:r>
      <w:r>
        <w:t xml:space="preserve"> </w:t>
      </w:r>
      <w:hyperlink r:id="rId592">
        <w:r>
          <w:rPr>
            <w:rStyle w:val="Hyperlink"/>
          </w:rPr>
          <w:t xml:space="preserve">https://slurm.schedmd.com/sbatch.html</w:t>
        </w:r>
      </w:hyperlink>
      <w:r>
        <w:t xml:space="preserve">.</w:t>
      </w:r>
    </w:p>
    <w:bookmarkEnd w:id="593"/>
    <w:bookmarkStart w:id="595"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94">
        <w:r>
          <w:rPr>
            <w:rStyle w:val="Hyperlink"/>
          </w:rPr>
          <w:t xml:space="preserve">https://doi.org/10.1038/d41586-019-00067-3</w:t>
        </w:r>
      </w:hyperlink>
      <w:r>
        <w:t xml:space="preserve">.</w:t>
      </w:r>
    </w:p>
    <w:bookmarkEnd w:id="595"/>
    <w:bookmarkStart w:id="597" w:name="ref-terminator"/>
    <w:p>
      <w:pPr>
        <w:pStyle w:val="Bibliography"/>
      </w:pPr>
      <w:r>
        <w:t xml:space="preserve">“Terminator 3: Rise of the Machines.”</w:t>
      </w:r>
      <w:r>
        <w:t xml:space="preserve"> </w:t>
      </w:r>
      <w:r>
        <w:t xml:space="preserve">2003. Film.</w:t>
      </w:r>
      <w:r>
        <w:t xml:space="preserve"> </w:t>
      </w:r>
      <w:hyperlink r:id="rId596">
        <w:r>
          <w:rPr>
            <w:rStyle w:val="Hyperlink"/>
          </w:rPr>
          <w:t xml:space="preserve">https://en.wikipedia.org/wiki/Terminator_3:_Rise_of_the_Machines</w:t>
        </w:r>
      </w:hyperlink>
      <w:r>
        <w:t xml:space="preserve">.</w:t>
      </w:r>
    </w:p>
    <w:bookmarkEnd w:id="597"/>
    <w:bookmarkStart w:id="599" w:name="ref-matrix"/>
    <w:p>
      <w:pPr>
        <w:pStyle w:val="Bibliography"/>
      </w:pPr>
      <w:r>
        <w:t xml:space="preserve">“The Matrix.”</w:t>
      </w:r>
      <w:r>
        <w:t xml:space="preserve"> </w:t>
      </w:r>
      <w:r>
        <w:t xml:space="preserve">1999. Film.</w:t>
      </w:r>
      <w:r>
        <w:t xml:space="preserve"> </w:t>
      </w:r>
      <w:hyperlink r:id="rId598">
        <w:r>
          <w:rPr>
            <w:rStyle w:val="Hyperlink"/>
          </w:rPr>
          <w:t xml:space="preserve">https://en.wikipedia.org/wiki/The_Matrix</w:t>
        </w:r>
      </w:hyperlink>
      <w:r>
        <w:t xml:space="preserve">.</w:t>
      </w:r>
    </w:p>
    <w:bookmarkEnd w:id="599"/>
    <w:bookmarkStart w:id="60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00">
        <w:r>
          <w:rPr>
            <w:rStyle w:val="Hyperlink"/>
          </w:rPr>
          <w:t xml:space="preserve">https://code-review.tidyverse.org/</w:t>
        </w:r>
      </w:hyperlink>
      <w:r>
        <w:t xml:space="preserve">.</w:t>
      </w:r>
    </w:p>
    <w:bookmarkEnd w:id="601"/>
    <w:bookmarkStart w:id="60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02">
        <w:r>
          <w:rPr>
            <w:rStyle w:val="Hyperlink"/>
          </w:rPr>
          <w:t xml:space="preserve">https://doi.org/10.1038/d41586-021-03603-2</w:t>
        </w:r>
      </w:hyperlink>
      <w:r>
        <w:t xml:space="preserve">.</w:t>
      </w:r>
    </w:p>
    <w:bookmarkEnd w:id="603"/>
    <w:bookmarkStart w:id="605" w:name="ref-wargames"/>
    <w:p>
      <w:pPr>
        <w:pStyle w:val="Bibliography"/>
      </w:pPr>
      <w:r>
        <w:t xml:space="preserve">“WarGames.”</w:t>
      </w:r>
      <w:r>
        <w:t xml:space="preserve"> </w:t>
      </w:r>
      <w:r>
        <w:t xml:space="preserve">1983. Film.</w:t>
      </w:r>
      <w:r>
        <w:t xml:space="preserve"> </w:t>
      </w:r>
      <w:hyperlink r:id="rId604">
        <w:r>
          <w:rPr>
            <w:rStyle w:val="Hyperlink"/>
          </w:rPr>
          <w:t xml:space="preserve">https://en.wikipedia.org/wiki/WarGames</w:t>
        </w:r>
      </w:hyperlink>
      <w:r>
        <w:t xml:space="preserve">.</w:t>
      </w:r>
    </w:p>
    <w:bookmarkEnd w:id="605"/>
    <w:bookmarkStart w:id="60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06">
        <w:r>
          <w:rPr>
            <w:rStyle w:val="Hyperlink"/>
          </w:rPr>
          <w:t xml:space="preserve">https://adv-r.hadley.nz/</w:t>
        </w:r>
      </w:hyperlink>
      <w:r>
        <w:t xml:space="preserve">.</w:t>
      </w:r>
    </w:p>
    <w:bookmarkEnd w:id="607"/>
    <w:bookmarkStart w:id="609" w:name="ref-wickham2021shiny"/>
    <w:p>
      <w:pPr>
        <w:pStyle w:val="Bibliography"/>
      </w:pPr>
      <w:r>
        <w:t xml:space="preserve">———. 2021.</w:t>
      </w:r>
      <w:r>
        <w:t xml:space="preserve"> </w:t>
      </w:r>
      <w:r>
        <w:rPr>
          <w:i/>
          <w:iCs/>
        </w:rPr>
        <w:t xml:space="preserve">Mastering Shiny</w:t>
      </w:r>
      <w:r>
        <w:t xml:space="preserve">. O’Reilly Media.</w:t>
      </w:r>
      <w:r>
        <w:t xml:space="preserve"> </w:t>
      </w:r>
      <w:hyperlink r:id="rId608">
        <w:r>
          <w:rPr>
            <w:rStyle w:val="Hyperlink"/>
          </w:rPr>
          <w:t xml:space="preserve">https://mastering-shiny.org/</w:t>
        </w:r>
      </w:hyperlink>
      <w:r>
        <w:t xml:space="preserve">.</w:t>
      </w:r>
    </w:p>
    <w:bookmarkEnd w:id="609"/>
    <w:bookmarkStart w:id="610"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610"/>
    <w:bookmarkStart w:id="612" w:name="ref-wickham2023tidydesign"/>
    <w:p>
      <w:pPr>
        <w:pStyle w:val="Bibliography"/>
      </w:pPr>
      <w:r>
        <w:t xml:space="preserve">———. 2023b.</w:t>
      </w:r>
      <w:r>
        <w:t xml:space="preserve"> </w:t>
      </w:r>
      <w:r>
        <w:rPr>
          <w:i/>
          <w:iCs/>
        </w:rPr>
        <w:t xml:space="preserve">Tidyverse Design Guide</w:t>
      </w:r>
      <w:r>
        <w:t xml:space="preserve">.</w:t>
      </w:r>
      <w:r>
        <w:t xml:space="preserve"> </w:t>
      </w:r>
      <w:hyperlink r:id="rId611">
        <w:r>
          <w:rPr>
            <w:rStyle w:val="Hyperlink"/>
          </w:rPr>
          <w:t xml:space="preserve">https://design.tidyverse.org/</w:t>
        </w:r>
      </w:hyperlink>
      <w:r>
        <w:t xml:space="preserve">.</w:t>
      </w:r>
    </w:p>
    <w:bookmarkEnd w:id="612"/>
    <w:bookmarkStart w:id="61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13">
        <w:r>
          <w:rPr>
            <w:rStyle w:val="Hyperlink"/>
          </w:rPr>
          <w:t xml:space="preserve">https://r-pkgs.org/</w:t>
        </w:r>
      </w:hyperlink>
      <w:r>
        <w:t xml:space="preserve">.</w:t>
      </w:r>
    </w:p>
    <w:bookmarkEnd w:id="614"/>
    <w:bookmarkStart w:id="61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15">
        <w:r>
          <w:rPr>
            <w:rStyle w:val="Hyperlink"/>
          </w:rPr>
          <w:t xml:space="preserve">https://r4ds.hadley.nz/</w:t>
        </w:r>
      </w:hyperlink>
      <w:r>
        <w:t xml:space="preserve">.</w:t>
      </w:r>
    </w:p>
    <w:bookmarkEnd w:id="616"/>
    <w:bookmarkStart w:id="61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17"/>
    <w:bookmarkEnd w:id="618"/>
    <w:bookmarkEnd w:id="6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4" Target="media/rId424.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18" Target="media/rId418.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91" Target="http://adv-r.had.co.nz/Style.html" TargetMode="External" /><Relationship Type="http://schemas.openxmlformats.org/officeDocument/2006/relationships/hyperlink" Id="rId522" Target="http://colorbrewer2.org/" TargetMode="External" /><Relationship Type="http://schemas.openxmlformats.org/officeDocument/2006/relationships/hyperlink" Id="rId559"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79"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606"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600" Target="https://code-review.tidyverse.org/" TargetMode="External" /><Relationship Type="http://schemas.openxmlformats.org/officeDocument/2006/relationships/hyperlink" Id="rId450" Target="https://cran.r-project.org/package=assertthat"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63" Target="https://datadryad.org/" TargetMode="External" /><Relationship Type="http://schemas.openxmlformats.org/officeDocument/2006/relationships/hyperlink" Id="rId611" Target="https://design.tidyverse.org/" TargetMode="External" /><Relationship Type="http://schemas.openxmlformats.org/officeDocument/2006/relationships/hyperlink" Id="rId570"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35" Target="https://docs.github.com/en/copilot/how-tos/use-copilot-agents/coding-agent/customize-the-agent-environment#preinstalling-tools-or-dependencies-in-copilots-environment" TargetMode="External" /><Relationship Type="http://schemas.openxmlformats.org/officeDocument/2006/relationships/hyperlink" Id="rId430" Target="https://docs.github.com/en/copilot/how-tos/use-copilot-agents/coding-agent/customize-the-agent-firewall" TargetMode="External" /><Relationship Type="http://schemas.openxmlformats.org/officeDocument/2006/relationships/hyperlink" Id="rId428"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505" Target="https://docs.google.com/document/d/1ckgRCcr7FFPyymyMA6Y_-cB_vftOyrrxT28c6gRg0PI/edit" TargetMode="External" /><Relationship Type="http://schemas.openxmlformats.org/officeDocument/2006/relationships/hyperlink" Id="rId448" Target="https://docs.ropensci.org/targets/" TargetMode="External" /><Relationship Type="http://schemas.openxmlformats.org/officeDocument/2006/relationships/hyperlink" Id="rId578" Target="https://doi.org/10.1038/467775a" TargetMode="External" /><Relationship Type="http://schemas.openxmlformats.org/officeDocument/2006/relationships/hyperlink" Id="rId582" Target="https://doi.org/10.1038/526182a" TargetMode="External" /><Relationship Type="http://schemas.openxmlformats.org/officeDocument/2006/relationships/hyperlink" Id="rId594" Target="https://doi.org/10.1038/d41586-019-00067-3" TargetMode="External" /><Relationship Type="http://schemas.openxmlformats.org/officeDocument/2006/relationships/hyperlink" Id="rId546" Target="https://doi.org/10.1038/d41586-019-01431-z" TargetMode="External" /><Relationship Type="http://schemas.openxmlformats.org/officeDocument/2006/relationships/hyperlink" Id="rId590" Target="https://doi.org/10.1038/d41586-019-02918-5" TargetMode="External" /><Relationship Type="http://schemas.openxmlformats.org/officeDocument/2006/relationships/hyperlink" Id="rId602" Target="https://doi.org/10.1038/d41586-021-03603-2" TargetMode="External" /><Relationship Type="http://schemas.openxmlformats.org/officeDocument/2006/relationships/hyperlink" Id="rId557" Target="https://doi.org/10.1038/s41467-020-19160-7" TargetMode="External" /><Relationship Type="http://schemas.openxmlformats.org/officeDocument/2006/relationships/hyperlink" Id="rId580" Target="https://doi.org/10.1038/s41562-016-0021" TargetMode="External" /><Relationship Type="http://schemas.openxmlformats.org/officeDocument/2006/relationships/hyperlink" Id="rId588" Target="https://doi.org/10.1371/journal.pcbi.1003833" TargetMode="External" /><Relationship Type="http://schemas.openxmlformats.org/officeDocument/2006/relationships/hyperlink" Id="rId542"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40"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1" Target="https://en.wikipedia.org/wiki/Agent_(The_Matrix)" TargetMode="External" /><Relationship Type="http://schemas.openxmlformats.org/officeDocument/2006/relationships/hyperlink" Id="rId548" Target="https://en.wikipedia.org/wiki/Battlestar_Galactica_(2004_TV_series)" TargetMode="External" /><Relationship Type="http://schemas.openxmlformats.org/officeDocument/2006/relationships/hyperlink" Id="rId551" Target="https://en.wikipedia.org/wiki/Blade_Runner" TargetMode="External" /><Relationship Type="http://schemas.openxmlformats.org/officeDocument/2006/relationships/hyperlink" Id="rId555" Target="https://en.wikipedia.org/wiki/Ender%27s_Game" TargetMode="External" /><Relationship Type="http://schemas.openxmlformats.org/officeDocument/2006/relationships/hyperlink" Id="rId572" Target="https://en.wikipedia.org/wiki/Organizations_of_the_Dune_universe#Thinking_machines" TargetMode="External" /><Relationship Type="http://schemas.openxmlformats.org/officeDocument/2006/relationships/hyperlink" Id="rId596" Target="https://en.wikipedia.org/wiki/Terminator_3:_Rise_of_the_Machines" TargetMode="External" /><Relationship Type="http://schemas.openxmlformats.org/officeDocument/2006/relationships/hyperlink" Id="rId598"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604" Target="https://en.wikipedia.org/wiki/WarGames" TargetMode="External" /><Relationship Type="http://schemas.openxmlformats.org/officeDocument/2006/relationships/hyperlink" Id="rId566" Target="https://engineering-shiny.org/" TargetMode="External" /><Relationship Type="http://schemas.openxmlformats.org/officeDocument/2006/relationships/hyperlink" Id="rId446" Target="https://forcats.tidyverse.org/" TargetMode="External" /><Relationship Type="http://schemas.openxmlformats.org/officeDocument/2006/relationships/hyperlink" Id="rId440" Target="https://ggplot2.tidyverse.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34"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95" Target="https://github.com/skills/introduction-to-github" TargetMode="External" /><Relationship Type="http://schemas.openxmlformats.org/officeDocument/2006/relationships/hyperlink" Id="rId527" Target="https://grants.nih.gov" TargetMode="External" /><Relationship Type="http://schemas.openxmlformats.org/officeDocument/2006/relationships/hyperlink" Id="rId526" Target="https://grantwriting.stanford.edu/funding-train/" TargetMode="External" /><Relationship Type="http://schemas.openxmlformats.org/officeDocument/2006/relationships/hyperlink" Id="rId507" Target="https://grantwriting.stanford.edu/funding-train/#ep" TargetMode="External" /><Relationship Type="http://schemas.openxmlformats.org/officeDocument/2006/relationships/hyperlink" Id="rId553"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14" Target="https://jadebc.github.io/lab-manual/" TargetMode="External" /><Relationship Type="http://schemas.openxmlformats.org/officeDocument/2006/relationships/hyperlink" Id="rId473"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83"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77" Target="https://journals.lww.com/epidem/Fulltext/2001/05000/The_Value_of_P.2.aspx" TargetMode="External" /><Relationship Type="http://schemas.openxmlformats.org/officeDocument/2006/relationships/hyperlink" Id="rId524" Target="https://journals.plos.org/ploscompbiol/article?id=10.1371/journal.pcbi.1003833" TargetMode="External" /><Relationship Type="http://schemas.openxmlformats.org/officeDocument/2006/relationships/hyperlink" Id="rId561" Target="https://journals.plos.org/plosone/s/authorship" TargetMode="External" /><Relationship Type="http://schemas.openxmlformats.org/officeDocument/2006/relationships/hyperlink" Id="rId498" Target="https://link.springer.com/book/10.1007/978-3-030-98175-4" TargetMode="External" /><Relationship Type="http://schemas.openxmlformats.org/officeDocument/2006/relationships/hyperlink" Id="rId511"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608" Target="https://mastering-shiny.org/" TargetMode="External" /><Relationship Type="http://schemas.openxmlformats.org/officeDocument/2006/relationships/hyperlink" Id="rId523" Target="https://medialab.github.io/iwanthue/" TargetMode="External" /><Relationship Type="http://schemas.openxmlformats.org/officeDocument/2006/relationships/hyperlink" Id="rId480"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503" Target="https://mitcommlab.mit.edu/be/2023/09/27/toward-an-evenbetterposter-improving-the-betterposter-template/" TargetMode="External" /><Relationship Type="http://schemas.openxmlformats.org/officeDocument/2006/relationships/hyperlink" Id="rId516" Target="https://myidp.sciencecareers.org/" TargetMode="External" /><Relationship Type="http://schemas.openxmlformats.org/officeDocument/2006/relationships/hyperlink" Id="rId584"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74"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443" Target="https://purrr.tidyverse.org/"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613" Target="https://r-pkgs.org/" TargetMode="External" /><Relationship Type="http://schemas.openxmlformats.org/officeDocument/2006/relationships/hyperlink" Id="rId615"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449" Target="https://rdatatable.gitlab.io/data.table/" TargetMode="External" /><Relationship Type="http://schemas.openxmlformats.org/officeDocument/2006/relationships/hyperlink" Id="rId442" Target="https://readr.tidyverse.org/"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447" Target="https://rstudio.github.io/renv/"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88" Target="https://s3.amazonaws.com/assets.datacamp.com/blog_assets/datatable_Cheat_Sheet_R.pdf" TargetMode="External" /><Relationship Type="http://schemas.openxmlformats.org/officeDocument/2006/relationships/hyperlink" Id="rId544"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86" Target="https://sethrobertson.github.io/GitFixUm/fixup.html" TargetMode="External" /><Relationship Type="http://schemas.openxmlformats.org/officeDocument/2006/relationships/hyperlink" Id="rId592"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445" Target="https://stringr.tidyverse.org/"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444" Target="https://tibble.tidyverse.org/" TargetMode="External" /><Relationship Type="http://schemas.openxmlformats.org/officeDocument/2006/relationships/hyperlink" Id="rId441" Target="https://tidyr.tidyverse.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84"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75"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34"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36" Target="https://www.equator-network.org/" TargetMode="External" /><Relationship Type="http://schemas.openxmlformats.org/officeDocument/2006/relationships/hyperlink" Id="rId510"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33" Target="https://www.medrxiv.org/" TargetMode="External" /><Relationship Type="http://schemas.openxmlformats.org/officeDocument/2006/relationships/hyperlink" Id="rId519" Target="https://www.nature.com/articles/d41586-021-03603-2" TargetMode="External" /><Relationship Type="http://schemas.openxmlformats.org/officeDocument/2006/relationships/hyperlink" Id="rId508"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86" Target="https://www.rstudio.com/wp-content/uploads/2015/02/data-wrangling-cheatsheet.pdf" TargetMode="External" /><Relationship Type="http://schemas.openxmlformats.org/officeDocument/2006/relationships/hyperlink" Id="rId489" Target="https://www.rstudio.com/wp-content/uploads/2015/02/rmarkdown-cheatsheet.pdf" TargetMode="External" /><Relationship Type="http://schemas.openxmlformats.org/officeDocument/2006/relationships/hyperlink" Id="rId487" Target="https://www.rstudio.com/wp-content/uploads/2015/03/ggplot2-cheatsheet.pdf" TargetMode="External" /><Relationship Type="http://schemas.openxmlformats.org/officeDocument/2006/relationships/hyperlink" Id="rId501" Target="https://www.sciencedirect.com/science/article/pii/S1471491423000928" TargetMode="External" /><Relationship Type="http://schemas.openxmlformats.org/officeDocument/2006/relationships/hyperlink" Id="rId517" Target="https://www.training.nih.gov/career-services/" TargetMode="External" /><Relationship Type="http://schemas.openxmlformats.org/officeDocument/2006/relationships/hyperlink" Id="rId520" Target="https://www.youtube.com/watch?v=1RwJbhkCA58" TargetMode="External" /><Relationship Type="http://schemas.openxmlformats.org/officeDocument/2006/relationships/hyperlink" Id="rId502" Target="https://www.youtube.com/watch?v=1RwJbhkCA58&amp;t=1171s" TargetMode="External" /><Relationship Type="http://schemas.openxmlformats.org/officeDocument/2006/relationships/hyperlink" Id="rId568"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99"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2026-01-12T18:54:32Z</dcterms:created>
  <dcterms:modified xsi:type="dcterms:W3CDTF">2026-01-12T18:54:32Z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