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8.png" ContentType="image/png"/>
  <Override PartName="/word/media/rId227.png" ContentType="image/png"/>
  <Override PartName="/word/media/rId386.png" ContentType="image/png"/>
  <Override PartName="/word/media/rId254.png" ContentType="image/png"/>
  <Override PartName="/word/media/rId284.jpg" ContentType="image/jpeg"/>
  <Override PartName="/word/media/rId288.png" ContentType="image/png"/>
  <Override PartName="/word/media/rId3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2026-01-11</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t xml:space="preserve">(</w:t>
      </w:r>
      <w:r>
        <w:rPr>
          <w:b/>
          <w:bCs/>
        </w:rPr>
        <w:t xml:space="preserve">title?</w:t>
      </w:r>
      <w:r>
        <w:t xml:space="preserve">)</w:t>
      </w:r>
      <w:r>
        <w:t xml:space="preserve">,</w:t>
      </w:r>
      <w:r>
        <w:t xml:space="preserve"> </w:t>
      </w:r>
      <w:r>
        <w:t xml:space="preserve">(</w:t>
      </w:r>
      <w:r>
        <w:rPr>
          <w:b/>
          <w:bCs/>
        </w:rPr>
        <w:t xml:space="preserve">description?</w:t>
      </w:r>
      <w:r>
        <w:t xml:space="preserve">)</w:t>
      </w:r>
      <w:r>
        <w:t xml:space="preserve">,</w:t>
      </w:r>
      <w:r>
        <w:t xml:space="preserve"> </w:t>
      </w:r>
      <w:r>
        <w:t xml:space="preserve">(</w:t>
      </w:r>
      <w:r>
        <w:rPr>
          <w:b/>
          <w:bCs/>
        </w:rPr>
        <w:t xml:space="preserve">param?</w:t>
      </w:r>
      <w:r>
        <w:t xml:space="preserve">)</w:t>
      </w:r>
      <w:r>
        <w:t xml:space="preserve">,</w:t>
      </w:r>
      <w:r>
        <w:t xml:space="preserve"> </w:t>
      </w:r>
      <w:r>
        <w:t xml:space="preserve">(</w:t>
      </w:r>
      <w:r>
        <w:rPr>
          <w:b/>
          <w:bCs/>
        </w:rPr>
        <w:t xml:space="preserve">returns?</w:t>
      </w:r>
      <w:r>
        <w:t xml:space="preserve">)</w:t>
      </w:r>
      <w:r>
        <w:t xml:space="preserve">,</w:t>
      </w:r>
      <w:r>
        <w:t xml:space="preserve"> </w:t>
      </w:r>
      <w:r>
        <w:t xml:space="preserve">(</w:t>
      </w:r>
      <w:r>
        <w:rPr>
          <w:b/>
          <w:bCs/>
        </w:rPr>
        <w:t xml:space="preserve">examples?</w:t>
      </w:r>
      <w:r>
        <w:t xml:space="preserve">)</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2"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5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7"/>
    <w:bookmarkStart w:id="25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8"/>
    <w:bookmarkEnd w:id="259"/>
    <w:bookmarkStart w:id="26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0"/>
    <w:bookmarkEnd w:id="261"/>
    <w:bookmarkEnd w:id="262"/>
    <w:bookmarkStart w:id="282" w:name="sec-github"/>
    <w:p>
      <w:pPr>
        <w:pStyle w:val="Heading1"/>
      </w:pPr>
      <w:r>
        <w:t xml:space="preserve">10. Github</w:t>
      </w:r>
    </w:p>
    <w:p>
      <w:pPr>
        <w:pStyle w:val="FirstParagraph"/>
      </w:pPr>
      <w:r>
        <w:t xml:space="preserve">Adapted by UCD-SeRG team from</w:t>
      </w:r>
      <w:r>
        <w:t xml:space="preserve"> </w:t>
      </w:r>
      <w:hyperlink r:id="rId263">
        <w:r>
          <w:rPr>
            <w:rStyle w:val="Hyperlink"/>
          </w:rPr>
          <w:t xml:space="preserve">original by Stephanie Djajadi and Nolan Pokpongkiat</w:t>
        </w:r>
      </w:hyperlink>
    </w:p>
    <w:bookmarkStart w:id="266" w:name="basics"/>
    <w:p>
      <w:pPr>
        <w:pStyle w:val="Heading2"/>
      </w:pPr>
      <w:r>
        <w:t xml:space="preserve">10.1 Basics</w:t>
      </w:r>
    </w:p>
    <w:p>
      <w:pPr>
        <w:pStyle w:val="Compact"/>
        <w:numPr>
          <w:ilvl w:val="0"/>
          <w:numId w:val="1065"/>
        </w:numPr>
      </w:pPr>
      <w:r>
        <w:t xml:space="preserve">A detailed tutorial of Git can be found</w:t>
      </w:r>
      <w:r>
        <w:t xml:space="preserve"> </w:t>
      </w:r>
      <w:hyperlink r:id="rId264">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4">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5">
        <w:r>
          <w:rPr>
            <w:rStyle w:val="Hyperlink"/>
          </w:rPr>
          <w:t xml:space="preserve">article</w:t>
        </w:r>
      </w:hyperlink>
      <w:r>
        <w:t xml:space="preserve"> </w:t>
      </w:r>
      <w:r>
        <w:t xml:space="preserve">to undo, fix, or remove commits in git.</w:t>
      </w:r>
    </w:p>
    <w:bookmarkEnd w:id="266"/>
    <w:bookmarkStart w:id="268"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7">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8"/>
    <w:bookmarkStart w:id="270"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69">
        <w:r>
          <w:rPr>
            <w:rStyle w:val="Hyperlink"/>
          </w:rPr>
          <w:t xml:space="preserve">here</w:t>
        </w:r>
      </w:hyperlink>
      <w:r>
        <w:t xml:space="preserve">. You can also find instructions on how to handle merge conflicts when joining branches together.</w:t>
      </w:r>
    </w:p>
    <w:bookmarkEnd w:id="270"/>
    <w:bookmarkStart w:id="272"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1">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72"/>
    <w:bookmarkStart w:id="273"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73"/>
    <w:bookmarkStart w:id="274"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4"/>
    <w:bookmarkStart w:id="278"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5"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5"/>
    <w:bookmarkStart w:id="277"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6">
        <w:r>
          <w:rPr>
            <w:rStyle w:val="Hyperlink"/>
          </w:rPr>
          <w:t xml:space="preserve">Repeated Amend chapter</w:t>
        </w:r>
      </w:hyperlink>
      <w:r>
        <w:t xml:space="preserve"> </w:t>
      </w:r>
      <w:r>
        <w:t xml:space="preserve">in Happy Git with R.</w:t>
      </w:r>
    </w:p>
    <w:bookmarkEnd w:id="277"/>
    <w:bookmarkEnd w:id="278"/>
    <w:bookmarkStart w:id="281"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7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0">
        <w:r>
          <w:rPr>
            <w:rStyle w:val="Hyperlink"/>
          </w:rPr>
          <w:t xml:space="preserve">great discussion of project-oriented workflows</w:t>
        </w:r>
      </w:hyperlink>
      <w:r>
        <w:t xml:space="preserve">, extolling the virtues of a self-contained, portable projects, for your reference.</w:t>
      </w:r>
    </w:p>
    <w:bookmarkEnd w:id="281"/>
    <w:bookmarkEnd w:id="282"/>
    <w:bookmarkStart w:id="301" w:name="sec-unix"/>
    <w:p>
      <w:pPr>
        <w:pStyle w:val="Heading1"/>
      </w:pPr>
      <w:r>
        <w:t xml:space="preserve">11. Unix</w:t>
      </w:r>
    </w:p>
    <w:p>
      <w:pPr>
        <w:pStyle w:val="FirstParagraph"/>
      </w:pPr>
      <w:r>
        <w:t xml:space="preserve">Adapted by UCD-SeRG team from</w:t>
      </w:r>
      <w:r>
        <w:t xml:space="preserve"> </w:t>
      </w:r>
      <w:hyperlink r:id="rId283">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87"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85" name="Picture"/>
            <a:graphic>
              <a:graphicData uri="http://schemas.openxmlformats.org/drawingml/2006/picture">
                <pic:pic>
                  <pic:nvPicPr>
                    <pic:cNvPr descr="assets/images/ex-desktop.jpg" id="286" name="Picture"/>
                    <pic:cNvPicPr>
                      <a:picLocks noChangeArrowheads="1" noChangeAspect="1"/>
                    </pic:cNvPicPr>
                  </pic:nvPicPr>
                  <pic:blipFill>
                    <a:blip r:embed="rId284"/>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87"/>
    <w:bookmarkStart w:id="291"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89" name="Picture"/>
            <a:graphic>
              <a:graphicData uri="http://schemas.openxmlformats.org/drawingml/2006/picture">
                <pic:pic>
                  <pic:nvPicPr>
                    <pic:cNvPr descr="assets/images/ex-terminal.PNG" id="290" name="Picture"/>
                    <pic:cNvPicPr>
                      <a:picLocks noChangeArrowheads="1" noChangeAspect="1"/>
                    </pic:cNvPicPr>
                  </pic:nvPicPr>
                  <pic:blipFill>
                    <a:blip r:embed="rId288"/>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91"/>
    <w:bookmarkStart w:id="292"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92"/>
    <w:bookmarkStart w:id="295"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9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94"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94"/>
    <w:bookmarkEnd w:id="295"/>
    <w:bookmarkStart w:id="296"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96"/>
    <w:bookmarkStart w:id="300"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9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98"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98"/>
    <w:bookmarkStart w:id="299"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99"/>
    <w:bookmarkEnd w:id="300"/>
    <w:bookmarkEnd w:id="301"/>
    <w:bookmarkStart w:id="307" w:name="reproducible-environments"/>
    <w:p>
      <w:pPr>
        <w:pStyle w:val="Heading1"/>
      </w:pPr>
      <w:r>
        <w:t xml:space="preserve">12. Reproducible Environments</w:t>
      </w:r>
    </w:p>
    <w:p>
      <w:pPr>
        <w:pStyle w:val="FirstParagraph"/>
      </w:pPr>
      <w:r>
        <w:t xml:space="preserve">Adapted by UCD-SeRG team from</w:t>
      </w:r>
      <w:r>
        <w:t xml:space="preserve"> </w:t>
      </w:r>
      <w:hyperlink r:id="rId302">
        <w:r>
          <w:rPr>
            <w:rStyle w:val="Hyperlink"/>
          </w:rPr>
          <w:t xml:space="preserve">original by Anna Nguyen</w:t>
        </w:r>
      </w:hyperlink>
    </w:p>
    <w:bookmarkStart w:id="306" w:name="package-version-control-with-renv"/>
    <w:p>
      <w:pPr>
        <w:pStyle w:val="Heading2"/>
      </w:pPr>
      <w:r>
        <w:t xml:space="preserve">12.1 Package Version Control with renv</w:t>
      </w:r>
    </w:p>
    <w:bookmarkStart w:id="303"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03"/>
    <w:bookmarkStart w:id="304"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04"/>
    <w:bookmarkStart w:id="305"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05"/>
    <w:bookmarkEnd w:id="306"/>
    <w:bookmarkEnd w:id="307"/>
    <w:bookmarkStart w:id="322" w:name="code-publication"/>
    <w:p>
      <w:pPr>
        <w:pStyle w:val="Heading1"/>
      </w:pPr>
      <w:r>
        <w:t xml:space="preserve">13. Code Publication</w:t>
      </w:r>
    </w:p>
    <w:p>
      <w:pPr>
        <w:pStyle w:val="FirstParagraph"/>
      </w:pPr>
      <w:r>
        <w:t xml:space="preserve">Adapted by UCD-SeRG team from</w:t>
      </w:r>
      <w:r>
        <w:t xml:space="preserve"> </w:t>
      </w:r>
      <w:hyperlink r:id="rId308">
        <w:r>
          <w:rPr>
            <w:rStyle w:val="Hyperlink"/>
          </w:rPr>
          <w:t xml:space="preserve">original by Nolan Pokpongkiat</w:t>
        </w:r>
      </w:hyperlink>
    </w:p>
    <w:bookmarkStart w:id="309"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09"/>
    <w:bookmarkStart w:id="311"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0">
        <w:r>
          <w:rPr>
            <w:rStyle w:val="Hyperlink"/>
          </w:rPr>
          <w:t xml:space="preserve">here.</w:t>
        </w:r>
      </w:hyperlink>
    </w:p>
    <w:bookmarkEnd w:id="311"/>
    <w:bookmarkStart w:id="312"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2"/>
    <w:bookmarkStart w:id="314"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13">
        <w:r>
          <w:rPr>
            <w:rStyle w:val="Hyperlink"/>
          </w:rPr>
          <w:t xml:space="preserve">here.</w:t>
        </w:r>
      </w:hyperlink>
    </w:p>
    <w:bookmarkEnd w:id="314"/>
    <w:bookmarkStart w:id="315"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15"/>
    <w:bookmarkStart w:id="317"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16">
        <w:r>
          <w:rPr>
            <w:rStyle w:val="Hyperlink"/>
          </w:rPr>
          <w:t xml:space="preserve">here.</w:t>
        </w:r>
      </w:hyperlink>
    </w:p>
    <w:bookmarkEnd w:id="317"/>
    <w:bookmarkStart w:id="318"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18"/>
    <w:bookmarkStart w:id="319"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19"/>
    <w:bookmarkStart w:id="321"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0">
        <w:r>
          <w:rPr>
            <w:rStyle w:val="Hyperlink"/>
          </w:rPr>
          <w:t xml:space="preserve">here.</w:t>
        </w:r>
      </w:hyperlink>
    </w:p>
    <w:bookmarkEnd w:id="321"/>
    <w:bookmarkEnd w:id="322"/>
    <w:bookmarkStart w:id="343" w:name="data-publication"/>
    <w:p>
      <w:pPr>
        <w:pStyle w:val="Heading1"/>
      </w:pPr>
      <w:r>
        <w:t xml:space="preserve">14. Data Publication</w:t>
      </w:r>
    </w:p>
    <w:p>
      <w:pPr>
        <w:pStyle w:val="FirstParagraph"/>
      </w:pPr>
      <w:r>
        <w:t xml:space="preserve">Adapted from Fanice Nyatigo and Ben Arnold’s chapter in the</w:t>
      </w:r>
      <w:r>
        <w:t xml:space="preserve"> </w:t>
      </w:r>
      <w:hyperlink r:id="rId323">
        <w:r>
          <w:rPr>
            <w:rStyle w:val="Hyperlink"/>
          </w:rPr>
          <w:t xml:space="preserve">Proctor-UCSF Lab Manual</w:t>
        </w:r>
      </w:hyperlink>
    </w:p>
    <w:bookmarkStart w:id="326"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24">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25">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26"/>
    <w:bookmarkStart w:id="330"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27"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27"/>
    <w:bookmarkStart w:id="328"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28"/>
    <w:bookmarkStart w:id="329"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29"/>
    <w:bookmarkEnd w:id="330"/>
    <w:bookmarkStart w:id="334" w:name="create-public-ids"/>
    <w:p>
      <w:pPr>
        <w:pStyle w:val="Heading2"/>
      </w:pPr>
      <w:r>
        <w:t xml:space="preserve">14.3 Create public IDs</w:t>
      </w:r>
    </w:p>
    <w:bookmarkStart w:id="331"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1"/>
    <w:bookmarkStart w:id="332"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2"/>
    <w:bookmarkStart w:id="333"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33"/>
    <w:bookmarkEnd w:id="334"/>
    <w:bookmarkStart w:id="338"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35">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37"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36">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37"/>
    <w:bookmarkEnd w:id="338"/>
    <w:bookmarkStart w:id="339"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39"/>
    <w:bookmarkStart w:id="340"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0"/>
    <w:bookmarkStart w:id="342"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1">
        <w:r>
          <w:rPr>
            <w:rStyle w:val="Hyperlink"/>
          </w:rPr>
          <w:t xml:space="preserve">How to Store and Manage Your Data - PLOS</w:t>
        </w:r>
      </w:hyperlink>
    </w:p>
    <w:bookmarkEnd w:id="342"/>
    <w:bookmarkEnd w:id="343"/>
    <w:bookmarkStart w:id="364" w:name="sec-slurm"/>
    <w:p>
      <w:pPr>
        <w:pStyle w:val="Heading1"/>
      </w:pPr>
      <w:r>
        <w:t xml:space="preserve">15. High-performance computing (HPC)</w:t>
      </w:r>
    </w:p>
    <w:p>
      <w:pPr>
        <w:pStyle w:val="FirstParagraph"/>
      </w:pPr>
      <w:r>
        <w:t xml:space="preserve">Adapted by UCD-SeRG team from</w:t>
      </w:r>
      <w:r>
        <w:t xml:space="preserve"> </w:t>
      </w:r>
      <w:hyperlink r:id="rId34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48" w:name="uc-davis-computing-resources"/>
    <w:p>
      <w:pPr>
        <w:pStyle w:val="Heading2"/>
      </w:pPr>
      <w:r>
        <w:t xml:space="preserve">15.1 UC Davis Computing Resources</w:t>
      </w:r>
    </w:p>
    <w:bookmarkStart w:id="347"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4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4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47"/>
    <w:bookmarkEnd w:id="348"/>
    <w:bookmarkStart w:id="350"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49"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49"/>
    <w:bookmarkEnd w:id="350"/>
    <w:bookmarkStart w:id="351"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4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1"/>
    <w:bookmarkStart w:id="352"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45">
        <w:r>
          <w:rPr>
            <w:rStyle w:val="Hyperlink"/>
          </w:rPr>
          <w:t xml:space="preserve">hpc.ucdavis.edu</w:t>
        </w:r>
      </w:hyperlink>
      <w:r>
        <w:t xml:space="preserve"> </w:t>
      </w:r>
      <w:r>
        <w:t xml:space="preserve">for support information.</w:t>
      </w:r>
    </w:p>
    <w:bookmarkEnd w:id="352"/>
    <w:bookmarkStart w:id="356"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53"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53"/>
    <w:bookmarkStart w:id="354"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54"/>
    <w:bookmarkStart w:id="355"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55"/>
    <w:bookmarkEnd w:id="356"/>
    <w:bookmarkStart w:id="361" w:name="storage-group-storage-access"/>
    <w:p>
      <w:pPr>
        <w:pStyle w:val="Heading2"/>
      </w:pPr>
      <w:r>
        <w:t xml:space="preserve">15.6 Storage &amp; group storage access</w:t>
      </w:r>
    </w:p>
    <w:bookmarkStart w:id="357"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45">
        <w:r>
          <w:rPr>
            <w:rStyle w:val="Hyperlink"/>
          </w:rPr>
          <w:t xml:space="preserve">UC Davis HPC documentation</w:t>
        </w:r>
      </w:hyperlink>
      <w:r>
        <w:t xml:space="preserve"> </w:t>
      </w:r>
      <w:r>
        <w:t xml:space="preserve">for specific storage options and quotas.</w:t>
      </w:r>
    </w:p>
    <w:bookmarkEnd w:id="357"/>
    <w:bookmarkStart w:id="358"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58"/>
    <w:bookmarkStart w:id="360"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5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0"/>
    <w:bookmarkEnd w:id="361"/>
    <w:bookmarkStart w:id="363"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2">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63"/>
    <w:bookmarkEnd w:id="364"/>
    <w:bookmarkStart w:id="422" w:name="working-with-ai"/>
    <w:p>
      <w:pPr>
        <w:pStyle w:val="Heading1"/>
      </w:pPr>
      <w:r>
        <w:t xml:space="preserve">16. Working with AI</w:t>
      </w:r>
    </w:p>
    <w:p>
      <w:pPr>
        <w:pStyle w:val="FirstParagraph"/>
      </w:pPr>
      <w:hyperlink r:id="rId365">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66"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66"/>
    <w:bookmarkStart w:id="367"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67"/>
    <w:bookmarkStart w:id="368"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68"/>
    <w:bookmarkStart w:id="400" w:name="coding-agents"/>
    <w:p>
      <w:pPr>
        <w:pStyle w:val="Heading2"/>
      </w:pPr>
      <w:r>
        <w:t xml:space="preserve">16.4 Coding Agents</w:t>
      </w:r>
    </w:p>
    <w:p>
      <w:pPr>
        <w:pStyle w:val="FirstParagraph"/>
      </w:pPr>
      <w:r>
        <w:t xml:space="preserve">We recommend using</w:t>
      </w:r>
      <w:r>
        <w:t xml:space="preserve"> </w:t>
      </w:r>
      <w:hyperlink r:id="rId369">
        <w:r>
          <w:rPr>
            <w:rStyle w:val="Hyperlink"/>
            <w:b/>
            <w:bCs/>
          </w:rPr>
          <w:t xml:space="preserve">Coding Agents</w:t>
        </w:r>
      </w:hyperlink>
      <w:r>
        <w:t xml:space="preserve"> </w:t>
      </w:r>
      <w:r>
        <w:t xml:space="preserve">(</w:t>
      </w:r>
      <w:hyperlink r:id="rId370">
        <w:r>
          <w:rPr>
            <w:rStyle w:val="Hyperlink"/>
          </w:rPr>
          <w:t xml:space="preserve">AI agents</w:t>
        </w:r>
      </w:hyperlink>
      <w:r>
        <w:t xml:space="preserve"> </w:t>
      </w:r>
      <w:r>
        <w:t xml:space="preserve">specialized for coding)</w:t>
      </w:r>
      <w:r>
        <w:t xml:space="preserve"> </w:t>
      </w:r>
      <w:r>
        <w:t xml:space="preserve">for AI-assisted coding.</w:t>
      </w:r>
    </w:p>
    <w:bookmarkStart w:id="380" w:name="how-to-work-with-coding-agents"/>
    <w:p>
      <w:pPr>
        <w:pStyle w:val="Heading3"/>
      </w:pPr>
      <w:r>
        <w:t xml:space="preserve">16.4.1 How to Work with Coding Agents</w:t>
      </w:r>
    </w:p>
    <w:p>
      <w:pPr>
        <w:pStyle w:val="FirstParagraph"/>
      </w:pPr>
      <w:r>
        <w:t xml:space="preserve">GitHub Copilot coding agents can be used in several ways to automate development tasks:</w:t>
      </w:r>
    </w:p>
    <w:bookmarkStart w:id="371" w:name="assigning-issues-to-copilot"/>
    <w:p>
      <w:pPr>
        <w:pStyle w:val="Heading4"/>
      </w:pPr>
      <w:r>
        <w:t xml:space="preserve">16.4.1.1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7"/>
        </w:numPr>
      </w:pPr>
      <w:r>
        <w:rPr>
          <w:b/>
          <w:bCs/>
        </w:rPr>
        <w:t xml:space="preserve">On GitHub.com</w:t>
      </w:r>
      <w:r>
        <w:t xml:space="preserve">:</w:t>
      </w:r>
      <w:r>
        <w:t xml:space="preserve"> </w:t>
      </w:r>
      <w:r>
        <w:t xml:space="preserve">Navigate to an issue and assign it to Copilot in the assignees section</w:t>
      </w:r>
    </w:p>
    <w:p>
      <w:pPr>
        <w:numPr>
          <w:ilvl w:val="0"/>
          <w:numId w:val="1087"/>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7"/>
        </w:numPr>
      </w:pPr>
      <w:r>
        <w:rPr>
          <w:b/>
          <w:bCs/>
        </w:rPr>
        <w:t xml:space="preserve">From Copilot Chat</w:t>
      </w:r>
      <w:r>
        <w:t xml:space="preserve">:</w:t>
      </w:r>
      <w:r>
        <w:t xml:space="preserve"> </w:t>
      </w:r>
      <w:r>
        <w:t xml:space="preserve">Delegate tasks to Copilot directly from the chat interface in supported editors</w:t>
      </w:r>
    </w:p>
    <w:bookmarkEnd w:id="371"/>
    <w:bookmarkStart w:id="372" w:name="the-agent-workflow"/>
    <w:p>
      <w:pPr>
        <w:pStyle w:val="Heading4"/>
      </w:pPr>
      <w:r>
        <w:t xml:space="preserve">16.4.1.2 The Agent Workflow</w:t>
      </w:r>
    </w:p>
    <w:p>
      <w:pPr>
        <w:pStyle w:val="FirstParagraph"/>
      </w:pPr>
      <w:r>
        <w:t xml:space="preserve">Once assigned an issue,</w:t>
      </w:r>
      <w:r>
        <w:t xml:space="preserve"> </w:t>
      </w:r>
      <w:r>
        <w:t xml:space="preserve">the coding agent follows an autonomous workflow:</w:t>
      </w:r>
    </w:p>
    <w:p>
      <w:pPr>
        <w:numPr>
          <w:ilvl w:val="0"/>
          <w:numId w:val="1088"/>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88"/>
        </w:numPr>
      </w:pPr>
      <w:r>
        <w:rPr>
          <w:b/>
          <w:bCs/>
        </w:rPr>
        <w:t xml:space="preserve">Planning</w:t>
      </w:r>
      <w:r>
        <w:t xml:space="preserve">:</w:t>
      </w:r>
      <w:r>
        <w:t xml:space="preserve"> </w:t>
      </w:r>
      <w:r>
        <w:t xml:space="preserve">Determines what changes are needed and creates a work plan</w:t>
      </w:r>
    </w:p>
    <w:p>
      <w:pPr>
        <w:numPr>
          <w:ilvl w:val="0"/>
          <w:numId w:val="1088"/>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88"/>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88"/>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72"/>
    <w:bookmarkStart w:id="375" w:name="example-this-document"/>
    <w:p>
      <w:pPr>
        <w:pStyle w:val="Heading4"/>
      </w:pPr>
      <w:r>
        <w:t xml:space="preserve">16.4.1.3 Example: This Document</w:t>
      </w:r>
    </w:p>
    <w:p>
      <w:pPr>
        <w:pStyle w:val="FirstParagraph"/>
      </w:pPr>
      <w:r>
        <w:t xml:space="preserve">This very section you’re reading was created through the coding agent workflow:</w:t>
      </w:r>
    </w:p>
    <w:p>
      <w:pPr>
        <w:numPr>
          <w:ilvl w:val="0"/>
          <w:numId w:val="1089"/>
        </w:numPr>
      </w:pPr>
      <w:r>
        <w:rPr>
          <w:b/>
          <w:bCs/>
        </w:rPr>
        <w:t xml:space="preserve">Issue created</w:t>
      </w:r>
      <w:r>
        <w:t xml:space="preserve">:</w:t>
      </w:r>
      <w:r>
        <w:t xml:space="preserve"> </w:t>
      </w:r>
      <w:hyperlink r:id="rId373">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89"/>
        </w:numPr>
      </w:pPr>
      <w:r>
        <w:rPr>
          <w:b/>
          <w:bCs/>
        </w:rPr>
        <w:t xml:space="preserve">Agent assigned</w:t>
      </w:r>
      <w:r>
        <w:t xml:space="preserve">: The issue was assigned to</w:t>
      </w:r>
      <w:r>
        <w:t xml:space="preserve"> </w:t>
      </w:r>
      <w:r>
        <w:rPr>
          <w:rStyle w:val="VerbatimChar"/>
        </w:rPr>
        <w:t xml:space="preserve">@copilot</w:t>
      </w:r>
    </w:p>
    <w:p>
      <w:pPr>
        <w:numPr>
          <w:ilvl w:val="0"/>
          <w:numId w:val="1089"/>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89"/>
        </w:numPr>
      </w:pPr>
      <w:r>
        <w:rPr>
          <w:b/>
          <w:bCs/>
        </w:rPr>
        <w:t xml:space="preserve">Pull request</w:t>
      </w:r>
      <w:r>
        <w:t xml:space="preserve">:</w:t>
      </w:r>
      <w:r>
        <w:t xml:space="preserve"> </w:t>
      </w:r>
      <w:hyperlink r:id="rId374">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89"/>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75"/>
    <w:bookmarkStart w:id="376" w:name="collaborating-with-coding-agents"/>
    <w:p>
      <w:pPr>
        <w:pStyle w:val="Heading4"/>
      </w:pPr>
      <w:r>
        <w:t xml:space="preserve">16.4.1.4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0"/>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0"/>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1"/>
        </w:numPr>
      </w:pPr>
      <w:r>
        <w:t xml:space="preserve">Need to be manually resolved</w:t>
      </w:r>
    </w:p>
    <w:p>
      <w:pPr>
        <w:pStyle w:val="Compact"/>
        <w:numPr>
          <w:ilvl w:val="0"/>
          <w:numId w:val="1091"/>
        </w:numPr>
      </w:pPr>
      <w:r>
        <w:t xml:space="preserve">May confuse both human and AI collaborators</w:t>
      </w:r>
    </w:p>
    <w:p>
      <w:pPr>
        <w:pStyle w:val="Compact"/>
        <w:numPr>
          <w:ilvl w:val="0"/>
          <w:numId w:val="1091"/>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76"/>
    <w:bookmarkStart w:id="377" w:name="directly-prompting-for-pull-requests"/>
    <w:p>
      <w:pPr>
        <w:pStyle w:val="Heading4"/>
      </w:pPr>
      <w:r>
        <w:t xml:space="preserve">16.4.1.5 Directly Prompting for Pull Requests</w:t>
      </w:r>
    </w:p>
    <w:p>
      <w:pPr>
        <w:pStyle w:val="FirstParagraph"/>
      </w:pPr>
      <w:r>
        <w:t xml:space="preserve">You can also prompt Copilot to create pull requests without first creating an issue:</w:t>
      </w:r>
    </w:p>
    <w:p>
      <w:pPr>
        <w:pStyle w:val="Compact"/>
        <w:numPr>
          <w:ilvl w:val="0"/>
          <w:numId w:val="1092"/>
        </w:numPr>
      </w:pPr>
      <w:r>
        <w:t xml:space="preserve">Use Copilot Chat in your editor to describe the changes you want</w:t>
      </w:r>
    </w:p>
    <w:p>
      <w:pPr>
        <w:pStyle w:val="Compact"/>
        <w:numPr>
          <w:ilvl w:val="0"/>
          <w:numId w:val="1092"/>
        </w:numPr>
      </w:pPr>
      <w:r>
        <w:t xml:space="preserve">The agent will analyze your request and create a pull request</w:t>
      </w:r>
    </w:p>
    <w:p>
      <w:pPr>
        <w:pStyle w:val="Compact"/>
        <w:numPr>
          <w:ilvl w:val="0"/>
          <w:numId w:val="1092"/>
        </w:numPr>
      </w:pPr>
      <w:r>
        <w:t xml:space="preserve">This is useful for quick fixes or well-defined tasks</w:t>
      </w:r>
    </w:p>
    <w:bookmarkEnd w:id="377"/>
    <w:bookmarkStart w:id="379" w:name="important-safeguards"/>
    <w:p>
      <w:pPr>
        <w:pStyle w:val="Heading4"/>
      </w:pPr>
      <w:r>
        <w:t xml:space="preserve">16.4.1.6 Important Safeguards</w:t>
      </w:r>
    </w:p>
    <w:p>
      <w:pPr>
        <w:pStyle w:val="Compact"/>
        <w:numPr>
          <w:ilvl w:val="0"/>
          <w:numId w:val="1093"/>
        </w:numPr>
      </w:pPr>
      <w:r>
        <w:rPr>
          <w:b/>
          <w:bCs/>
        </w:rPr>
        <w:t xml:space="preserve">Human approval required</w:t>
      </w:r>
      <w:r>
        <w:t xml:space="preserve">:</w:t>
      </w:r>
      <w:r>
        <w:t xml:space="preserve"> </w:t>
      </w:r>
      <w:r>
        <w:t xml:space="preserve">Coding agents cannot merge their own changes</w:t>
      </w:r>
    </w:p>
    <w:p>
      <w:pPr>
        <w:pStyle w:val="Compact"/>
        <w:numPr>
          <w:ilvl w:val="0"/>
          <w:numId w:val="1093"/>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3"/>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78">
        <w:r>
          <w:rPr>
            <w:rStyle w:val="Hyperlink"/>
          </w:rPr>
          <w:t xml:space="preserve">GitHub Copilot coding agent documentation</w:t>
        </w:r>
      </w:hyperlink>
      <w:r>
        <w:t xml:space="preserve">.</w:t>
      </w:r>
    </w:p>
    <w:bookmarkEnd w:id="379"/>
    <w:bookmarkEnd w:id="380"/>
    <w:bookmarkStart w:id="385" w:name="benefits-and-hazards"/>
    <w:p>
      <w:pPr>
        <w:pStyle w:val="Heading3"/>
      </w:pPr>
      <w:r>
        <w:t xml:space="preserve">16.4.2 Benefits and Hazards</w:t>
      </w:r>
    </w:p>
    <w:p>
      <w:pPr>
        <w:pStyle w:val="FirstParagraph"/>
      </w:pPr>
      <w:r>
        <w:t xml:space="preserve">Like the</w:t>
      </w:r>
      <w:r>
        <w:t xml:space="preserve"> </w:t>
      </w:r>
      <w:hyperlink r:id="rId381">
        <w:r>
          <w:rPr>
            <w:rStyle w:val="Hyperlink"/>
          </w:rPr>
          <w:t xml:space="preserve">Agents in the Matrix films</w:t>
        </w:r>
      </w:hyperlink>
      <w:r>
        <w:t xml:space="preserve">,</w:t>
      </w:r>
      <w:r>
        <w:t xml:space="preserve"> </w:t>
      </w:r>
      <w:r>
        <w:t xml:space="preserve">coding agents are powerful programs;</w:t>
      </w:r>
      <w:r>
        <w:t xml:space="preserve"> </w:t>
      </w:r>
      <w:r>
        <w:t xml:space="preserve">coding agents can manipulate code,</w:t>
      </w:r>
      <w:r>
        <w:t xml:space="preserve"> </w:t>
      </w:r>
      <w:r>
        <w:t xml:space="preserve">including their own configuration files.</w:t>
      </w:r>
      <w:r>
        <w:t xml:space="preserve"> </w:t>
      </w:r>
      <w:r>
        <w:t xml:space="preserve">They can work on your behalf,</w:t>
      </w:r>
      <w:r>
        <w:t xml:space="preserve"> </w:t>
      </w:r>
      <w:r>
        <w:t xml:space="preserve">but they require careful oversight and control</w:t>
      </w:r>
      <w:r>
        <w:t xml:space="preserve"> </w:t>
      </w:r>
      <w:r>
        <w:t xml:space="preserve">to ensure they serve your interests.</w:t>
      </w:r>
    </w:p>
    <w:p>
      <w:pPr>
        <w:pStyle w:val="CaptionedFigure"/>
      </w:pPr>
      <w:r>
        <w:drawing>
          <wp:inline>
            <wp:extent cx="5334000" cy="2224278"/>
            <wp:effectExtent b="0" l="0" r="0" t="0"/>
            <wp:docPr descr="Agents from the Matrix films: powerful programs that require careful oversight" title="" id="383" name="Picture"/>
            <a:graphic>
              <a:graphicData uri="http://schemas.openxmlformats.org/drawingml/2006/picture">
                <pic:pic>
                  <pic:nvPicPr>
                    <pic:cNvPr descr="assets/images/matrix-agents.png" id="384" name="Picture"/>
                    <pic:cNvPicPr>
                      <a:picLocks noChangeArrowheads="1" noChangeAspect="1"/>
                    </pic:cNvPicPr>
                  </pic:nvPicPr>
                  <pic:blipFill>
                    <a:blip r:embed="rId38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r>
        <w:t xml:space="preserve">Agents from the Matrix films: powerful programs that require careful oversight</w:t>
      </w:r>
    </w:p>
    <w:p>
      <w:pPr>
        <w:pStyle w:val="BodyText"/>
      </w:pPr>
      <w:r>
        <w:t xml:space="preserve">Coding agents offer several advantages:</w:t>
      </w:r>
    </w:p>
    <w:p>
      <w:pPr>
        <w:pStyle w:val="Compact"/>
        <w:numPr>
          <w:ilvl w:val="0"/>
          <w:numId w:val="1094"/>
        </w:numPr>
      </w:pPr>
      <w:r>
        <w:rPr>
          <w:b/>
          <w:bCs/>
        </w:rPr>
        <w:t xml:space="preserve">Built-in transparency</w:t>
      </w:r>
      <w:r>
        <w:t xml:space="preserve">: Coding agents create a clear record of their role in your work through commit history and code suggestions</w:t>
      </w:r>
    </w:p>
    <w:p>
      <w:pPr>
        <w:pStyle w:val="Compact"/>
        <w:numPr>
          <w:ilvl w:val="0"/>
          <w:numId w:val="1094"/>
        </w:numPr>
      </w:pPr>
      <w:r>
        <w:rPr>
          <w:b/>
          <w:bCs/>
        </w:rPr>
        <w:t xml:space="preserve">Context-aware suggestions</w:t>
      </w:r>
      <w:r>
        <w:t xml:space="preserve">: Coding agents understand your codebase and can make contextually relevant suggestions</w:t>
      </w:r>
    </w:p>
    <w:p>
      <w:pPr>
        <w:pStyle w:val="Compact"/>
        <w:numPr>
          <w:ilvl w:val="0"/>
          <w:numId w:val="1094"/>
        </w:numPr>
      </w:pPr>
      <w:r>
        <w:rPr>
          <w:b/>
          <w:bCs/>
        </w:rPr>
        <w:t xml:space="preserve">Integration with version control</w:t>
      </w:r>
      <w:r>
        <w:t xml:space="preserve">: Using coding agents within GitHub ensures that AI-assisted changes are tracked alongside all other code changes</w:t>
      </w:r>
    </w:p>
    <w:p>
      <w:pPr>
        <w:pStyle w:val="Compact"/>
        <w:numPr>
          <w:ilvl w:val="0"/>
          <w:numId w:val="1094"/>
        </w:numPr>
      </w:pPr>
      <w:r>
        <w:rPr>
          <w:b/>
          <w:bCs/>
        </w:rPr>
        <w:t xml:space="preserve">Interactive workflow</w:t>
      </w:r>
      <w:r>
        <w:t xml:space="preserve">: Coding agents’ interactive nature encourages you to review and modify suggestions rather than blindly accepting them</w:t>
      </w:r>
    </w:p>
    <w:p>
      <w:pPr>
        <w:pStyle w:val="Compact"/>
        <w:numPr>
          <w:ilvl w:val="0"/>
          <w:numId w:val="1094"/>
        </w:numPr>
      </w:pPr>
      <w:r>
        <w:rPr>
          <w:b/>
          <w:bCs/>
        </w:rPr>
        <w:t xml:space="preserve">Accelerated development</w:t>
      </w:r>
      <w:r>
        <w:t xml:space="preserve">: Coding agents can help you write boilerplate code, refactor existing code, and implement common patterns more quickly</w:t>
      </w:r>
    </w:p>
    <w:p>
      <w:pPr>
        <w:pStyle w:val="Compact"/>
        <w:numPr>
          <w:ilvl w:val="0"/>
          <w:numId w:val="1094"/>
        </w:numPr>
      </w:pPr>
      <w:r>
        <w:rPr>
          <w:b/>
          <w:bCs/>
        </w:rPr>
        <w:t xml:space="preserve">Learning opportunities</w:t>
      </w:r>
      <w:r>
        <w:t xml:space="preserve">: Coding agents can suggest approaches or techniques you may not have considered, helping you expand your coding knowledge</w:t>
      </w:r>
    </w:p>
    <w:p>
      <w:pPr>
        <w:pStyle w:val="FirstParagraph"/>
      </w:pPr>
      <w:r>
        <w:t xml:space="preserve">However, coding agents also come with significant hazards:</w:t>
      </w:r>
    </w:p>
    <w:p>
      <w:pPr>
        <w:pStyle w:val="Compact"/>
        <w:numPr>
          <w:ilvl w:val="0"/>
          <w:numId w:val="1095"/>
        </w:numPr>
      </w:pPr>
      <w:r>
        <w:rPr>
          <w:b/>
          <w:bCs/>
        </w:rPr>
        <w:t xml:space="preserve">Over-reliance</w:t>
      </w:r>
      <w:r>
        <w:t xml:space="preserve">: Depending too heavily on coding agents can atrophy your coding skills and understanding</w:t>
      </w:r>
    </w:p>
    <w:p>
      <w:pPr>
        <w:pStyle w:val="Compact"/>
        <w:numPr>
          <w:ilvl w:val="0"/>
          <w:numId w:val="1095"/>
        </w:numPr>
      </w:pPr>
      <w:r>
        <w:rPr>
          <w:b/>
          <w:bCs/>
        </w:rPr>
        <w:t xml:space="preserve">Subtle bugs</w:t>
      </w:r>
      <w:r>
        <w:t xml:space="preserve">: AI-generated code may contain logic errors that are not immediately obvious</w:t>
      </w:r>
    </w:p>
    <w:p>
      <w:pPr>
        <w:pStyle w:val="Compact"/>
        <w:numPr>
          <w:ilvl w:val="0"/>
          <w:numId w:val="1095"/>
        </w:numPr>
      </w:pPr>
      <w:r>
        <w:rPr>
          <w:b/>
          <w:bCs/>
        </w:rPr>
        <w:t xml:space="preserve">Security vulnerabilities</w:t>
      </w:r>
      <w:r>
        <w:t xml:space="preserve">: Coding agents may introduce insecure patterns or fail to follow security best practices</w:t>
      </w:r>
    </w:p>
    <w:p>
      <w:pPr>
        <w:pStyle w:val="Compact"/>
        <w:numPr>
          <w:ilvl w:val="0"/>
          <w:numId w:val="1095"/>
        </w:numPr>
      </w:pPr>
      <w:r>
        <w:rPr>
          <w:b/>
          <w:bCs/>
        </w:rPr>
        <w:t xml:space="preserve">Inappropriate solutions</w:t>
      </w:r>
      <w:r>
        <w:t xml:space="preserve">: AI may suggest solutions that work but are not optimal for your specific research context or constraints</w:t>
      </w:r>
    </w:p>
    <w:p>
      <w:pPr>
        <w:pStyle w:val="Compact"/>
        <w:numPr>
          <w:ilvl w:val="0"/>
          <w:numId w:val="1095"/>
        </w:numPr>
      </w:pPr>
      <w:r>
        <w:rPr>
          <w:b/>
          <w:bCs/>
        </w:rPr>
        <w:t xml:space="preserve">Hidden biases</w:t>
      </w:r>
      <w:r>
        <w:t xml:space="preserve">: Coding agents may perpetuate coding patterns or approaches that reflect biases in their training data</w:t>
      </w:r>
    </w:p>
    <w:p>
      <w:pPr>
        <w:pStyle w:val="Compact"/>
        <w:numPr>
          <w:ilvl w:val="0"/>
          <w:numId w:val="1095"/>
        </w:numPr>
      </w:pPr>
      <w:r>
        <w:rPr>
          <w:b/>
          <w:bCs/>
        </w:rPr>
        <w:t xml:space="preserve">False confidence</w:t>
      </w:r>
      <w:r>
        <w:t xml:space="preserve">: Well-formatted, professional-looking code from AI can mask underlying problems and reduce critical review</w:t>
      </w:r>
    </w:p>
    <w:p>
      <w:pPr>
        <w:pStyle w:val="Compact"/>
        <w:numPr>
          <w:ilvl w:val="0"/>
          <w:numId w:val="1095"/>
        </w:numPr>
      </w:pPr>
      <w:r>
        <w:rPr>
          <w:b/>
          <w:bCs/>
        </w:rPr>
        <w:t xml:space="preserve">Workflow manipulation risks</w:t>
      </w:r>
      <w:r>
        <w:t xml:space="preserve">: 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5"/>
    <w:bookmarkStart w:id="389" w:name="X4df097a63b2e25878cfbc7228b7eb578be2e8c9"/>
    <w:p>
      <w:pPr>
        <w:pStyle w:val="Heading3"/>
      </w:pPr>
      <w:r>
        <w:t xml:space="preserve">16.4.3 Best Practices for Safe and Successful Use</w:t>
      </w:r>
    </w:p>
    <w:p>
      <w:pPr>
        <w:pStyle w:val="FirstParagraph"/>
      </w:pPr>
      <w:r>
        <w:t xml:space="preserve">To work with coding agents safely and successfully:</w:t>
      </w:r>
    </w:p>
    <w:p>
      <w:pPr>
        <w:numPr>
          <w:ilvl w:val="0"/>
          <w:numId w:val="109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warning.png" id="388" name="Picture"/>
                          <pic:cNvPicPr>
                            <a:picLocks noChangeArrowheads="1" noChangeAspect="1"/>
                          </pic:cNvPicPr>
                        </pic:nvPicPr>
                        <pic:blipFill>
                          <a:blip r:embed="rId3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7"/>
              </w:numPr>
            </w:pPr>
            <w:r>
              <w:t xml:space="preserve">Access secrets and credentials</w:t>
            </w:r>
          </w:p>
          <w:p>
            <w:pPr>
              <w:pStyle w:val="Compact"/>
              <w:numPr>
                <w:ilvl w:val="0"/>
                <w:numId w:val="1097"/>
              </w:numPr>
            </w:pPr>
            <w:r>
              <w:t xml:space="preserve">Deploy code to production</w:t>
            </w:r>
          </w:p>
          <w:p>
            <w:pPr>
              <w:pStyle w:val="Compact"/>
              <w:numPr>
                <w:ilvl w:val="0"/>
                <w:numId w:val="109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89"/>
    <w:bookmarkStart w:id="394" w:name="firewall-and-network-configuration"/>
    <w:p>
      <w:pPr>
        <w:pStyle w:val="Heading3"/>
      </w:pPr>
      <w:r>
        <w:t xml:space="preserve">16.4.4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1" w:name="built-in-agent-firewall"/>
    <w:p>
      <w:pPr>
        <w:pStyle w:val="Heading4"/>
      </w:pPr>
      <w:r>
        <w:t xml:space="preserve">16.4.4.1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098"/>
        </w:numPr>
      </w:pPr>
      <w:r>
        <w:t xml:space="preserve">Data exfiltration</w:t>
      </w:r>
    </w:p>
    <w:p>
      <w:pPr>
        <w:pStyle w:val="Compact"/>
        <w:numPr>
          <w:ilvl w:val="0"/>
          <w:numId w:val="1098"/>
        </w:numPr>
      </w:pPr>
      <w:r>
        <w:t xml:space="preserve">Accidental leaks of sensitive information</w:t>
      </w:r>
    </w:p>
    <w:p>
      <w:pPr>
        <w:pStyle w:val="Compact"/>
        <w:numPr>
          <w:ilvl w:val="0"/>
          <w:numId w:val="1098"/>
        </w:numPr>
      </w:pPr>
      <w:r>
        <w:t xml:space="preserve">Execution of malicious instructions</w:t>
      </w:r>
    </w:p>
    <w:p>
      <w:pPr>
        <w:pStyle w:val="FirstParagraph"/>
      </w:pPr>
      <w:r>
        <w:t xml:space="preserve">By default, the agent’s firewall allows access to:</w:t>
      </w:r>
    </w:p>
    <w:p>
      <w:pPr>
        <w:pStyle w:val="Compact"/>
        <w:numPr>
          <w:ilvl w:val="0"/>
          <w:numId w:val="1099"/>
        </w:numPr>
      </w:pPr>
      <w:r>
        <w:t xml:space="preserve">Common OS package repositories (Debian, Ubuntu, Red Hat, etc.)</w:t>
      </w:r>
    </w:p>
    <w:p>
      <w:pPr>
        <w:pStyle w:val="Compact"/>
        <w:numPr>
          <w:ilvl w:val="0"/>
          <w:numId w:val="1099"/>
        </w:numPr>
      </w:pPr>
      <w:r>
        <w:t xml:space="preserve">Popular container registries (Docker Hub, Azure Container Registry, AWS ECR, etc.)</w:t>
      </w:r>
    </w:p>
    <w:p>
      <w:pPr>
        <w:pStyle w:val="Compact"/>
        <w:numPr>
          <w:ilvl w:val="0"/>
          <w:numId w:val="1099"/>
        </w:numPr>
      </w:pPr>
      <w:r>
        <w:t xml:space="preserve">Language-specific package registries (npm, PyPI, Maven, RubyGems, etc.)</w:t>
      </w:r>
    </w:p>
    <w:p>
      <w:pPr>
        <w:pStyle w:val="Compact"/>
        <w:numPr>
          <w:ilvl w:val="0"/>
          <w:numId w:val="109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0">
        <w:r>
          <w:rPr>
            <w:rStyle w:val="Hyperlink"/>
          </w:rPr>
          <w:t xml:space="preserve">Copilot allowlist reference</w:t>
        </w:r>
      </w:hyperlink>
      <w:r>
        <w:t xml:space="preserve">.</w:t>
      </w:r>
    </w:p>
    <w:bookmarkEnd w:id="391"/>
    <w:bookmarkStart w:id="393" w:name="customizing-agent-firewall-settings"/>
    <w:p>
      <w:pPr>
        <w:pStyle w:val="Heading4"/>
      </w:pPr>
      <w:r>
        <w:t xml:space="preserve">16.4.4.2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0"/>
        </w:numPr>
      </w:pPr>
      <w:r>
        <w:t xml:space="preserve">Add custom hosts to the allowlist (for internal dependencies or additional registries)</w:t>
      </w:r>
    </w:p>
    <w:p>
      <w:pPr>
        <w:pStyle w:val="Compact"/>
        <w:numPr>
          <w:ilvl w:val="0"/>
          <w:numId w:val="1100"/>
        </w:numPr>
      </w:pPr>
      <w:r>
        <w:t xml:space="preserve">Opt out of the default recommended allowlist for stricter security</w:t>
      </w:r>
    </w:p>
    <w:p>
      <w:pPr>
        <w:pStyle w:val="Compact"/>
        <w:numPr>
          <w:ilvl w:val="0"/>
          <w:numId w:val="110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2">
        <w:r>
          <w:rPr>
            <w:rStyle w:val="Hyperlink"/>
          </w:rPr>
          <w:t xml:space="preserve">Customizing or disabling the firewall for GitHub Copilot coding agent</w:t>
        </w:r>
      </w:hyperlink>
      <w:r>
        <w:t xml:space="preserve">.</w:t>
      </w:r>
    </w:p>
    <w:bookmarkEnd w:id="393"/>
    <w:bookmarkEnd w:id="394"/>
    <w:bookmarkStart w:id="398" w:name="when-to-use-a-coding-agent"/>
    <w:p>
      <w:pPr>
        <w:pStyle w:val="Heading3"/>
      </w:pPr>
      <w:r>
        <w:t xml:space="preserve">16.4.5 When to use a coding agent</w:t>
      </w:r>
    </w:p>
    <w:p>
      <w:pPr>
        <w:pStyle w:val="FirstParagraph"/>
      </w:pPr>
      <w:r>
        <w:t xml:space="preserve">Coding agent sessions are currently</w:t>
      </w:r>
      <w:r>
        <w:rPr>
          <w:rStyle w:val="FootnoteReference"/>
        </w:rPr>
        <w:footnoteReference w:id="39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39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39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398"/>
    <w:bookmarkStart w:id="399" w:name="editing-with-.docx-files"/>
    <w:p>
      <w:pPr>
        <w:pStyle w:val="Heading3"/>
      </w:pPr>
      <w:r>
        <w:t xml:space="preserve">16.4.6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1"/>
        </w:numPr>
      </w:pPr>
      <w:r>
        <w:t xml:space="preserve">Lab members can export Quarto content to Word format for review</w:t>
      </w:r>
    </w:p>
    <w:p>
      <w:pPr>
        <w:pStyle w:val="Compact"/>
        <w:numPr>
          <w:ilvl w:val="0"/>
          <w:numId w:val="1101"/>
        </w:numPr>
      </w:pPr>
      <w:r>
        <w:t xml:space="preserve">Reviewers can make edits, add tracked changes, and insert comments in Word</w:t>
      </w:r>
    </w:p>
    <w:p>
      <w:pPr>
        <w:pStyle w:val="Compact"/>
        <w:numPr>
          <w:ilvl w:val="0"/>
          <w:numId w:val="1101"/>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2"/>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2"/>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2"/>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399"/>
    <w:bookmarkEnd w:id="400"/>
    <w:bookmarkStart w:id="421" w:name="copilot-instructions-for-this-repository"/>
    <w:p>
      <w:pPr>
        <w:pStyle w:val="Heading2"/>
      </w:pPr>
      <w:r>
        <w:t xml:space="preserve">16.5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03"/>
        </w:numPr>
      </w:pPr>
      <w:r>
        <w:t xml:space="preserve">Markdown and Quarto formatting rules (e.g., blank lines before lists, line breaks in prose)</w:t>
      </w:r>
    </w:p>
    <w:p>
      <w:pPr>
        <w:pStyle w:val="Compact"/>
        <w:numPr>
          <w:ilvl w:val="0"/>
          <w:numId w:val="1103"/>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03"/>
        </w:numPr>
      </w:pPr>
      <w:r>
        <w:t xml:space="preserve">File organization patterns (e.g., using Quarto includes for modular content)</w:t>
      </w:r>
    </w:p>
    <w:p>
      <w:pPr>
        <w:pStyle w:val="Compact"/>
        <w:numPr>
          <w:ilvl w:val="0"/>
          <w:numId w:val="1103"/>
        </w:numPr>
      </w:pPr>
      <w:r>
        <w:t xml:space="preserve">How to work with DOCX files for hybrid editing workflows</w:t>
      </w:r>
    </w:p>
    <w:p>
      <w:pPr>
        <w:pStyle w:val="Compact"/>
        <w:numPr>
          <w:ilvl w:val="0"/>
          <w:numId w:val="1103"/>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The complete copilot instructions for this repository are included below</w:t>
      </w:r>
      <w:r>
        <w:t xml:space="preserve"> </w:t>
      </w:r>
      <w:r>
        <w:t xml:space="preserve">for easy reference and inspection: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opt/quarto/share/formats/docx/note.png" id="40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bookmarkStart w:id="420"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07" w:name="markdown-and-quarto-formatting-1"/>
          <w:p>
            <w:pPr>
              <w:pStyle w:val="Heading2"/>
            </w:pPr>
            <w:r>
              <w:t xml:space="preserve">17.1 Markdown and Quarto Formatting</w:t>
            </w:r>
          </w:p>
          <w:bookmarkStart w:id="403"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03"/>
          <w:bookmarkStart w:id="404"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4"/>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4"/>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4"/>
              </w:numPr>
            </w:pPr>
            <w:r>
              <w:t xml:space="preserve">Lists in all .qmd files throughout the repository</w:t>
            </w:r>
          </w:p>
          <w:bookmarkEnd w:id="404"/>
          <w:bookmarkStart w:id="405"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5"/>
              </w:numPr>
            </w:pPr>
            <w:r>
              <w:t xml:space="preserve">Improves readability of source .qmd files</w:t>
            </w:r>
          </w:p>
          <w:p>
            <w:pPr>
              <w:pStyle w:val="Compact"/>
              <w:numPr>
                <w:ilvl w:val="0"/>
                <w:numId w:val="1105"/>
              </w:numPr>
            </w:pPr>
            <w:r>
              <w:t xml:space="preserve">Makes git diffs clearer and easier to review</w:t>
            </w:r>
          </w:p>
          <w:p>
            <w:pPr>
              <w:pStyle w:val="Compact"/>
              <w:numPr>
                <w:ilvl w:val="0"/>
                <w:numId w:val="1105"/>
              </w:numPr>
            </w:pPr>
            <w:r>
              <w:t xml:space="preserve">Helps identify specific changes in version control</w:t>
            </w:r>
          </w:p>
          <w:p>
            <w:pPr>
              <w:pStyle w:val="Compact"/>
              <w:numPr>
                <w:ilvl w:val="0"/>
                <w:numId w:val="1105"/>
              </w:numPr>
            </w:pPr>
            <w:r>
              <w:t xml:space="preserve">Prevents horizontal scrolling when editing</w:t>
            </w:r>
          </w:p>
          <w:p>
            <w:pPr>
              <w:pStyle w:val="Compact"/>
              <w:numPr>
                <w:ilvl w:val="0"/>
                <w:numId w:val="1105"/>
              </w:numPr>
            </w:pPr>
            <w:r>
              <w:t xml:space="preserve">Follows semantic line breaks best practice</w:t>
            </w:r>
          </w:p>
          <w:p>
            <w:pPr>
              <w:pStyle w:val="FirstParagraph"/>
            </w:pPr>
            <w:r>
              <w:rPr>
                <w:b/>
                <w:bCs/>
              </w:rPr>
              <w:t xml:space="preserve">Guidelines:</w:t>
            </w:r>
          </w:p>
          <w:p>
            <w:pPr>
              <w:pStyle w:val="Compact"/>
              <w:numPr>
                <w:ilvl w:val="0"/>
                <w:numId w:val="1106"/>
              </w:numPr>
            </w:pPr>
            <w:r>
              <w:t xml:space="preserve">Break after complete sentences (at periods)</w:t>
            </w:r>
          </w:p>
          <w:p>
            <w:pPr>
              <w:pStyle w:val="Compact"/>
              <w:numPr>
                <w:ilvl w:val="0"/>
                <w:numId w:val="1106"/>
              </w:numPr>
            </w:pPr>
            <w:r>
              <w:t xml:space="preserve">Break after long phrases or clauses (at commas or conjunctions)</w:t>
            </w:r>
          </w:p>
          <w:p>
            <w:pPr>
              <w:pStyle w:val="Compact"/>
              <w:numPr>
                <w:ilvl w:val="0"/>
                <w:numId w:val="1106"/>
              </w:numPr>
            </w:pPr>
            <w:r>
              <w:t xml:space="preserve">Break after approximately 60-80 characters when appropriate</w:t>
            </w:r>
          </w:p>
          <w:p>
            <w:pPr>
              <w:pStyle w:val="Compact"/>
              <w:numPr>
                <w:ilvl w:val="0"/>
                <w:numId w:val="1106"/>
              </w:numPr>
            </w:pPr>
            <w:r>
              <w:t xml:space="preserve">Keep related short phrases together on one line</w:t>
            </w:r>
          </w:p>
          <w:p>
            <w:pPr>
              <w:pStyle w:val="Compact"/>
              <w:numPr>
                <w:ilvl w:val="0"/>
                <w:numId w:val="1106"/>
              </w:numPr>
            </w:pPr>
            <w:r>
              <w:t xml:space="preserve">Don’t break in the middle of inline code, links, or formatting</w:t>
            </w:r>
          </w:p>
          <w:bookmarkEnd w:id="405"/>
          <w:bookmarkStart w:id="406" w:name="why-this-matters"/>
          <w:p>
            <w:pPr>
              <w:pStyle w:val="Heading3"/>
            </w:pPr>
            <w:r>
              <w:t xml:space="preserve">17.1.4 Why This Matters</w:t>
            </w:r>
          </w:p>
          <w:p>
            <w:pPr>
              <w:pStyle w:val="Compact"/>
              <w:numPr>
                <w:ilvl w:val="0"/>
                <w:numId w:val="1107"/>
              </w:numPr>
            </w:pPr>
            <w:r>
              <w:t xml:space="preserve">Ensures consistent markdown rendering across different platforms</w:t>
            </w:r>
          </w:p>
          <w:p>
            <w:pPr>
              <w:pStyle w:val="Compact"/>
              <w:numPr>
                <w:ilvl w:val="0"/>
                <w:numId w:val="1107"/>
              </w:numPr>
            </w:pPr>
            <w:r>
              <w:t xml:space="preserve">Improves readability in both source and rendered forms</w:t>
            </w:r>
          </w:p>
          <w:p>
            <w:pPr>
              <w:pStyle w:val="Compact"/>
              <w:numPr>
                <w:ilvl w:val="0"/>
                <w:numId w:val="1107"/>
              </w:numPr>
            </w:pPr>
            <w:r>
              <w:t xml:space="preserve">Prevents rendering issues in Quarto books</w:t>
            </w:r>
          </w:p>
          <w:p>
            <w:pPr>
              <w:pStyle w:val="Compact"/>
              <w:numPr>
                <w:ilvl w:val="0"/>
                <w:numId w:val="1107"/>
              </w:numPr>
            </w:pPr>
            <w:r>
              <w:t xml:space="preserve">Follows markdown best practices</w:t>
            </w:r>
          </w:p>
          <w:bookmarkEnd w:id="406"/>
          <w:bookmarkEnd w:id="407"/>
          <w:bookmarkStart w:id="408" w:name="r-code-style"/>
          <w:p>
            <w:pPr>
              <w:pStyle w:val="Heading2"/>
            </w:pPr>
            <w:r>
              <w:t xml:space="preserve">17.2 R Code Style</w:t>
            </w:r>
          </w:p>
          <w:p>
            <w:pPr>
              <w:pStyle w:val="Compact"/>
              <w:numPr>
                <w:ilvl w:val="0"/>
                <w:numId w:val="1108"/>
              </w:numPr>
            </w:pPr>
            <w:r>
              <w:t xml:space="preserve">Follow the tidyverse style guide: https://style.tidyverse.org</w:t>
            </w:r>
          </w:p>
          <w:p>
            <w:pPr>
              <w:pStyle w:val="Compact"/>
              <w:numPr>
                <w:ilvl w:val="0"/>
                <w:numId w:val="1108"/>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08"/>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08"/>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08"/>
              </w:numPr>
            </w:pPr>
            <w:r>
              <w:t xml:space="preserve">All R projects should use R package structure</w:t>
            </w:r>
          </w:p>
          <w:bookmarkEnd w:id="408"/>
          <w:bookmarkStart w:id="417" w:name="file-organization"/>
          <w:p>
            <w:pPr>
              <w:pStyle w:val="Heading2"/>
            </w:pPr>
            <w:r>
              <w:t xml:space="preserve">17.3 File Organization</w:t>
            </w:r>
          </w:p>
          <w:bookmarkStart w:id="416"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09" w:name="why-use-includes"/>
          <w:p>
            <w:pPr>
              <w:pStyle w:val="Heading4"/>
            </w:pPr>
            <w:r>
              <w:t xml:space="preserve">17.3.1.1 Why Use Includes?</w:t>
            </w:r>
          </w:p>
          <w:p>
            <w:pPr>
              <w:numPr>
                <w:ilvl w:val="0"/>
                <w:numId w:val="1109"/>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09"/>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09"/>
              </w:numPr>
            </w:pPr>
            <w:r>
              <w:rPr>
                <w:b/>
                <w:bCs/>
              </w:rPr>
              <w:t xml:space="preserve">Modular Maintenance</w:t>
            </w:r>
            <w:r>
              <w:t xml:space="preserve">: Each section lives in its own file, making it easier to:</w:t>
            </w:r>
          </w:p>
          <w:p>
            <w:pPr>
              <w:pStyle w:val="Compact"/>
              <w:numPr>
                <w:ilvl w:val="1"/>
                <w:numId w:val="1110"/>
              </w:numPr>
            </w:pPr>
            <w:r>
              <w:t xml:space="preserve">Find and edit specific content</w:t>
            </w:r>
          </w:p>
          <w:p>
            <w:pPr>
              <w:pStyle w:val="Compact"/>
              <w:numPr>
                <w:ilvl w:val="1"/>
                <w:numId w:val="1110"/>
              </w:numPr>
            </w:pPr>
            <w:r>
              <w:t xml:space="preserve">Reuse sections across chapters if needed</w:t>
            </w:r>
          </w:p>
          <w:p>
            <w:pPr>
              <w:pStyle w:val="Compact"/>
              <w:numPr>
                <w:ilvl w:val="1"/>
                <w:numId w:val="1110"/>
              </w:numPr>
            </w:pPr>
            <w:r>
              <w:t xml:space="preserve">Work on different sections simultaneously without merge conflicts</w:t>
            </w:r>
          </w:p>
          <w:p>
            <w:pPr>
              <w:pStyle w:val="Compact"/>
              <w:numPr>
                <w:ilvl w:val="1"/>
                <w:numId w:val="1110"/>
              </w:numPr>
            </w:pPr>
            <w:r>
              <w:t xml:space="preserve">Test and preview individual sections</w:t>
            </w:r>
          </w:p>
          <w:p>
            <w:pPr>
              <w:numPr>
                <w:ilvl w:val="0"/>
                <w:numId w:val="1109"/>
              </w:numPr>
            </w:pPr>
            <w:r>
              <w:rPr>
                <w:b/>
                <w:bCs/>
              </w:rPr>
              <w:t xml:space="preserve">Clear Structure</w:t>
            </w:r>
            <w:r>
              <w:t xml:space="preserve">: The main chapter file becomes a table of contents showing the organization at a glance.</w:t>
            </w:r>
          </w:p>
          <w:bookmarkEnd w:id="409"/>
          <w:bookmarkStart w:id="410"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1"/>
              </w:numPr>
            </w:pPr>
            <w:r>
              <w:t xml:space="preserve">Contains the chapter title and introduction</w:t>
            </w:r>
          </w:p>
          <w:p>
            <w:pPr>
              <w:pStyle w:val="Compact"/>
              <w:numPr>
                <w:ilvl w:val="0"/>
                <w:numId w:val="1111"/>
              </w:numPr>
            </w:pPr>
            <w:r>
              <w:t xml:space="preserve">Contains section headings (##, ###, etc.)</w:t>
            </w:r>
          </w:p>
          <w:p>
            <w:pPr>
              <w:pStyle w:val="Compact"/>
              <w:numPr>
                <w:ilvl w:val="0"/>
                <w:numId w:val="1111"/>
              </w:numPr>
            </w:pPr>
            <w:r>
              <w:t xml:space="preserve">Uses</w:t>
            </w:r>
            <w:r>
              <w:t xml:space="preserve"> </w:t>
            </w:r>
            <w:r>
              <w:rPr>
                <w:rStyle w:val="VerbatimChar"/>
              </w:rPr>
              <w:t xml:space="preserve">{{ &lt; include &gt; }}</w:t>
            </w:r>
            <w:r>
              <w:t xml:space="preserve"> </w:t>
            </w:r>
            <w:r>
              <w:t xml:space="preserve">statements to pull in content</w:t>
            </w:r>
          </w:p>
          <w:p>
            <w:pPr>
              <w:pStyle w:val="Compact"/>
              <w:numPr>
                <w:ilvl w:val="0"/>
                <w:numId w:val="1111"/>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2"/>
              </w:numPr>
            </w:pPr>
            <w:r>
              <w:t xml:space="preserve">Stored in a subdirectory matching the chapter name</w:t>
            </w:r>
          </w:p>
          <w:p>
            <w:pPr>
              <w:pStyle w:val="Compact"/>
              <w:numPr>
                <w:ilvl w:val="0"/>
                <w:numId w:val="1112"/>
              </w:numPr>
            </w:pPr>
            <w:r>
              <w:t xml:space="preserve">Contains only the content for that section (no heading)</w:t>
            </w:r>
          </w:p>
          <w:p>
            <w:pPr>
              <w:pStyle w:val="Compact"/>
              <w:numPr>
                <w:ilvl w:val="0"/>
                <w:numId w:val="1112"/>
              </w:numPr>
            </w:pPr>
            <w:r>
              <w:t xml:space="preserve">The heading stays in the main chapter file</w:t>
            </w:r>
          </w:p>
          <w:p>
            <w:pPr>
              <w:pStyle w:val="Compact"/>
              <w:numPr>
                <w:ilvl w:val="0"/>
                <w:numId w:val="1112"/>
              </w:numPr>
            </w:pPr>
            <w:r>
              <w:t xml:space="preserve">Named descriptively using kebab-case</w:t>
            </w:r>
          </w:p>
          <w:bookmarkEnd w:id="410"/>
          <w:bookmarkStart w:id="411"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p>
          <w:p>
            <w:pPr>
              <w:pStyle w:val="FirstParagraph"/>
            </w:pPr>
            <w:r>
              <w:rPr>
                <w:b/>
                <w:bCs/>
              </w:rPr>
              <w:t xml:space="preserve">Correct example:</w:t>
            </w:r>
          </w:p>
          <w:p>
            <w:pPr>
              <w:pStyle w:val="SourceCode"/>
            </w:pPr>
            <w:r>
              <w:rPr>
                <w:rStyle w:val="FunctionTok"/>
              </w:rPr>
              <w:t xml:space="preserve">## Lab Protocols for Code and Data</w:t>
            </w:r>
            <w:r>
              <w:br/>
            </w:r>
            <w:r>
              <w:br/>
            </w:r>
            <w:r>
              <w:rPr>
                <w:rStyle w:val="NormalTok"/>
              </w:rPr>
              <w:t xml:space="preserve">{{ &lt; include 05-coding-practices/lab-protocols-for-code-and-data.qmd &gt; }}</w:t>
            </w:r>
          </w:p>
          <w:p>
            <w:pPr>
              <w:pStyle w:val="FirstParagraph"/>
            </w:pPr>
            <w:r>
              <w:rPr>
                <w:b/>
                <w:bCs/>
              </w:rPr>
              <w:t xml:space="preserve">Incorrect (don’t do this):</w:t>
            </w:r>
          </w:p>
          <w:p>
            <w:pPr>
              <w:pStyle w:val="SourceCode"/>
            </w:pPr>
            <w:r>
              <w:rPr>
                <w:rStyle w:val="NormalTok"/>
              </w:rPr>
              <w:t xml:space="preserve">{{ &lt; include 05-coding-practices/lab-protocols-for-code-and-data.qmd &gt; }}</w:t>
            </w:r>
          </w:p>
          <w:p>
            <w:pPr>
              <w:pStyle w:val="FirstParagraph"/>
            </w:pPr>
            <w:r>
              <w:t xml:space="preserve">The heading must be in the main file, followed by a blank line, then the include statement.</w:t>
            </w:r>
          </w:p>
          <w:bookmarkEnd w:id="411"/>
          <w:bookmarkStart w:id="412" w:name="file-naming-conventions"/>
          <w:p>
            <w:pPr>
              <w:pStyle w:val="Heading4"/>
            </w:pPr>
            <w:r>
              <w:t xml:space="preserve">17.3.1.4 File Naming Conventions</w:t>
            </w:r>
          </w:p>
          <w:p>
            <w:pPr>
              <w:pStyle w:val="Compact"/>
              <w:numPr>
                <w:ilvl w:val="0"/>
                <w:numId w:val="1113"/>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3"/>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3"/>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3"/>
              </w:numPr>
            </w:pPr>
            <w:r>
              <w:t xml:space="preserve">Use descriptive names that clearly indicate the content</w:t>
            </w:r>
          </w:p>
          <w:p>
            <w:pPr>
              <w:pStyle w:val="Compact"/>
              <w:numPr>
                <w:ilvl w:val="0"/>
                <w:numId w:val="1113"/>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2"/>
          <w:bookmarkStart w:id="413"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 &lt; include 05-coding-practices/object-naming.qmd &gt; }}</w:t>
            </w:r>
            <w:r>
              <w:br/>
            </w:r>
            <w:r>
              <w:rPr>
                <w:rStyle w:val="VariableTok"/>
              </w:rPr>
              <w:t xml:space="preserve">+{{ &lt; include 05-coding-practices/function-calls.qmd &gt; }}</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 &lt; include 05-coding-practices/function-calls.qmd &gt; }}</w:t>
            </w:r>
            <w:r>
              <w:br/>
            </w:r>
            <w:r>
              <w:rPr>
                <w:rStyle w:val="VariableTok"/>
              </w:rPr>
              <w:t xml:space="preserve">+{{ &lt; include 05-coding-practices/object-naming.qmd &gt; }}</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13"/>
          <w:bookmarkStart w:id="414"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14"/>
              </w:numPr>
            </w:pPr>
            <w:r>
              <w:t xml:space="preserve">Adding a new section to a chapter</w:t>
            </w:r>
          </w:p>
          <w:p>
            <w:pPr>
              <w:pStyle w:val="Compact"/>
              <w:numPr>
                <w:ilvl w:val="0"/>
                <w:numId w:val="1114"/>
              </w:numPr>
            </w:pPr>
            <w:r>
              <w:t xml:space="preserve">A section becomes long enough to benefit from being in its own file (&gt;20-30 lines)</w:t>
            </w:r>
          </w:p>
          <w:p>
            <w:pPr>
              <w:pStyle w:val="Compact"/>
              <w:numPr>
                <w:ilvl w:val="0"/>
                <w:numId w:val="1114"/>
              </w:numPr>
            </w:pPr>
            <w:r>
              <w:t xml:space="preserve">Content might be reused elsewhere</w:t>
            </w:r>
          </w:p>
          <w:p>
            <w:pPr>
              <w:pStyle w:val="Compact"/>
              <w:numPr>
                <w:ilvl w:val="0"/>
                <w:numId w:val="1114"/>
              </w:numPr>
            </w:pPr>
            <w:r>
              <w:t xml:space="preserve">You want to work on a section independently</w:t>
            </w:r>
          </w:p>
          <w:bookmarkEnd w:id="414"/>
          <w:bookmarkStart w:id="415"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15"/>
              </w:numPr>
            </w:pPr>
            <w:r>
              <w:t xml:space="preserve">Create a subdirectory matching the chapter name</w:t>
            </w:r>
          </w:p>
          <w:p>
            <w:pPr>
              <w:pStyle w:val="Compact"/>
              <w:numPr>
                <w:ilvl w:val="0"/>
                <w:numId w:val="1115"/>
              </w:numPr>
            </w:pPr>
            <w:r>
              <w:t xml:space="preserve">Extract each section into its own include file</w:t>
            </w:r>
          </w:p>
          <w:p>
            <w:pPr>
              <w:pStyle w:val="Compact"/>
              <w:numPr>
                <w:ilvl w:val="0"/>
                <w:numId w:val="1115"/>
              </w:numPr>
            </w:pPr>
            <w:r>
              <w:t xml:space="preserve">Update the main chapter file to use includes</w:t>
            </w:r>
          </w:p>
          <w:p>
            <w:pPr>
              <w:pStyle w:val="Compact"/>
              <w:numPr>
                <w:ilvl w:val="0"/>
                <w:numId w:val="1115"/>
              </w:numPr>
            </w:pPr>
            <w:r>
              <w:t xml:space="preserve">Keep headings in the main file</w:t>
            </w:r>
          </w:p>
          <w:p>
            <w:pPr>
              <w:pStyle w:val="Compact"/>
              <w:numPr>
                <w:ilvl w:val="0"/>
                <w:numId w:val="1115"/>
              </w:numPr>
            </w:pPr>
            <w:r>
              <w:t xml:space="preserve">Ensure blank lines before include statements</w:t>
            </w:r>
          </w:p>
          <w:p>
            <w:pPr>
              <w:pStyle w:val="Compact"/>
              <w:numPr>
                <w:ilvl w:val="0"/>
                <w:numId w:val="1115"/>
              </w:numPr>
            </w:pPr>
            <w:r>
              <w:t xml:space="preserve">Test that rendering still works correctly</w:t>
            </w:r>
          </w:p>
          <w:bookmarkEnd w:id="415"/>
          <w:bookmarkEnd w:id="416"/>
          <w:bookmarkEnd w:id="417"/>
          <w:bookmarkStart w:id="418"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16"/>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16"/>
              </w:numPr>
            </w:pPr>
            <w:r>
              <w:rPr>
                <w:b/>
                <w:bCs/>
              </w:rPr>
              <w:t xml:space="preserve">Review comments</w:t>
            </w:r>
            <w:r>
              <w:t xml:space="preserve">: Look for and address any comments in the DOCX file that may provide context or instructions for edits</w:t>
            </w:r>
          </w:p>
          <w:p>
            <w:pPr>
              <w:pStyle w:val="Compact"/>
              <w:numPr>
                <w:ilvl w:val="0"/>
                <w:numId w:val="1116"/>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16"/>
              </w:numPr>
            </w:pPr>
            <w:r>
              <w:rPr>
                <w:b/>
                <w:bCs/>
              </w:rPr>
              <w:t xml:space="preserve">Preserve formatting</w:t>
            </w:r>
            <w:r>
              <w:t xml:space="preserve">: Ensure that formatting, citations, and cross-references are properly converted to Quarto/markdown syntax</w:t>
            </w:r>
          </w:p>
          <w:p>
            <w:pPr>
              <w:pStyle w:val="Compact"/>
              <w:numPr>
                <w:ilvl w:val="0"/>
                <w:numId w:val="1116"/>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18"/>
          <w:bookmarkStart w:id="419" w:name="additional-guidelines"/>
          <w:p>
            <w:pPr>
              <w:pStyle w:val="Heading2"/>
            </w:pPr>
            <w:r>
              <w:t xml:space="preserve">17.5 Additional Guidelines</w:t>
            </w:r>
          </w:p>
          <w:p>
            <w:pPr>
              <w:pStyle w:val="Compact"/>
              <w:numPr>
                <w:ilvl w:val="0"/>
                <w:numId w:val="1117"/>
              </w:numPr>
            </w:pPr>
            <w:r>
              <w:t xml:space="preserve">Maintain consistency with existing code style</w:t>
            </w:r>
          </w:p>
          <w:p>
            <w:pPr>
              <w:pStyle w:val="Compact"/>
              <w:numPr>
                <w:ilvl w:val="0"/>
                <w:numId w:val="1117"/>
              </w:numPr>
            </w:pPr>
            <w:r>
              <w:t xml:space="preserve">Preserve all existing content when refactoring</w:t>
            </w:r>
          </w:p>
          <w:p>
            <w:pPr>
              <w:pStyle w:val="Compact"/>
              <w:numPr>
                <w:ilvl w:val="0"/>
                <w:numId w:val="1117"/>
              </w:numPr>
            </w:pPr>
            <w:r>
              <w:t xml:space="preserve">Add blank lines before all lists</w:t>
            </w:r>
          </w:p>
          <w:p>
            <w:pPr>
              <w:pStyle w:val="Compact"/>
              <w:numPr>
                <w:ilvl w:val="0"/>
                <w:numId w:val="1117"/>
              </w:numPr>
            </w:pPr>
            <w:r>
              <w:t xml:space="preserve">Follow the lab’s R package development workflow (as described throughout this repo)</w:t>
            </w:r>
          </w:p>
          <w:p/>
        </w:tc>
      </w:tr>
    </w:tbl>
    <w:bookmarkEnd w:id="419"/>
    <w:bookmarkEnd w:id="420"/>
    <w:bookmarkEnd w:id="421"/>
    <w:bookmarkEnd w:id="422"/>
    <w:bookmarkStart w:id="435" w:name="checklists"/>
    <w:p>
      <w:pPr>
        <w:pStyle w:val="Heading1"/>
      </w:pPr>
      <w:r>
        <w:t xml:space="preserve">18. Checklists</w:t>
      </w:r>
    </w:p>
    <w:p>
      <w:pPr>
        <w:pStyle w:val="FirstParagraph"/>
      </w:pPr>
      <w:r>
        <w:t xml:space="preserve">Adapted by UCD-SeRG team from</w:t>
      </w:r>
      <w:r>
        <w:t xml:space="preserve"> </w:t>
      </w:r>
      <w:hyperlink r:id="rId423">
        <w:r>
          <w:rPr>
            <w:rStyle w:val="Hyperlink"/>
          </w:rPr>
          <w:t xml:space="preserve">original by Jade Benjamin-Chung</w:t>
        </w:r>
      </w:hyperlink>
    </w:p>
    <w:bookmarkStart w:id="424" w:name="pre-analysis-plan-checklist"/>
    <w:p>
      <w:pPr>
        <w:pStyle w:val="Heading2"/>
      </w:pPr>
      <w:r>
        <w:t xml:space="preserve">18.1 Pre-analysis plan checklist</w:t>
      </w:r>
    </w:p>
    <w:p>
      <w:pPr>
        <w:pStyle w:val="Compact"/>
        <w:numPr>
          <w:ilvl w:val="0"/>
          <w:numId w:val="1118"/>
        </w:numPr>
      </w:pPr>
      <w:r>
        <w:t xml:space="preserve">Brief background on the study (a condensed version of the introduction section of the paper)</w:t>
      </w:r>
    </w:p>
    <w:p>
      <w:pPr>
        <w:pStyle w:val="Compact"/>
        <w:numPr>
          <w:ilvl w:val="0"/>
          <w:numId w:val="1118"/>
        </w:numPr>
      </w:pPr>
      <w:r>
        <w:t xml:space="preserve">Hypotheses / objectives</w:t>
      </w:r>
    </w:p>
    <w:p>
      <w:pPr>
        <w:pStyle w:val="Compact"/>
        <w:numPr>
          <w:ilvl w:val="0"/>
          <w:numId w:val="1118"/>
        </w:numPr>
      </w:pPr>
      <w:r>
        <w:t xml:space="preserve">Study design</w:t>
      </w:r>
    </w:p>
    <w:p>
      <w:pPr>
        <w:pStyle w:val="Compact"/>
        <w:numPr>
          <w:ilvl w:val="0"/>
          <w:numId w:val="1118"/>
        </w:numPr>
      </w:pPr>
      <w:r>
        <w:t xml:space="preserve">Description of data</w:t>
      </w:r>
    </w:p>
    <w:p>
      <w:pPr>
        <w:pStyle w:val="Compact"/>
        <w:numPr>
          <w:ilvl w:val="0"/>
          <w:numId w:val="1118"/>
        </w:numPr>
      </w:pPr>
      <w:r>
        <w:t xml:space="preserve">Definition of outcomes</w:t>
      </w:r>
    </w:p>
    <w:p>
      <w:pPr>
        <w:pStyle w:val="Compact"/>
        <w:numPr>
          <w:ilvl w:val="0"/>
          <w:numId w:val="1118"/>
        </w:numPr>
      </w:pPr>
      <w:r>
        <w:t xml:space="preserve">Definition of interventions / exposures</w:t>
      </w:r>
    </w:p>
    <w:p>
      <w:pPr>
        <w:pStyle w:val="Compact"/>
        <w:numPr>
          <w:ilvl w:val="0"/>
          <w:numId w:val="1118"/>
        </w:numPr>
      </w:pPr>
      <w:r>
        <w:t xml:space="preserve">Definition of covariates</w:t>
      </w:r>
    </w:p>
    <w:p>
      <w:pPr>
        <w:pStyle w:val="Compact"/>
        <w:numPr>
          <w:ilvl w:val="0"/>
          <w:numId w:val="1118"/>
        </w:numPr>
      </w:pPr>
      <w:r>
        <w:t xml:space="preserve">Statistical power calculation</w:t>
      </w:r>
    </w:p>
    <w:p>
      <w:pPr>
        <w:pStyle w:val="Compact"/>
        <w:numPr>
          <w:ilvl w:val="0"/>
          <w:numId w:val="1118"/>
        </w:numPr>
      </w:pPr>
      <w:r>
        <w:t xml:space="preserve">Statistical model description</w:t>
      </w:r>
    </w:p>
    <w:p>
      <w:pPr>
        <w:pStyle w:val="Compact"/>
        <w:numPr>
          <w:ilvl w:val="0"/>
          <w:numId w:val="1118"/>
        </w:numPr>
      </w:pPr>
      <w:r>
        <w:t xml:space="preserve">Covariate selection / screening</w:t>
      </w:r>
    </w:p>
    <w:p>
      <w:pPr>
        <w:pStyle w:val="Compact"/>
        <w:numPr>
          <w:ilvl w:val="0"/>
          <w:numId w:val="1118"/>
        </w:numPr>
      </w:pPr>
      <w:r>
        <w:t xml:space="preserve">Standard error estimation method</w:t>
      </w:r>
    </w:p>
    <w:p>
      <w:pPr>
        <w:pStyle w:val="Compact"/>
        <w:numPr>
          <w:ilvl w:val="0"/>
          <w:numId w:val="1118"/>
        </w:numPr>
      </w:pPr>
      <w:r>
        <w:t xml:space="preserve">Missing data analysis</w:t>
      </w:r>
    </w:p>
    <w:p>
      <w:pPr>
        <w:pStyle w:val="Compact"/>
        <w:numPr>
          <w:ilvl w:val="0"/>
          <w:numId w:val="1118"/>
        </w:numPr>
      </w:pPr>
      <w:r>
        <w:t xml:space="preserve">Assessment of effect modification / subgroup analyses</w:t>
      </w:r>
    </w:p>
    <w:p>
      <w:pPr>
        <w:pStyle w:val="Compact"/>
        <w:numPr>
          <w:ilvl w:val="0"/>
          <w:numId w:val="1118"/>
        </w:numPr>
      </w:pPr>
      <w:r>
        <w:t xml:space="preserve">Sensitivity analyses</w:t>
      </w:r>
    </w:p>
    <w:p>
      <w:pPr>
        <w:pStyle w:val="Compact"/>
        <w:numPr>
          <w:ilvl w:val="0"/>
          <w:numId w:val="1118"/>
        </w:numPr>
      </w:pPr>
      <w:r>
        <w:t xml:space="preserve">Negative control analyses</w:t>
      </w:r>
    </w:p>
    <w:bookmarkEnd w:id="424"/>
    <w:bookmarkStart w:id="426" w:name="code-checklist"/>
    <w:p>
      <w:pPr>
        <w:pStyle w:val="Heading2"/>
      </w:pPr>
      <w:r>
        <w:t xml:space="preserve">18.2 Code checklist</w:t>
      </w:r>
    </w:p>
    <w:p>
      <w:pPr>
        <w:pStyle w:val="Compact"/>
        <w:numPr>
          <w:ilvl w:val="0"/>
          <w:numId w:val="1119"/>
        </w:numPr>
      </w:pPr>
      <w:r>
        <w:t xml:space="preserve">Does the script run without errors?</w:t>
      </w:r>
    </w:p>
    <w:p>
      <w:pPr>
        <w:pStyle w:val="Compact"/>
        <w:numPr>
          <w:ilvl w:val="0"/>
          <w:numId w:val="1119"/>
        </w:numPr>
      </w:pPr>
      <w:r>
        <w:t xml:space="preserve">Is code self-contained within repo and/or associated Box folder?</w:t>
      </w:r>
    </w:p>
    <w:p>
      <w:pPr>
        <w:pStyle w:val="Compact"/>
        <w:numPr>
          <w:ilvl w:val="0"/>
          <w:numId w:val="1119"/>
        </w:numPr>
      </w:pPr>
      <w:r>
        <w:t xml:space="preserve">Is all commented out code / remarks removed?</w:t>
      </w:r>
    </w:p>
    <w:p>
      <w:pPr>
        <w:pStyle w:val="Compact"/>
        <w:numPr>
          <w:ilvl w:val="0"/>
          <w:numId w:val="1119"/>
        </w:numPr>
      </w:pPr>
      <w:r>
        <w:t xml:space="preserve">Does the header accurately describe the process completed in the script?</w:t>
      </w:r>
    </w:p>
    <w:p>
      <w:pPr>
        <w:pStyle w:val="Compact"/>
        <w:numPr>
          <w:ilvl w:val="0"/>
          <w:numId w:val="1119"/>
        </w:numPr>
      </w:pPr>
      <w:r>
        <w:t xml:space="preserve">Is the script pushed to its github repository?</w:t>
      </w:r>
    </w:p>
    <w:p>
      <w:pPr>
        <w:pStyle w:val="Compact"/>
        <w:numPr>
          <w:ilvl w:val="0"/>
          <w:numId w:val="1119"/>
        </w:numPr>
      </w:pPr>
      <w:r>
        <w:t xml:space="preserve">Does the code adhere to the</w:t>
      </w:r>
      <w:r>
        <w:t xml:space="preserve"> </w:t>
      </w:r>
      <w:hyperlink r:id="rId425">
        <w:r>
          <w:rPr>
            <w:rStyle w:val="Hyperlink"/>
          </w:rPr>
          <w:t xml:space="preserve">coding style guide</w:t>
        </w:r>
      </w:hyperlink>
      <w:r>
        <w:t xml:space="preserve">?</w:t>
      </w:r>
    </w:p>
    <w:p>
      <w:pPr>
        <w:pStyle w:val="Compact"/>
        <w:numPr>
          <w:ilvl w:val="0"/>
          <w:numId w:val="1119"/>
        </w:numPr>
      </w:pPr>
      <w:r>
        <w:t xml:space="preserve">Are all warnings ignorable? Should any warnings be intentionally suppressed or addressed?</w:t>
      </w:r>
    </w:p>
    <w:bookmarkEnd w:id="426"/>
    <w:bookmarkStart w:id="430" w:name="manuscript-checklist"/>
    <w:p>
      <w:pPr>
        <w:pStyle w:val="Heading2"/>
      </w:pPr>
      <w:r>
        <w:t xml:space="preserve">18.3 Manuscript checklist</w:t>
      </w:r>
    </w:p>
    <w:p>
      <w:pPr>
        <w:pStyle w:val="FirstParagraph"/>
      </w:pPr>
      <w:r>
        <w:rPr>
          <w:i/>
          <w:iCs/>
        </w:rPr>
        <w:t xml:space="preserve">This is adapted in part from</w:t>
      </w:r>
      <w:r>
        <w:rPr>
          <w:i/>
          <w:iCs/>
        </w:rPr>
        <w:t xml:space="preserve"> </w:t>
      </w:r>
      <w:hyperlink r:id="rId427">
        <w:r>
          <w:rPr>
            <w:rStyle w:val="Hyperlink"/>
            <w:i/>
            <w:iCs/>
          </w:rPr>
          <w:t xml:space="preserve">this article</w:t>
        </w:r>
      </w:hyperlink>
      <w:r>
        <w:rPr>
          <w:i/>
          <w:iCs/>
        </w:rPr>
        <w:t xml:space="preserve">.</w:t>
      </w:r>
    </w:p>
    <w:p>
      <w:pPr>
        <w:pStyle w:val="Compact"/>
        <w:numPr>
          <w:ilvl w:val="0"/>
          <w:numId w:val="1120"/>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0"/>
        </w:numPr>
      </w:pPr>
      <w:r>
        <w:t xml:space="preserve">Are the study results within the manuscript replicable (i.e., if you rerun the code in the study’s repository, the tables and figures will be exactly replicated?)</w:t>
      </w:r>
    </w:p>
    <w:p>
      <w:pPr>
        <w:pStyle w:val="Compact"/>
        <w:numPr>
          <w:ilvl w:val="0"/>
          <w:numId w:val="1120"/>
        </w:numPr>
      </w:pPr>
      <w:r>
        <w:t xml:space="preserve">Is a target journal selected?</w:t>
      </w:r>
    </w:p>
    <w:p>
      <w:pPr>
        <w:pStyle w:val="Compact"/>
        <w:numPr>
          <w:ilvl w:val="0"/>
          <w:numId w:val="1120"/>
        </w:numPr>
      </w:pPr>
      <w:r>
        <w:t xml:space="preserve">Is the title declarative, in other words, does it state the object/findings rather than suggest them?</w:t>
      </w:r>
    </w:p>
    <w:p>
      <w:pPr>
        <w:pStyle w:val="Compact"/>
        <w:numPr>
          <w:ilvl w:val="0"/>
          <w:numId w:val="1120"/>
        </w:numPr>
      </w:pPr>
      <w:r>
        <w:t xml:space="preserve">Is the word count of the manuscript close to the target journal’s allowance?</w:t>
      </w:r>
    </w:p>
    <w:p>
      <w:pPr>
        <w:pStyle w:val="Compact"/>
        <w:numPr>
          <w:ilvl w:val="0"/>
          <w:numId w:val="1120"/>
        </w:numPr>
      </w:pPr>
      <w:r>
        <w:t xml:space="preserve">Does the manuscript adhere to the formatting guide of the target journal?</w:t>
      </w:r>
    </w:p>
    <w:p>
      <w:pPr>
        <w:pStyle w:val="Compact"/>
        <w:numPr>
          <w:ilvl w:val="0"/>
          <w:numId w:val="1120"/>
        </w:numPr>
      </w:pPr>
      <w:r>
        <w:t xml:space="preserve">Does the manuscript use a consistent voice (passive or active – usually active is preferred … pun intended)?</w:t>
      </w:r>
    </w:p>
    <w:p>
      <w:pPr>
        <w:pStyle w:val="Compact"/>
        <w:numPr>
          <w:ilvl w:val="0"/>
          <w:numId w:val="1120"/>
        </w:numPr>
      </w:pPr>
      <w:r>
        <w:t xml:space="preserve">Is each figure and table (including supplementary material) referenced in the main text?</w:t>
      </w:r>
    </w:p>
    <w:p>
      <w:pPr>
        <w:pStyle w:val="Compact"/>
        <w:numPr>
          <w:ilvl w:val="0"/>
          <w:numId w:val="1120"/>
        </w:numPr>
      </w:pPr>
      <w:r>
        <w:t xml:space="preserve">Is there a caption for each figure and table (including supplementary material)?</w:t>
      </w:r>
    </w:p>
    <w:p>
      <w:pPr>
        <w:pStyle w:val="Compact"/>
        <w:numPr>
          <w:ilvl w:val="0"/>
          <w:numId w:val="1120"/>
        </w:numPr>
      </w:pPr>
      <w:r>
        <w:t xml:space="preserve">Are tables/figures and supplementary material numbered in accordance with their appearance in the main text?</w:t>
      </w:r>
    </w:p>
    <w:p>
      <w:pPr>
        <w:pStyle w:val="Compact"/>
        <w:numPr>
          <w:ilvl w:val="0"/>
          <w:numId w:val="1120"/>
        </w:numPr>
      </w:pPr>
      <w:r>
        <w:t xml:space="preserve">Does the text use past tense if it is reporting research findings or future tense if it is a study protocol?</w:t>
      </w:r>
    </w:p>
    <w:p>
      <w:pPr>
        <w:pStyle w:val="Compact"/>
        <w:numPr>
          <w:ilvl w:val="0"/>
          <w:numId w:val="112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0"/>
        </w:numPr>
      </w:pPr>
      <w:r>
        <w:t xml:space="preserve">Does the text use minimal abbreviations, and are all abbreviations defined at first use?</w:t>
      </w:r>
    </w:p>
    <w:p>
      <w:pPr>
        <w:pStyle w:val="Compact"/>
        <w:numPr>
          <w:ilvl w:val="0"/>
          <w:numId w:val="112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28">
        <w:r>
          <w:rPr>
            <w:rStyle w:val="Hyperlink"/>
          </w:rPr>
          <w:t xml:space="preserve">here</w:t>
        </w:r>
      </w:hyperlink>
      <w:r>
        <w:t xml:space="preserve">)</w:t>
      </w:r>
    </w:p>
    <w:p>
      <w:pPr>
        <w:pStyle w:val="Compact"/>
        <w:numPr>
          <w:ilvl w:val="0"/>
          <w:numId w:val="1120"/>
        </w:numPr>
      </w:pPr>
      <w:r>
        <w:t xml:space="preserve">Have you drafted author contributions? Do they follow the</w:t>
      </w:r>
      <w:r>
        <w:t xml:space="preserve"> </w:t>
      </w:r>
      <w:hyperlink r:id="rId429">
        <w:r>
          <w:rPr>
            <w:rStyle w:val="Hyperlink"/>
          </w:rPr>
          <w:t xml:space="preserve">CRediT Taxonomy</w:t>
        </w:r>
      </w:hyperlink>
      <w:r>
        <w:t xml:space="preserve"> </w:t>
      </w:r>
      <w:r>
        <w:t xml:space="preserve">for author contributions?</w:t>
      </w:r>
    </w:p>
    <w:bookmarkEnd w:id="430"/>
    <w:bookmarkStart w:id="434" w:name="figure-checklist"/>
    <w:p>
      <w:pPr>
        <w:pStyle w:val="Heading2"/>
      </w:pPr>
      <w:r>
        <w:t xml:space="preserve">18.4 Figure checklist</w:t>
      </w:r>
    </w:p>
    <w:p>
      <w:pPr>
        <w:pStyle w:val="Compact"/>
        <w:numPr>
          <w:ilvl w:val="0"/>
          <w:numId w:val="1121"/>
        </w:numPr>
      </w:pPr>
      <w:r>
        <w:t xml:space="preserve">Are the x-axis and y-axis labeled?</w:t>
      </w:r>
    </w:p>
    <w:p>
      <w:pPr>
        <w:pStyle w:val="Compact"/>
        <w:numPr>
          <w:ilvl w:val="0"/>
          <w:numId w:val="1121"/>
        </w:numPr>
      </w:pPr>
      <w:r>
        <w:t xml:space="preserve">If the figure includes panels, is each panel labeled?</w:t>
      </w:r>
    </w:p>
    <w:p>
      <w:pPr>
        <w:pStyle w:val="Compact"/>
        <w:numPr>
          <w:ilvl w:val="0"/>
          <w:numId w:val="1121"/>
        </w:numPr>
      </w:pPr>
      <w:r>
        <w:t xml:space="preserve">Are there sufficient numerical / text labels and breaks on the x-axis and y-axis?</w:t>
      </w:r>
    </w:p>
    <w:p>
      <w:pPr>
        <w:pStyle w:val="Compact"/>
        <w:numPr>
          <w:ilvl w:val="0"/>
          <w:numId w:val="1121"/>
        </w:numPr>
      </w:pPr>
      <w:r>
        <w:t xml:space="preserve">Is the font size appropriate (i.e., large enough to read, not so large that it distracts from the data presented in the figure?)</w:t>
      </w:r>
    </w:p>
    <w:p>
      <w:pPr>
        <w:pStyle w:val="Compact"/>
        <w:numPr>
          <w:ilvl w:val="0"/>
          <w:numId w:val="1121"/>
        </w:numPr>
      </w:pPr>
      <w:r>
        <w:t xml:space="preserve">Are the colors used colorblind friendly? See a colorblind-friendly palette</w:t>
      </w:r>
      <w:r>
        <w:t xml:space="preserve"> </w:t>
      </w:r>
      <w:hyperlink r:id="rId431">
        <w:r>
          <w:rPr>
            <w:rStyle w:val="Hyperlink"/>
          </w:rPr>
          <w:t xml:space="preserve">here</w:t>
        </w:r>
      </w:hyperlink>
      <w:r>
        <w:t xml:space="preserve">, a neat palette generator with colorblind options</w:t>
      </w:r>
      <w:r>
        <w:t xml:space="preserve"> </w:t>
      </w:r>
      <w:hyperlink r:id="rId432">
        <w:r>
          <w:rPr>
            <w:rStyle w:val="Hyperlink"/>
          </w:rPr>
          <w:t xml:space="preserve">here</w:t>
        </w:r>
      </w:hyperlink>
      <w:r>
        <w:t xml:space="preserve">, and an article on why this matters</w:t>
      </w:r>
      <w:r>
        <w:t xml:space="preserve"> </w:t>
      </w:r>
      <w:hyperlink r:id="rId433">
        <w:r>
          <w:rPr>
            <w:rStyle w:val="Hyperlink"/>
          </w:rPr>
          <w:t xml:space="preserve">here</w:t>
        </w:r>
      </w:hyperlink>
    </w:p>
    <w:p>
      <w:pPr>
        <w:pStyle w:val="Compact"/>
        <w:numPr>
          <w:ilvl w:val="0"/>
          <w:numId w:val="1121"/>
        </w:numPr>
      </w:pPr>
      <w:r>
        <w:t xml:space="preserve">Are colors/shapes/line types defined in a legend?</w:t>
      </w:r>
    </w:p>
    <w:p>
      <w:pPr>
        <w:pStyle w:val="Compact"/>
        <w:numPr>
          <w:ilvl w:val="0"/>
          <w:numId w:val="1121"/>
        </w:numPr>
      </w:pPr>
      <w:r>
        <w:t xml:space="preserve">Are the legends and other labels easy to understand with minimal abbreviations?</w:t>
      </w:r>
    </w:p>
    <w:p>
      <w:pPr>
        <w:pStyle w:val="Compact"/>
        <w:numPr>
          <w:ilvl w:val="0"/>
          <w:numId w:val="1121"/>
        </w:numPr>
      </w:pPr>
      <w:r>
        <w:t xml:space="preserve">If there is overplotting, is transparency used to show overlapping data?</w:t>
      </w:r>
    </w:p>
    <w:p>
      <w:pPr>
        <w:pStyle w:val="Compact"/>
        <w:numPr>
          <w:ilvl w:val="0"/>
          <w:numId w:val="1121"/>
        </w:numPr>
      </w:pPr>
      <w:r>
        <w:t xml:space="preserve">Are 95% confidence intervals or other measures of precision shown, if applicable?</w:t>
      </w:r>
    </w:p>
    <w:bookmarkEnd w:id="434"/>
    <w:bookmarkEnd w:id="435"/>
    <w:bookmarkStart w:id="474" w:name="resources"/>
    <w:p>
      <w:pPr>
        <w:pStyle w:val="Heading1"/>
      </w:pPr>
      <w:r>
        <w:t xml:space="preserve">19. Resources</w:t>
      </w:r>
    </w:p>
    <w:p>
      <w:pPr>
        <w:pStyle w:val="FirstParagraph"/>
      </w:pPr>
      <w:r>
        <w:t xml:space="preserve">Adapted by UCD-SeRG team from</w:t>
      </w:r>
      <w:r>
        <w:t xml:space="preserve"> </w:t>
      </w:r>
      <w:hyperlink r:id="rId436">
        <w:r>
          <w:rPr>
            <w:rStyle w:val="Hyperlink"/>
          </w:rPr>
          <w:t xml:space="preserve">original by Jade Benjamin-Chung and Kunal Mishra</w:t>
        </w:r>
      </w:hyperlink>
    </w:p>
    <w:bookmarkStart w:id="447" w:name="resources-for-r"/>
    <w:p>
      <w:pPr>
        <w:pStyle w:val="Heading2"/>
      </w:pPr>
      <w:r>
        <w:t xml:space="preserve">19.1 Resources for R</w:t>
      </w:r>
    </w:p>
    <w:bookmarkStart w:id="438" w:name="books-and-comprehensive-guides"/>
    <w:p>
      <w:pPr>
        <w:pStyle w:val="Heading3"/>
      </w:pPr>
      <w:r>
        <w:t xml:space="preserve">19.1.1 Books and Comprehensive Guides</w:t>
      </w:r>
    </w:p>
    <w:p>
      <w:pPr>
        <w:pStyle w:val="Compact"/>
        <w:numPr>
          <w:ilvl w:val="0"/>
          <w:numId w:val="1122"/>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2"/>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2"/>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2"/>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2"/>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2"/>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2"/>
        </w:numPr>
      </w:pPr>
      <w:hyperlink r:id="rId437">
        <w:r>
          <w:rPr>
            <w:rStyle w:val="Hyperlink"/>
          </w:rPr>
          <w:t xml:space="preserve">Jade’s R-for-epi course</w:t>
        </w:r>
      </w:hyperlink>
    </w:p>
    <w:bookmarkEnd w:id="438"/>
    <w:bookmarkStart w:id="443" w:name="cheat-sheets"/>
    <w:p>
      <w:pPr>
        <w:pStyle w:val="Heading3"/>
      </w:pPr>
      <w:r>
        <w:t xml:space="preserve">19.1.2 Cheat Sheets</w:t>
      </w:r>
    </w:p>
    <w:p>
      <w:pPr>
        <w:pStyle w:val="Compact"/>
        <w:numPr>
          <w:ilvl w:val="0"/>
          <w:numId w:val="1123"/>
        </w:numPr>
      </w:pPr>
      <w:hyperlink r:id="rId439">
        <w:r>
          <w:rPr>
            <w:rStyle w:val="Hyperlink"/>
          </w:rPr>
          <w:t xml:space="preserve">dplyr and tidyr cheat sheet</w:t>
        </w:r>
      </w:hyperlink>
    </w:p>
    <w:p>
      <w:pPr>
        <w:pStyle w:val="Compact"/>
        <w:numPr>
          <w:ilvl w:val="0"/>
          <w:numId w:val="1123"/>
        </w:numPr>
      </w:pPr>
      <w:hyperlink r:id="rId440">
        <w:r>
          <w:rPr>
            <w:rStyle w:val="Hyperlink"/>
          </w:rPr>
          <w:t xml:space="preserve">ggplot cheat sheet</w:t>
        </w:r>
      </w:hyperlink>
    </w:p>
    <w:p>
      <w:pPr>
        <w:pStyle w:val="Compact"/>
        <w:numPr>
          <w:ilvl w:val="0"/>
          <w:numId w:val="1123"/>
        </w:numPr>
      </w:pPr>
      <w:hyperlink r:id="rId441">
        <w:r>
          <w:rPr>
            <w:rStyle w:val="Hyperlink"/>
          </w:rPr>
          <w:t xml:space="preserve">data table cheat sheet</w:t>
        </w:r>
      </w:hyperlink>
    </w:p>
    <w:p>
      <w:pPr>
        <w:pStyle w:val="Compact"/>
        <w:numPr>
          <w:ilvl w:val="0"/>
          <w:numId w:val="1123"/>
        </w:numPr>
      </w:pPr>
      <w:hyperlink r:id="rId442">
        <w:r>
          <w:rPr>
            <w:rStyle w:val="Hyperlink"/>
          </w:rPr>
          <w:t xml:space="preserve">RMarkdown cheat sheet</w:t>
        </w:r>
      </w:hyperlink>
    </w:p>
    <w:bookmarkEnd w:id="443"/>
    <w:bookmarkStart w:id="445" w:name="style-and-best-practices"/>
    <w:p>
      <w:pPr>
        <w:pStyle w:val="Heading3"/>
      </w:pPr>
      <w:r>
        <w:t xml:space="preserve">19.1.3 Style and Best Practices</w:t>
      </w:r>
    </w:p>
    <w:p>
      <w:pPr>
        <w:pStyle w:val="Compact"/>
        <w:numPr>
          <w:ilvl w:val="0"/>
          <w:numId w:val="1124"/>
        </w:numPr>
      </w:pPr>
      <w:hyperlink r:id="rId444">
        <w:r>
          <w:rPr>
            <w:rStyle w:val="Hyperlink"/>
          </w:rPr>
          <w:t xml:space="preserve">Hadley Wickham’s R Style Guide</w:t>
        </w:r>
      </w:hyperlink>
    </w:p>
    <w:bookmarkEnd w:id="445"/>
    <w:bookmarkStart w:id="446" w:name="tidy-evaluation-resources"/>
    <w:p>
      <w:pPr>
        <w:pStyle w:val="Heading3"/>
      </w:pPr>
      <w:r>
        <w:t xml:space="preserve">19.1.4 Tidy Evaluation Resources</w:t>
      </w:r>
    </w:p>
    <w:p>
      <w:pPr>
        <w:pStyle w:val="Compact"/>
        <w:numPr>
          <w:ilvl w:val="0"/>
          <w:numId w:val="1125"/>
        </w:numPr>
      </w:pPr>
      <w:hyperlink r:id="rId155">
        <w:r>
          <w:rPr>
            <w:rStyle w:val="Hyperlink"/>
          </w:rPr>
          <w:t xml:space="preserve">Tidy Eval in 5 Minutes</w:t>
        </w:r>
      </w:hyperlink>
      <w:r>
        <w:t xml:space="preserve"> </w:t>
      </w:r>
      <w:r>
        <w:t xml:space="preserve">(video)</w:t>
      </w:r>
    </w:p>
    <w:p>
      <w:pPr>
        <w:pStyle w:val="Compact"/>
        <w:numPr>
          <w:ilvl w:val="0"/>
          <w:numId w:val="1125"/>
        </w:numPr>
      </w:pPr>
      <w:hyperlink r:id="rId156">
        <w:r>
          <w:rPr>
            <w:rStyle w:val="Hyperlink"/>
          </w:rPr>
          <w:t xml:space="preserve">Tidy Evaluation</w:t>
        </w:r>
      </w:hyperlink>
      <w:r>
        <w:t xml:space="preserve"> </w:t>
      </w:r>
      <w:r>
        <w:t xml:space="preserve">(e-book)</w:t>
      </w:r>
    </w:p>
    <w:p>
      <w:pPr>
        <w:pStyle w:val="Compact"/>
        <w:numPr>
          <w:ilvl w:val="0"/>
          <w:numId w:val="1125"/>
        </w:numPr>
      </w:pPr>
      <w:hyperlink r:id="rId157">
        <w:r>
          <w:rPr>
            <w:rStyle w:val="Hyperlink"/>
          </w:rPr>
          <w:t xml:space="preserve">Data Frame Columns as Arguments to Dplyr Functions</w:t>
        </w:r>
      </w:hyperlink>
      <w:r>
        <w:t xml:space="preserve"> </w:t>
      </w:r>
      <w:r>
        <w:t xml:space="preserve">(blog)</w:t>
      </w:r>
    </w:p>
    <w:p>
      <w:pPr>
        <w:pStyle w:val="Compact"/>
        <w:numPr>
          <w:ilvl w:val="0"/>
          <w:numId w:val="1125"/>
        </w:numPr>
      </w:pPr>
      <w:hyperlink r:id="rId158">
        <w:r>
          <w:rPr>
            <w:rStyle w:val="Hyperlink"/>
          </w:rPr>
          <w:t xml:space="preserve">Standard Evaluation for *_join</w:t>
        </w:r>
      </w:hyperlink>
      <w:r>
        <w:t xml:space="preserve"> </w:t>
      </w:r>
      <w:r>
        <w:t xml:space="preserve">(stackoverflow)</w:t>
      </w:r>
    </w:p>
    <w:p>
      <w:pPr>
        <w:pStyle w:val="Compact"/>
        <w:numPr>
          <w:ilvl w:val="0"/>
          <w:numId w:val="1125"/>
        </w:numPr>
      </w:pPr>
      <w:hyperlink r:id="rId159">
        <w:r>
          <w:rPr>
            <w:rStyle w:val="Hyperlink"/>
          </w:rPr>
          <w:t xml:space="preserve">Programming with dplyr</w:t>
        </w:r>
      </w:hyperlink>
      <w:r>
        <w:t xml:space="preserve"> </w:t>
      </w:r>
      <w:r>
        <w:t xml:space="preserve">(package vignette)</w:t>
      </w:r>
    </w:p>
    <w:bookmarkEnd w:id="446"/>
    <w:bookmarkEnd w:id="447"/>
    <w:bookmarkStart w:id="450" w:name="resources-for-git-github"/>
    <w:p>
      <w:pPr>
        <w:pStyle w:val="Heading2"/>
      </w:pPr>
      <w:r>
        <w:t xml:space="preserve">19.2 Resources for Git &amp; Github</w:t>
      </w:r>
    </w:p>
    <w:p>
      <w:pPr>
        <w:pStyle w:val="Compact"/>
        <w:numPr>
          <w:ilvl w:val="0"/>
          <w:numId w:val="1126"/>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26"/>
        </w:numPr>
      </w:pPr>
      <w:hyperlink r:id="rId448">
        <w:r>
          <w:rPr>
            <w:rStyle w:val="Hyperlink"/>
          </w:rPr>
          <w:t xml:space="preserve">Data Camp introduction to Git</w:t>
        </w:r>
      </w:hyperlink>
    </w:p>
    <w:p>
      <w:pPr>
        <w:pStyle w:val="Compact"/>
        <w:numPr>
          <w:ilvl w:val="0"/>
          <w:numId w:val="1126"/>
        </w:numPr>
      </w:pPr>
      <w:hyperlink r:id="rId449">
        <w:r>
          <w:rPr>
            <w:rStyle w:val="Hyperlink"/>
          </w:rPr>
          <w:t xml:space="preserve">Introduction to Github</w:t>
        </w:r>
      </w:hyperlink>
    </w:p>
    <w:bookmarkEnd w:id="450"/>
    <w:bookmarkStart w:id="452" w:name="scientific-figures"/>
    <w:p>
      <w:pPr>
        <w:pStyle w:val="Heading2"/>
      </w:pPr>
      <w:r>
        <w:t xml:space="preserve">19.3 Scientific figures</w:t>
      </w:r>
    </w:p>
    <w:p>
      <w:pPr>
        <w:pStyle w:val="Compact"/>
        <w:numPr>
          <w:ilvl w:val="0"/>
          <w:numId w:val="1127"/>
        </w:numPr>
      </w:pPr>
      <w:hyperlink r:id="rId451">
        <w:r>
          <w:rPr>
            <w:rStyle w:val="Hyperlink"/>
          </w:rPr>
          <w:t xml:space="preserve">Ten Simple Rules for Better Figures</w:t>
        </w:r>
      </w:hyperlink>
    </w:p>
    <w:bookmarkEnd w:id="452"/>
    <w:bookmarkStart w:id="457" w:name="writing"/>
    <w:p>
      <w:pPr>
        <w:pStyle w:val="Heading2"/>
      </w:pPr>
      <w:r>
        <w:t xml:space="preserve">19.4 Writing</w:t>
      </w:r>
    </w:p>
    <w:p>
      <w:pPr>
        <w:pStyle w:val="Compact"/>
        <w:numPr>
          <w:ilvl w:val="0"/>
          <w:numId w:val="1128"/>
        </w:numPr>
      </w:pPr>
      <w:hyperlink r:id="rId453">
        <w:r>
          <w:rPr>
            <w:rStyle w:val="Hyperlink"/>
          </w:rPr>
          <w:t xml:space="preserve">Tips on how to write a great science paper</w:t>
        </w:r>
      </w:hyperlink>
    </w:p>
    <w:p>
      <w:pPr>
        <w:pStyle w:val="Compact"/>
        <w:numPr>
          <w:ilvl w:val="0"/>
          <w:numId w:val="1128"/>
        </w:numPr>
      </w:pPr>
      <w:hyperlink r:id="rId31">
        <w:r>
          <w:rPr>
            <w:rStyle w:val="Hyperlink"/>
          </w:rPr>
          <w:t xml:space="preserve">ICMJE Definition of authorship</w:t>
        </w:r>
      </w:hyperlink>
    </w:p>
    <w:p>
      <w:pPr>
        <w:pStyle w:val="Compact"/>
        <w:numPr>
          <w:ilvl w:val="0"/>
          <w:numId w:val="1128"/>
        </w:numPr>
      </w:pPr>
      <w:hyperlink r:id="rId454">
        <w:r>
          <w:rPr>
            <w:rStyle w:val="Hyperlink"/>
          </w:rPr>
          <w:t xml:space="preserve">Nature article on elements of style for scientific writing</w:t>
        </w:r>
      </w:hyperlink>
    </w:p>
    <w:p>
      <w:pPr>
        <w:pStyle w:val="Compact"/>
        <w:numPr>
          <w:ilvl w:val="0"/>
          <w:numId w:val="1128"/>
        </w:numPr>
      </w:pPr>
      <w:hyperlink r:id="rId455">
        <w:r>
          <w:rPr>
            <w:rStyle w:val="Hyperlink"/>
          </w:rPr>
          <w:t xml:space="preserve">The Pathway to Publishing: A Guide to Quantitative Writing in the Health Sciences</w:t>
        </w:r>
      </w:hyperlink>
    </w:p>
    <w:p>
      <w:pPr>
        <w:pStyle w:val="Compact"/>
        <w:numPr>
          <w:ilvl w:val="0"/>
          <w:numId w:val="1128"/>
        </w:numPr>
      </w:pPr>
      <w:hyperlink r:id="rId456">
        <w:r>
          <w:rPr>
            <w:rStyle w:val="Hyperlink"/>
          </w:rPr>
          <w:t xml:space="preserve">Secret, actionable writing tips</w:t>
        </w:r>
      </w:hyperlink>
    </w:p>
    <w:bookmarkEnd w:id="457"/>
    <w:bookmarkStart w:id="462" w:name="presentations"/>
    <w:p>
      <w:pPr>
        <w:pStyle w:val="Heading2"/>
      </w:pPr>
      <w:r>
        <w:t xml:space="preserve">19.5 Presentations</w:t>
      </w:r>
    </w:p>
    <w:p>
      <w:pPr>
        <w:pStyle w:val="Compact"/>
        <w:numPr>
          <w:ilvl w:val="0"/>
          <w:numId w:val="1129"/>
        </w:numPr>
      </w:pPr>
      <w:hyperlink r:id="rId458">
        <w:r>
          <w:rPr>
            <w:rStyle w:val="Hyperlink"/>
          </w:rPr>
          <w:t xml:space="preserve">How to tell a compelling story in scientific presentations</w:t>
        </w:r>
      </w:hyperlink>
    </w:p>
    <w:p>
      <w:pPr>
        <w:pStyle w:val="Compact"/>
        <w:numPr>
          <w:ilvl w:val="0"/>
          <w:numId w:val="1129"/>
        </w:numPr>
      </w:pPr>
      <w:hyperlink r:id="rId459">
        <w:r>
          <w:rPr>
            <w:rStyle w:val="Hyperlink"/>
          </w:rPr>
          <w:t xml:space="preserve">How to give a killer narratively-driven scientific talk</w:t>
        </w:r>
      </w:hyperlink>
    </w:p>
    <w:p>
      <w:pPr>
        <w:pStyle w:val="Compact"/>
        <w:numPr>
          <w:ilvl w:val="0"/>
          <w:numId w:val="1129"/>
        </w:numPr>
      </w:pPr>
      <w:hyperlink r:id="rId460">
        <w:r>
          <w:rPr>
            <w:rStyle w:val="Hyperlink"/>
          </w:rPr>
          <w:t xml:space="preserve">How to make a better poster</w:t>
        </w:r>
      </w:hyperlink>
    </w:p>
    <w:p>
      <w:pPr>
        <w:pStyle w:val="Compact"/>
        <w:numPr>
          <w:ilvl w:val="0"/>
          <w:numId w:val="1129"/>
        </w:numPr>
      </w:pPr>
      <w:hyperlink r:id="rId461">
        <w:r>
          <w:rPr>
            <w:rStyle w:val="Hyperlink"/>
          </w:rPr>
          <w:t xml:space="preserve">How to make an even better poster</w:t>
        </w:r>
      </w:hyperlink>
    </w:p>
    <w:bookmarkEnd w:id="462"/>
    <w:bookmarkStart w:id="464" w:name="professional-advice"/>
    <w:p>
      <w:pPr>
        <w:pStyle w:val="Heading2"/>
      </w:pPr>
      <w:r>
        <w:t xml:space="preserve">19.6 Professional advice</w:t>
      </w:r>
    </w:p>
    <w:p>
      <w:pPr>
        <w:pStyle w:val="Compact"/>
        <w:numPr>
          <w:ilvl w:val="0"/>
          <w:numId w:val="1130"/>
        </w:numPr>
      </w:pPr>
      <w:hyperlink r:id="rId463">
        <w:r>
          <w:rPr>
            <w:rStyle w:val="Hyperlink"/>
          </w:rPr>
          <w:t xml:space="preserve">Professional advice, especially for your first job</w:t>
        </w:r>
      </w:hyperlink>
    </w:p>
    <w:bookmarkEnd w:id="464"/>
    <w:bookmarkStart w:id="467" w:name="funding"/>
    <w:p>
      <w:pPr>
        <w:pStyle w:val="Heading2"/>
      </w:pPr>
      <w:r>
        <w:t xml:space="preserve">19.7 Funding</w:t>
      </w:r>
    </w:p>
    <w:p>
      <w:pPr>
        <w:pStyle w:val="Compact"/>
        <w:numPr>
          <w:ilvl w:val="0"/>
          <w:numId w:val="1131"/>
        </w:numPr>
      </w:pPr>
      <w:hyperlink r:id="rId465">
        <w:r>
          <w:rPr>
            <w:rStyle w:val="Hyperlink"/>
          </w:rPr>
          <w:t xml:space="preserve">Building Your Funding Train</w:t>
        </w:r>
      </w:hyperlink>
    </w:p>
    <w:p>
      <w:pPr>
        <w:pStyle w:val="Compact"/>
        <w:numPr>
          <w:ilvl w:val="0"/>
          <w:numId w:val="1131"/>
        </w:numPr>
      </w:pPr>
      <w:hyperlink r:id="rId466">
        <w:r>
          <w:rPr>
            <w:rStyle w:val="Hyperlink"/>
          </w:rPr>
          <w:t xml:space="preserve">NIH Grant Writing Resources</w:t>
        </w:r>
      </w:hyperlink>
    </w:p>
    <w:bookmarkEnd w:id="467"/>
    <w:bookmarkStart w:id="473" w:name="ethics-and-global-health-research"/>
    <w:p>
      <w:pPr>
        <w:pStyle w:val="Heading2"/>
      </w:pPr>
      <w:r>
        <w:t xml:space="preserve">19.8 Ethics and global health research</w:t>
      </w:r>
    </w:p>
    <w:p>
      <w:pPr>
        <w:pStyle w:val="Compact"/>
        <w:numPr>
          <w:ilvl w:val="0"/>
          <w:numId w:val="1132"/>
        </w:numPr>
      </w:pPr>
      <w:hyperlink r:id="rId468">
        <w:r>
          <w:rPr>
            <w:rStyle w:val="Hyperlink"/>
          </w:rPr>
          <w:t xml:space="preserve">Global Code of Conduct For Research in Resource-Poor Settings</w:t>
        </w:r>
      </w:hyperlink>
    </w:p>
    <w:p>
      <w:pPr>
        <w:pStyle w:val="Compact"/>
        <w:numPr>
          <w:ilvl w:val="0"/>
          <w:numId w:val="1132"/>
        </w:numPr>
      </w:pPr>
      <w:hyperlink r:id="rId469">
        <w:r>
          <w:rPr>
            <w:rStyle w:val="Hyperlink"/>
          </w:rPr>
          <w:t xml:space="preserve">Who is a global health expert? Advice for aspiring global health experts</w:t>
        </w:r>
      </w:hyperlink>
    </w:p>
    <w:p>
      <w:pPr>
        <w:pStyle w:val="Compact"/>
        <w:numPr>
          <w:ilvl w:val="0"/>
          <w:numId w:val="1132"/>
        </w:numPr>
      </w:pPr>
      <w:hyperlink r:id="rId470">
        <w:r>
          <w:rPr>
            <w:rStyle w:val="Hyperlink"/>
          </w:rPr>
          <w:t xml:space="preserve">Transforming Global Health Partnerships</w:t>
        </w:r>
      </w:hyperlink>
    </w:p>
    <w:bookmarkStart w:id="472" w:name="refs"/>
    <w:bookmarkStart w:id="47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471"/>
    <w:bookmarkEnd w:id="472"/>
    <w:bookmarkEnd w:id="473"/>
    <w:bookmarkEnd w:id="4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8" Target="media/rId118.png" /><Relationship Type="http://schemas.openxmlformats.org/officeDocument/2006/relationships/image" Id="rId227" Target="media/rId227.png" /><Relationship Type="http://schemas.openxmlformats.org/officeDocument/2006/relationships/image" Id="rId386" Target="media/rId386.png" /><Relationship Type="http://schemas.openxmlformats.org/officeDocument/2006/relationships/image" Id="rId254" Target="media/rId254.png" /><Relationship Type="http://schemas.openxmlformats.org/officeDocument/2006/relationships/image" Id="rId284" Target="media/rId284.jpg" /><Relationship Type="http://schemas.openxmlformats.org/officeDocument/2006/relationships/image" Id="rId288" Target="media/rId288.png" /><Relationship Type="http://schemas.openxmlformats.org/officeDocument/2006/relationships/image" Id="rId382" Target="media/rId382.png" /><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4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3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63"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381" Target="https://en.wikipedia.org/wiki/Agent_(The_Matrix)"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65"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23"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36"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28" Target="https://journals.lww.com/epidem/Fulltext/2001/05000/The_Value_of_P.2.aspx" TargetMode="External" /><Relationship Type="http://schemas.openxmlformats.org/officeDocument/2006/relationships/hyperlink" Id="rId469" Target="https://journals.plos.org/globalpublichealth/article?id=10.1371/journal.pgph.0002269" TargetMode="External" /><Relationship Type="http://schemas.openxmlformats.org/officeDocument/2006/relationships/hyperlink" Id="rId451" Target="https://journals.plos.org/ploscompbiol/article?id=10.1371/journal.pcbi.1003833" TargetMode="External" /><Relationship Type="http://schemas.openxmlformats.org/officeDocument/2006/relationships/hyperlink" Id="rId42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49" Target="https://lab.github.com/githubtraining/introduction-to-github" TargetMode="External" /><Relationship Type="http://schemas.openxmlformats.org/officeDocument/2006/relationships/hyperlink" Id="rId455" Target="https://link.springer.com/book/10.1007/978-3-030-98175-4" TargetMode="External" /><Relationship Type="http://schemas.openxmlformats.org/officeDocument/2006/relationships/hyperlink" Id="rId470"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32"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61"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41" Target="https://s3.amazonaws.com/assets.datacamp.com/blog_assets/datatable_Cheat_Sheet_R.pdf"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37"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25"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4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68"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27" Target="https://www.nature.com/articles/d41586-019-01431-z" TargetMode="External" /><Relationship Type="http://schemas.openxmlformats.org/officeDocument/2006/relationships/hyperlink" Id="rId453" Target="https://www.nature.com/articles/d41586-019-02918-5" TargetMode="External" /><Relationship Type="http://schemas.openxmlformats.org/officeDocument/2006/relationships/hyperlink" Id="rId433" Target="https://www.nature.com/articles/d41586-021-02696-z" TargetMode="External" /><Relationship Type="http://schemas.openxmlformats.org/officeDocument/2006/relationships/hyperlink" Id="rId458" Target="https://www.nature.com/articles/d41586-021-03603-2" TargetMode="External" /><Relationship Type="http://schemas.openxmlformats.org/officeDocument/2006/relationships/hyperlink" Id="rId454" Target="https://www.nature.com/articles/nphys724" TargetMode="External" /><Relationship Type="http://schemas.openxmlformats.org/officeDocument/2006/relationships/hyperlink" Id="rId466"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39" Target="https://www.rstudio.com/wp-content/uploads/2015/02/data-wrangling-cheatsheet.pdf" TargetMode="External" /><Relationship Type="http://schemas.openxmlformats.org/officeDocument/2006/relationships/hyperlink" Id="rId442" Target="https://www.rstudio.com/wp-content/uploads/2015/02/rmarkdown-cheatsheet.pdf" TargetMode="External" /><Relationship Type="http://schemas.openxmlformats.org/officeDocument/2006/relationships/hyperlink" Id="rId440" Target="https://www.rstudio.com/wp-content/uploads/2015/03/ggplot2-cheatsheet.pdf" TargetMode="External" /><Relationship Type="http://schemas.openxmlformats.org/officeDocument/2006/relationships/hyperlink" Id="rId459"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6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5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_rels/footnotes.xml.rels><?xml version="1.0" encoding="UTF-8"?><Relationships xmlns="http://schemas.openxmlformats.org/package/2006/relationships"><Relationship Type="http://schemas.openxmlformats.org/officeDocument/2006/relationships/hyperlink" Id="rId46" Target="" TargetMode="External" /><Relationship Type="http://schemas.openxmlformats.org/officeDocument/2006/relationships/hyperlink" Id="rId346" Target="assets/files/PHS_Shared_Compute_Environments.pdf" TargetMode="External" /><Relationship Type="http://schemas.openxmlformats.org/officeDocument/2006/relationships/hyperlink" Id="rId51" Target="clinicaltrials.gov" TargetMode="External" /><Relationship Type="http://schemas.openxmlformats.org/officeDocument/2006/relationships/hyperlink" Id="rId63" Target="github.com" TargetMode="External" /><Relationship Type="http://schemas.openxmlformats.org/officeDocument/2006/relationships/hyperlink" Id="rId444" Target="http://adv-r.had.co.nz/Style.html" TargetMode="External" /><Relationship Type="http://schemas.openxmlformats.org/officeDocument/2006/relationships/hyperlink" Id="rId48" Target="http://dx.doi.org/10.1038/s41562-016-0021" TargetMode="External" /><Relationship Type="http://schemas.openxmlformats.org/officeDocument/2006/relationships/hyperlink" Id="rId233" Target="http://r-pkgs.had.co.nz/style.html" TargetMode="External" /><Relationship Type="http://schemas.openxmlformats.org/officeDocument/2006/relationships/hyperlink" Id="rId224" Target="http://styler.r-lib.org/articles/customizing_styler.html" TargetMode="External" /><Relationship Type="http://schemas.openxmlformats.org/officeDocument/2006/relationships/hyperlink" Id="rId431"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90" Target="https://adv-r.hadley.nz/" TargetMode="External" /><Relationship Type="http://schemas.openxmlformats.org/officeDocument/2006/relationships/hyperlink" Id="rId162" Target="https://blog.rstudio.com/2016/03/29/feather/" TargetMode="External" /><Relationship Type="http://schemas.openxmlformats.org/officeDocument/2006/relationships/hyperlink" Id="rId125"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32" Target="https://cran.r-project.org/web/packages/lintr/readme/README.html#available-linters" TargetMode="External" /><Relationship Type="http://schemas.openxmlformats.org/officeDocument/2006/relationships/hyperlink" Id="rId236" Target="https://cran.r-project.org/web/packages/lintr/readme/README.html#project-configuration" TargetMode="External" /><Relationship Type="http://schemas.openxmlformats.org/officeDocument/2006/relationships/hyperlink" Id="rId325" Target="https://datadryad.org/" TargetMode="External" /><Relationship Type="http://schemas.openxmlformats.org/officeDocument/2006/relationships/hyperlink" Id="rId183" Target="https://design.tidyverse.org/" TargetMode="External" /><Relationship Type="http://schemas.openxmlformats.org/officeDocument/2006/relationships/hyperlink" Id="rId267" Target="https://desktop.github.com/" TargetMode="External" /><Relationship Type="http://schemas.openxmlformats.org/officeDocument/2006/relationships/hyperlink" Id="rId185" Target="https://devtools.r-lib.org/" TargetMode="External" /><Relationship Type="http://schemas.openxmlformats.org/officeDocument/2006/relationships/hyperlink" Id="rId378" Target="https://docs.github.com/en/copilot/how-tos/use-copilot-agents/coding-agent" TargetMode="External" /><Relationship Type="http://schemas.openxmlformats.org/officeDocument/2006/relationships/hyperlink" Id="rId397" Target="https://docs.github.com/en/copilot/how-tos/use-copilot-agents/coding-agent/customize-the-agent-environment#preinstalling-tools-or-dependencies-in-copilots-environment" TargetMode="External" /><Relationship Type="http://schemas.openxmlformats.org/officeDocument/2006/relationships/hyperlink" Id="rId392" Target="https://docs.github.com/en/copilot/how-tos/use-copilot-agents/coding-agent/customize-the-agent-firewall" TargetMode="External" /><Relationship Type="http://schemas.openxmlformats.org/officeDocument/2006/relationships/hyperlink" Id="rId390" Target="https://docs.github.com/en/copilot/reference/copilot-allowlist-reference" TargetMode="External" /><Relationship Type="http://schemas.openxmlformats.org/officeDocument/2006/relationships/hyperlink" Id="rId320" Target="https://docs.github.com/en/enterprise/2.13/user/articles/creating-releases" TargetMode="External" /><Relationship Type="http://schemas.openxmlformats.org/officeDocument/2006/relationships/hyperlink" Id="rId463" Target="https://docs.google.com/document/d/1ckgRCcr7FFPyymyMA6Y_-cB_vftOyrrxT28c6gRg0PI/edit" TargetMode="External" /><Relationship Type="http://schemas.openxmlformats.org/officeDocument/2006/relationships/hyperlink" Id="rId159" Target="https://dplyr.tidyverse.org/articles/programming.html" TargetMode="External" /><Relationship Type="http://schemas.openxmlformats.org/officeDocument/2006/relationships/hyperlink" Id="rId365" Target="https://en.wikipedia.org/wiki/AI-assisted_software_development" TargetMode="External" /><Relationship Type="http://schemas.openxmlformats.org/officeDocument/2006/relationships/hyperlink" Id="rId370" Target="https://en.wikipedia.org/wiki/AI_agent" TargetMode="External" /><Relationship Type="http://schemas.openxmlformats.org/officeDocument/2006/relationships/hyperlink" Id="rId381" Target="https://en.wikipedia.org/wiki/Agent_(The_Matrix)" TargetMode="External" /><Relationship Type="http://schemas.openxmlformats.org/officeDocument/2006/relationships/hyperlink" Id="rId193" Target="https://engineering-shiny.org/" TargetMode="External" /><Relationship Type="http://schemas.openxmlformats.org/officeDocument/2006/relationships/hyperlink" Id="rId373" Target="https://github.com/UCD-SERG/lab-manual/issues/42" TargetMode="External" /><Relationship Type="http://schemas.openxmlformats.org/officeDocument/2006/relationships/hyperlink" Id="rId374" Target="https://github.com/UCD-SERG/lab-manual/pull/50" TargetMode="External" /><Relationship Type="http://schemas.openxmlformats.org/officeDocument/2006/relationships/hyperlink" Id="rId369" Target="https://github.com/features/copilot/agents" TargetMode="External" /><Relationship Type="http://schemas.openxmlformats.org/officeDocument/2006/relationships/hyperlink" Id="rId396" Target="https://github.com/features/copilot/plans" TargetMode="External" /><Relationship Type="http://schemas.openxmlformats.org/officeDocument/2006/relationships/hyperlink" Id="rId279"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39" Target="https://github.com/jennybc/here_here" TargetMode="External" /><Relationship Type="http://schemas.openxmlformats.org/officeDocument/2006/relationships/hyperlink" Id="rId149" Target="https://github.com/karthik/rdrop2" TargetMode="External" /><Relationship Type="http://schemas.openxmlformats.org/officeDocument/2006/relationships/hyperlink" Id="rId129" Target="https://github.com/kmishra9/Flu-Absenteeism/blob/master/Master&#39;s%20Thesis%20-%20Spatial%20Epidemiology%20of%20Influenza/1b%20-%20Map-Management.R" TargetMode="External" /><Relationship Type="http://schemas.openxmlformats.org/officeDocument/2006/relationships/hyperlink" Id="rId202" Target="https://github.com/kmishra9/Flu-Absenteeism/blob/master/Master&#39;s%20Thesis%20-%20Spatial%20Epidemiology%20of%20Influenza/2a%20-%20Statistical-Inputs.R" TargetMode="External" /><Relationship Type="http://schemas.openxmlformats.org/officeDocument/2006/relationships/hyperlink" Id="rId147" Target="https://github.com/r-box/boxr" TargetMode="External" /><Relationship Type="http://schemas.openxmlformats.org/officeDocument/2006/relationships/hyperlink" Id="rId465" Target="https://grantwriting.stanford.edu/funding-train/#ep" TargetMode="External" /><Relationship Type="http://schemas.openxmlformats.org/officeDocument/2006/relationships/hyperlink" Id="rId195" Target="https://happygitwithr.com/" TargetMode="External" /><Relationship Type="http://schemas.openxmlformats.org/officeDocument/2006/relationships/hyperlink" Id="rId276" Target="https://happygitwithr.com/repeated-amend.html" TargetMode="External" /><Relationship Type="http://schemas.openxmlformats.org/officeDocument/2006/relationships/hyperlink" Id="rId271" Target="https://help.github.com/en/github/collaborating-with-issues-and-pull-requests/creating-a-pull-request#creating-the-pull-request" TargetMode="External" /><Relationship Type="http://schemas.openxmlformats.org/officeDocument/2006/relationships/hyperlink" Id="rId345" Target="https://hpc.ucdavis.edu/" TargetMode="External" /><Relationship Type="http://schemas.openxmlformats.org/officeDocument/2006/relationships/hyperlink" Id="rId247" Target="https://jadebc.github.io/lab-manual/big-data.html" TargetMode="External" /><Relationship Type="http://schemas.openxmlformats.org/officeDocument/2006/relationships/hyperlink" Id="rId423" Target="https://jadebc.github.io/lab-manual/checklists.html" TargetMode="External" /><Relationship Type="http://schemas.openxmlformats.org/officeDocument/2006/relationships/hyperlink" Id="rId308" Target="https://jadebc.github.io/lab-manual/code-publication.html" TargetMode="External" /><Relationship Type="http://schemas.openxmlformats.org/officeDocument/2006/relationships/hyperlink" Id="rId67" Target="https://jadebc.github.io/lab-manual/code-repositories.html" TargetMode="External" /><Relationship Type="http://schemas.openxmlformats.org/officeDocument/2006/relationships/hyperlink" Id="rId84" Target="https://jadebc.github.io/lab-manual/coding-practices.html" TargetMode="External" /><Relationship Type="http://schemas.openxmlformats.org/officeDocument/2006/relationships/hyperlink" Id="rId199"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253" Target="https://jadebc.github.io/lab-manual/data-masking.html" TargetMode="External" /><Relationship Type="http://schemas.openxmlformats.org/officeDocument/2006/relationships/hyperlink" Id="rId263"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02" Target="https://jadebc.github.io/lab-manual/reproducible-environments.html" TargetMode="External" /><Relationship Type="http://schemas.openxmlformats.org/officeDocument/2006/relationships/hyperlink" Id="rId436" Target="https://jadebc.github.io/lab-manual/resources.html" TargetMode="External" /><Relationship Type="http://schemas.openxmlformats.org/officeDocument/2006/relationships/hyperlink" Id="rId344" Target="https://jadebc.github.io/lab-manual/slurm.html" TargetMode="External" /><Relationship Type="http://schemas.openxmlformats.org/officeDocument/2006/relationships/hyperlink" Id="rId283" Target="https://jadebc.github.io/lab-manual/unix.html" TargetMode="External" /><Relationship Type="http://schemas.openxmlformats.org/officeDocument/2006/relationships/hyperlink" Id="rId428" Target="https://journals.lww.com/epidem/Fulltext/2001/05000/The_Value_of_P.2.aspx" TargetMode="External" /><Relationship Type="http://schemas.openxmlformats.org/officeDocument/2006/relationships/hyperlink" Id="rId469" Target="https://journals.plos.org/globalpublichealth/article?id=10.1371/journal.pgph.0002269" TargetMode="External" /><Relationship Type="http://schemas.openxmlformats.org/officeDocument/2006/relationships/hyperlink" Id="rId451" Target="https://journals.plos.org/ploscompbiol/article?id=10.1371/journal.pcbi.1003833" TargetMode="External" /><Relationship Type="http://schemas.openxmlformats.org/officeDocument/2006/relationships/hyperlink" Id="rId429"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449" Target="https://lab.github.com/githubtraining/introduction-to-github" TargetMode="External" /><Relationship Type="http://schemas.openxmlformats.org/officeDocument/2006/relationships/hyperlink" Id="rId455" Target="https://link.springer.com/book/10.1007/978-3-030-98175-4" TargetMode="External" /><Relationship Type="http://schemas.openxmlformats.org/officeDocument/2006/relationships/hyperlink" Id="rId470" Target="https://link.springer.com/book/9783031537929" TargetMode="External" /><Relationship Type="http://schemas.openxmlformats.org/officeDocument/2006/relationships/hyperlink" Id="rId192" Target="https://mastering-shiny.org/" TargetMode="External" /><Relationship Type="http://schemas.openxmlformats.org/officeDocument/2006/relationships/hyperlink" Id="rId432" Target="https://medialab.github.io/iwanthue/?utm_source=Nature+Briefing&amp;utm_campaign=2c68711076-briefing-dy-20211006&amp;utm_medium=email&amp;utm_term=0_c9dfd39373-2c68711076-44335685" TargetMode="External" /><Relationship Type="http://schemas.openxmlformats.org/officeDocument/2006/relationships/hyperlink" Id="rId297" Target="https://medium.com/@jeongwhanchoi/install-tmux-on-osx-and-basics-commands-for-beginners-be22520fd95e" TargetMode="External" /><Relationship Type="http://schemas.openxmlformats.org/officeDocument/2006/relationships/hyperlink" Id="rId461" Target="https://mitcommlab.mit.edu/be/2023/09/27/toward-an-evenbetterposter-improving-the-betterposter-template/" TargetMode="External" /><Relationship Type="http://schemas.openxmlformats.org/officeDocument/2006/relationships/hyperlink" Id="rId324" Target="https://osf.io" TargetMode="External" /><Relationship Type="http://schemas.openxmlformats.org/officeDocument/2006/relationships/hyperlink" Id="rId53" Target="https://osf.io/tgbxr/" TargetMode="External" /><Relationship Type="http://schemas.openxmlformats.org/officeDocument/2006/relationships/hyperlink" Id="rId186" Target="https://pkgdown.r-lib.org/" TargetMode="External" /><Relationship Type="http://schemas.openxmlformats.org/officeDocument/2006/relationships/hyperlink" Id="rId341" Target="https://plos.org/resource/how-to-store-and-manage-your-data/#data-management-plan" TargetMode="External" /><Relationship Type="http://schemas.openxmlformats.org/officeDocument/2006/relationships/hyperlink" Id="rId335" Target="https://proctor-ucsf.github.io/dcc-handbook/datawrangling.html#documenting-datasets" TargetMode="External" /><Relationship Type="http://schemas.openxmlformats.org/officeDocument/2006/relationships/hyperlink" Id="rId146" Target="https://r-box.github.io/boxr/articles/boxr-app-interactive.html#create" TargetMode="External" /><Relationship Type="http://schemas.openxmlformats.org/officeDocument/2006/relationships/hyperlink" Id="rId182" Target="https://r-pkgs.org/" TargetMode="External" /><Relationship Type="http://schemas.openxmlformats.org/officeDocument/2006/relationships/hyperlink" Id="rId153" Target="https://r4ds.had.co.nz/" TargetMode="External" /><Relationship Type="http://schemas.openxmlformats.org/officeDocument/2006/relationships/hyperlink" Id="rId189" Target="https://r4ds.hadley.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336" Target="https://researchdata.princeton.edu/research-lifecycle-guide/whats-doi-and-what-should-i-know-about-citing-datasets" TargetMode="External" /><Relationship Type="http://schemas.openxmlformats.org/officeDocument/2006/relationships/hyperlink" Id="rId117" Target="https://roxygen2.r-lib.org/" TargetMode="External" /><Relationship Type="http://schemas.openxmlformats.org/officeDocument/2006/relationships/hyperlink" Id="rId152" Target="https://rviews.rstudio.com/2017/06/08/what-is-the-tidyverse/" TargetMode="External" /><Relationship Type="http://schemas.openxmlformats.org/officeDocument/2006/relationships/hyperlink" Id="rId441" Target="https://s3.amazonaws.com/assets.datacamp.com/blog_assets/datatable_Cheat_Sheet_R.pdf" TargetMode="External" /><Relationship Type="http://schemas.openxmlformats.org/officeDocument/2006/relationships/hyperlink" Id="rId265" Target="https://sethrobertson.github.io/GitFixUm/fixup.html" TargetMode="External" /><Relationship Type="http://schemas.openxmlformats.org/officeDocument/2006/relationships/hyperlink" Id="rId362" Target="https://slurm.schedmd.com/sbatch.html" TargetMode="External" /><Relationship Type="http://schemas.openxmlformats.org/officeDocument/2006/relationships/hyperlink" Id="rId264" Target="https://sp19.datastructur.es/materials/guides/using-git#b-local-repositories-narrative-introduction" TargetMode="External" /><Relationship Type="http://schemas.openxmlformats.org/officeDocument/2006/relationships/hyperlink" Id="rId269" Target="https://sp19.datastructur.es/materials/guides/using-git#e-git-branching-advanced-git-optional" TargetMode="External" /><Relationship Type="http://schemas.openxmlformats.org/officeDocument/2006/relationships/hyperlink" Id="rId132" Target="https://spin.atomicobject.com/2017/11/01/good-variable-names/" TargetMode="External" /><Relationship Type="http://schemas.openxmlformats.org/officeDocument/2006/relationships/hyperlink" Id="rId248" Target="https://stackoverflow.com/questions/21435339/data-table-vs-dplyr-can-one-do-something-well-the-other-cant-or-does-poorly/27840349#27840349" TargetMode="External" /><Relationship Type="http://schemas.openxmlformats.org/officeDocument/2006/relationships/hyperlink" Id="rId158" Target="https://stackoverflow.com/questions/28125816/r-standard-evaluation-for-join-dplyr" TargetMode="External" /><Relationship Type="http://schemas.openxmlformats.org/officeDocument/2006/relationships/hyperlink" Id="rId244" Target="https://style.tidyverse.org/" TargetMode="External" /><Relationship Type="http://schemas.openxmlformats.org/officeDocument/2006/relationships/hyperlink" Id="rId127" Target="https://support.rstudio.com/hc/en-us/articles/200484568-Code-Folding-and-Sections" TargetMode="External" /><Relationship Type="http://schemas.openxmlformats.org/officeDocument/2006/relationships/hyperlink" Id="rId154" Target="https://tavareshugo.github.io/data_carpentry_extras/base-r_tidyverse_equivalents/base-r_tidyverse_equivalents.html#reshaping_data" TargetMode="External" /><Relationship Type="http://schemas.openxmlformats.org/officeDocument/2006/relationships/hyperlink" Id="rId187" Target="https://testthat.r-lib.org/" TargetMode="External" /><Relationship Type="http://schemas.openxmlformats.org/officeDocument/2006/relationships/hyperlink" Id="rId156" Target="https://tidyeval.tidyverse.org/index.html" TargetMode="External" /><Relationship Type="http://schemas.openxmlformats.org/officeDocument/2006/relationships/hyperlink" Id="rId437" Target="https://ucb-epi-r.github.io" TargetMode="External" /><Relationship Type="http://schemas.openxmlformats.org/officeDocument/2006/relationships/hyperlink" Id="rId310" Target="https://ucd-serg.github.io/lab-manual/coding-practices.html#file-headers" TargetMode="External" /><Relationship Type="http://schemas.openxmlformats.org/officeDocument/2006/relationships/hyperlink" Id="rId313" Target="https://ucd-serg.github.io/lab-manual/coding-practices.html#function-documentation" TargetMode="External" /><Relationship Type="http://schemas.openxmlformats.org/officeDocument/2006/relationships/hyperlink" Id="rId425" Target="https://ucd-serg.github.io/lab-manual/coding-style.html" TargetMode="External" /><Relationship Type="http://schemas.openxmlformats.org/officeDocument/2006/relationships/hyperlink" Id="rId316" Target="https://ucd-serg.github.io/lab-manual/unix.html#example-code-for-runfilesavelogs" TargetMode="External" /><Relationship Type="http://schemas.openxmlformats.org/officeDocument/2006/relationships/hyperlink" Id="rId20" Target="https://ucdserg.ucdavis.edu" TargetMode="External" /><Relationship Type="http://schemas.openxmlformats.org/officeDocument/2006/relationships/hyperlink" Id="rId32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84" Target="https://usethis.r-lib.org/" TargetMode="External" /><Relationship Type="http://schemas.openxmlformats.org/officeDocument/2006/relationships/hyperlink" Id="rId157" Target="https://www.brodrigues.co/blog/2016-07-18-data-frame-columns-as-arguments-to-dplyr-functions/" TargetMode="External" /><Relationship Type="http://schemas.openxmlformats.org/officeDocument/2006/relationships/hyperlink" Id="rId359" Target="https://www.chriswrites.com/how-to-change-file-permissions-using-the-terminal/" TargetMode="External" /><Relationship Type="http://schemas.openxmlformats.org/officeDocument/2006/relationships/hyperlink" Id="rId448" Target="https://www.datacamp.com/courses/introduction-to-git-for-data-science" TargetMode="External" /><Relationship Type="http://schemas.openxmlformats.org/officeDocument/2006/relationships/hyperlink" Id="rId58" Target="https://www.equator-network.org/about-us/what-is-a-reporting-guideline/" TargetMode="External" /><Relationship Type="http://schemas.openxmlformats.org/officeDocument/2006/relationships/hyperlink" Id="rId468" Target="https://www.globalcodeofconduct.org/wp-content/uploads/2018/05/Global-Code-of-Conduct-Brochure.pdf" TargetMode="External" /><Relationship Type="http://schemas.openxmlformats.org/officeDocument/2006/relationships/hyperlink" Id="rId293" Target="https://www.howtogeek.com/118594/how-to-edit-your-system-path-for-easy-command-line-access/" TargetMode="External" /><Relationship Type="http://schemas.openxmlformats.org/officeDocument/2006/relationships/hyperlink" Id="rId60" Target="https://www.medrxiv.org/" TargetMode="External" /><Relationship Type="http://schemas.openxmlformats.org/officeDocument/2006/relationships/hyperlink" Id="rId47" Target="https://www.nature.com/articles/d41586-019-00067-3" TargetMode="External" /><Relationship Type="http://schemas.openxmlformats.org/officeDocument/2006/relationships/hyperlink" Id="rId427" Target="https://www.nature.com/articles/d41586-019-01431-z" TargetMode="External" /><Relationship Type="http://schemas.openxmlformats.org/officeDocument/2006/relationships/hyperlink" Id="rId453" Target="https://www.nature.com/articles/d41586-019-02918-5" TargetMode="External" /><Relationship Type="http://schemas.openxmlformats.org/officeDocument/2006/relationships/hyperlink" Id="rId433" Target="https://www.nature.com/articles/d41586-021-02696-z" TargetMode="External" /><Relationship Type="http://schemas.openxmlformats.org/officeDocument/2006/relationships/hyperlink" Id="rId458" Target="https://www.nature.com/articles/d41586-021-03603-2" TargetMode="External" /><Relationship Type="http://schemas.openxmlformats.org/officeDocument/2006/relationships/hyperlink" Id="rId454" Target="https://www.nature.com/articles/nphys724" TargetMode="External" /><Relationship Type="http://schemas.openxmlformats.org/officeDocument/2006/relationships/hyperlink" Id="rId466" Target="https://www.niaid.nih.gov/grants-contracts/write-grant-application" TargetMode="External" /><Relationship Type="http://schemas.openxmlformats.org/officeDocument/2006/relationships/hyperlink" Id="rId218" Target="https://www.r-bloggers.com/align-assign-rstudio-addin-to-align-assignment-operators/" TargetMode="External" /><Relationship Type="http://schemas.openxmlformats.org/officeDocument/2006/relationships/hyperlink" Id="rId161" Target="https://www.rdocumentation.org/packages/feather/versions/0.3.3" TargetMode="External" /><Relationship Type="http://schemas.openxmlformats.org/officeDocument/2006/relationships/hyperlink" Id="rId231" Target="https://www.rdocumentation.org/packages/lintr/versions/1.0.3" TargetMode="External" /><Relationship Type="http://schemas.openxmlformats.org/officeDocument/2006/relationships/hyperlink" Id="rId221" Target="https://www.rdocumentation.org/packages/styler/versions/1.1.0/topics/style_dir" TargetMode="External" /><Relationship Type="http://schemas.openxmlformats.org/officeDocument/2006/relationships/hyperlink" Id="rId439" Target="https://www.rstudio.com/wp-content/uploads/2015/02/data-wrangling-cheatsheet.pdf" TargetMode="External" /><Relationship Type="http://schemas.openxmlformats.org/officeDocument/2006/relationships/hyperlink" Id="rId442" Target="https://www.rstudio.com/wp-content/uploads/2015/02/rmarkdown-cheatsheet.pdf" TargetMode="External" /><Relationship Type="http://schemas.openxmlformats.org/officeDocument/2006/relationships/hyperlink" Id="rId440" Target="https://www.rstudio.com/wp-content/uploads/2015/03/ggplot2-cheatsheet.pdf" TargetMode="External" /><Relationship Type="http://schemas.openxmlformats.org/officeDocument/2006/relationships/hyperlink" Id="rId459" Target="https://www.sciencedirect.com/science/article/pii/S1471491423000928" TargetMode="External" /><Relationship Type="http://schemas.openxmlformats.org/officeDocument/2006/relationships/hyperlink" Id="rId220" Target="https://www.tidyverse.org/articles/2017/12/styler-1.0.0/" TargetMode="External" /><Relationship Type="http://schemas.openxmlformats.org/officeDocument/2006/relationships/hyperlink" Id="rId280" Target="https://www.tidyverse.org/articles/2017/12/workflow-vs-script/" TargetMode="External" /><Relationship Type="http://schemas.openxmlformats.org/officeDocument/2006/relationships/hyperlink" Id="rId460" Target="https://www.youtube.com/watch?v=1RwJbhkCA58&amp;t=1171s" TargetMode="External" /><Relationship Type="http://schemas.openxmlformats.org/officeDocument/2006/relationships/hyperlink" Id="rId56" Target="https://www.youtube.com/watch?v=WoYkY9MkbRE" TargetMode="External" /><Relationship Type="http://schemas.openxmlformats.org/officeDocument/2006/relationships/hyperlink" Id="rId155" Target="https://www.youtube.com/watch?v=nERXS3ssntw" TargetMode="External" /><Relationship Type="http://schemas.openxmlformats.org/officeDocument/2006/relationships/hyperlink" Id="rId456" Target="https://x.com/acagamic/status/1680381737816424450" TargetMode="External" /><Relationship Type="http://schemas.openxmlformats.org/officeDocument/2006/relationships/hyperlink" Id="rId62" Target="osf.io" TargetMode="External" /><Relationship Type="http://schemas.openxmlformats.org/officeDocument/2006/relationships/hyperlink" Id="rId64"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2026-01-11T11:47:44Z</dcterms:created>
  <dcterms:modified xsi:type="dcterms:W3CDTF">2026-01-11T11:47:44Z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2026-01-11</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