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2"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End w:id="42"/>
    <w:bookmarkStart w:id="64" w:name="reproducibility"/>
    <w:p>
      <w:pPr>
        <w:pStyle w:val="Heading1"/>
      </w:pPr>
      <w:r>
        <w:t xml:space="preserve">4. Reproducibility</w:t>
      </w:r>
    </w:p>
    <w:p>
      <w:pPr>
        <w:pStyle w:val="FirstParagraph"/>
      </w:pPr>
      <w:r>
        <w:t xml:space="preserve">Adapted by UCD-SeRG team from</w:t>
      </w:r>
      <w:r>
        <w:t xml:space="preserve"> </w:t>
      </w:r>
      <w:hyperlink r:id="rId43">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8"/>
        </w:numPr>
      </w:pPr>
      <w:r>
        <w:t xml:space="preserve">Design studies with appropriate methodology and adherence to best practices in epidemiology and biostatistics</w:t>
      </w:r>
    </w:p>
    <w:p>
      <w:pPr>
        <w:pStyle w:val="Compact"/>
        <w:numPr>
          <w:ilvl w:val="0"/>
          <w:numId w:val="1008"/>
        </w:numPr>
      </w:pPr>
      <w:r>
        <w:t xml:space="preserve">Register study protocols</w:t>
      </w:r>
    </w:p>
    <w:p>
      <w:pPr>
        <w:pStyle w:val="Compact"/>
        <w:numPr>
          <w:ilvl w:val="0"/>
          <w:numId w:val="1008"/>
        </w:numPr>
      </w:pPr>
      <w:r>
        <w:t xml:space="preserve">Write and register pre-analysis plans</w:t>
      </w:r>
    </w:p>
    <w:p>
      <w:pPr>
        <w:pStyle w:val="Compact"/>
        <w:numPr>
          <w:ilvl w:val="0"/>
          <w:numId w:val="1008"/>
        </w:numPr>
      </w:pPr>
      <w:r>
        <w:t xml:space="preserve">Create reproducible workflows</w:t>
      </w:r>
    </w:p>
    <w:p>
      <w:pPr>
        <w:pStyle w:val="Compact"/>
        <w:numPr>
          <w:ilvl w:val="0"/>
          <w:numId w:val="1008"/>
        </w:numPr>
      </w:pPr>
      <w:r>
        <w:t xml:space="preserve">Process and analyze data with internal replication and masking</w:t>
      </w:r>
    </w:p>
    <w:p>
      <w:pPr>
        <w:pStyle w:val="Compact"/>
        <w:numPr>
          <w:ilvl w:val="0"/>
          <w:numId w:val="1008"/>
        </w:numPr>
      </w:pPr>
      <w:r>
        <w:t xml:space="preserve">Use reporting checklists with manuscripts</w:t>
      </w:r>
    </w:p>
    <w:p>
      <w:pPr>
        <w:pStyle w:val="Compact"/>
        <w:numPr>
          <w:ilvl w:val="0"/>
          <w:numId w:val="1008"/>
        </w:numPr>
      </w:pPr>
      <w:r>
        <w:t xml:space="preserve">Publish preprints</w:t>
      </w:r>
    </w:p>
    <w:p>
      <w:pPr>
        <w:pStyle w:val="Compact"/>
        <w:numPr>
          <w:ilvl w:val="0"/>
          <w:numId w:val="1008"/>
        </w:numPr>
      </w:pPr>
      <w:r>
        <w:t xml:space="preserve">Publish data (when possible) and replication scripts</w:t>
      </w:r>
    </w:p>
    <w:bookmarkStart w:id="47"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09"/>
        </w:numPr>
      </w:pPr>
      <w:r>
        <w:t xml:space="preserve">Nuzzo R. How scientists fool themselves – and how they can stop. 2015.</w:t>
      </w:r>
      <w:r>
        <w:t xml:space="preserve"> </w:t>
      </w:r>
      <w:hyperlink r:id="rId44">
        <w:r>
          <w:rPr>
            <w:rStyle w:val="Hyperlink"/>
          </w:rPr>
          <w:t xml:space="preserve">https://www.nature.com/articles/526182a</w:t>
        </w:r>
      </w:hyperlink>
    </w:p>
    <w:p>
      <w:pPr>
        <w:numPr>
          <w:ilvl w:val="0"/>
          <w:numId w:val="1009"/>
        </w:numPr>
      </w:pPr>
      <w:r>
        <w:t xml:space="preserve">Stoddart C. Is there a reproducibility crisis in science? 2016.</w:t>
      </w:r>
      <w:r>
        <w:t xml:space="preserve"> </w:t>
      </w:r>
      <w:hyperlink r:id="rId45">
        <w:r>
          <w:rPr>
            <w:rStyle w:val="Hyperlink"/>
          </w:rPr>
          <w:t xml:space="preserve">https://www.nature.com/articles/d41586-019-00067-3</w:t>
        </w:r>
      </w:hyperlink>
    </w:p>
    <w:p>
      <w:pPr>
        <w:numPr>
          <w:ilvl w:val="0"/>
          <w:numId w:val="1009"/>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6">
        <w:r>
          <w:rPr>
            <w:rStyle w:val="Hyperlink"/>
          </w:rPr>
          <w:t xml:space="preserve">http://dx.doi.org/10.1038/s41562-016-0021</w:t>
        </w:r>
      </w:hyperlink>
    </w:p>
    <w:bookmarkEnd w:id="47"/>
    <w:bookmarkStart w:id="48"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8"/>
    <w:bookmarkStart w:id="50" w:name="register-study-protocols"/>
    <w:p>
      <w:pPr>
        <w:pStyle w:val="Heading2"/>
      </w:pPr>
      <w:r>
        <w:t xml:space="preserve">4.3 Register study protocols</w:t>
      </w:r>
    </w:p>
    <w:p>
      <w:pPr>
        <w:pStyle w:val="FirstParagraph"/>
      </w:pPr>
      <w:r>
        <w:t xml:space="preserve">We register all randomized trials on</w:t>
      </w:r>
      <w:r>
        <w:t xml:space="preserve"> </w:t>
      </w:r>
      <w:hyperlink r:id="rId49">
        <w:r>
          <w:rPr>
            <w:rStyle w:val="Hyperlink"/>
          </w:rPr>
          <w:t xml:space="preserve">clinicaltrials.gov</w:t>
        </w:r>
      </w:hyperlink>
      <w:r>
        <w:t xml:space="preserve">, and in some cases register observational studies as well.</w:t>
      </w:r>
    </w:p>
    <w:bookmarkEnd w:id="50"/>
    <w:bookmarkStart w:id="52"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1">
        <w:r>
          <w:rPr>
            <w:rStyle w:val="Hyperlink"/>
          </w:rPr>
          <w:t xml:space="preserve">https://osf.io/tgbxr/</w:t>
        </w:r>
      </w:hyperlink>
      <w:r>
        <w:t xml:space="preserve">. Generally, these include:</w:t>
      </w:r>
    </w:p>
    <w:p>
      <w:pPr>
        <w:pStyle w:val="Compact"/>
        <w:numPr>
          <w:ilvl w:val="0"/>
          <w:numId w:val="1010"/>
        </w:numPr>
      </w:pPr>
      <w:r>
        <w:t xml:space="preserve">Brief background on the study (a condensed version of the introduction section of the paper)</w:t>
      </w:r>
    </w:p>
    <w:p>
      <w:pPr>
        <w:pStyle w:val="Compact"/>
        <w:numPr>
          <w:ilvl w:val="0"/>
          <w:numId w:val="1010"/>
        </w:numPr>
      </w:pPr>
      <w:r>
        <w:t xml:space="preserve">Hypotheses / objectives</w:t>
      </w:r>
    </w:p>
    <w:p>
      <w:pPr>
        <w:pStyle w:val="Compact"/>
        <w:numPr>
          <w:ilvl w:val="0"/>
          <w:numId w:val="1010"/>
        </w:numPr>
      </w:pPr>
      <w:r>
        <w:t xml:space="preserve">Study design</w:t>
      </w:r>
    </w:p>
    <w:p>
      <w:pPr>
        <w:pStyle w:val="Compact"/>
        <w:numPr>
          <w:ilvl w:val="0"/>
          <w:numId w:val="1010"/>
        </w:numPr>
      </w:pPr>
      <w:r>
        <w:t xml:space="preserve">Description of data</w:t>
      </w:r>
    </w:p>
    <w:p>
      <w:pPr>
        <w:pStyle w:val="Compact"/>
        <w:numPr>
          <w:ilvl w:val="0"/>
          <w:numId w:val="1010"/>
        </w:numPr>
      </w:pPr>
      <w:r>
        <w:t xml:space="preserve">Definition of outcomes</w:t>
      </w:r>
    </w:p>
    <w:p>
      <w:pPr>
        <w:pStyle w:val="Compact"/>
        <w:numPr>
          <w:ilvl w:val="0"/>
          <w:numId w:val="1010"/>
        </w:numPr>
      </w:pPr>
      <w:r>
        <w:t xml:space="preserve">Definition of interventions / exposures</w:t>
      </w:r>
    </w:p>
    <w:p>
      <w:pPr>
        <w:pStyle w:val="Compact"/>
        <w:numPr>
          <w:ilvl w:val="0"/>
          <w:numId w:val="1010"/>
        </w:numPr>
      </w:pPr>
      <w:r>
        <w:t xml:space="preserve">Definition of covariates</w:t>
      </w:r>
    </w:p>
    <w:p>
      <w:pPr>
        <w:pStyle w:val="Compact"/>
        <w:numPr>
          <w:ilvl w:val="0"/>
          <w:numId w:val="1010"/>
        </w:numPr>
      </w:pPr>
      <w:r>
        <w:t xml:space="preserve">Statistical power calculation</w:t>
      </w:r>
    </w:p>
    <w:p>
      <w:pPr>
        <w:pStyle w:val="Compact"/>
        <w:numPr>
          <w:ilvl w:val="0"/>
          <w:numId w:val="1010"/>
        </w:numPr>
      </w:pPr>
      <w:r>
        <w:t xml:space="preserve">Statistical analysis:</w:t>
      </w:r>
    </w:p>
    <w:p>
      <w:pPr>
        <w:pStyle w:val="Compact"/>
        <w:numPr>
          <w:ilvl w:val="0"/>
          <w:numId w:val="1011"/>
        </w:numPr>
      </w:pPr>
      <w:r>
        <w:t xml:space="preserve">Type of model</w:t>
      </w:r>
    </w:p>
    <w:p>
      <w:pPr>
        <w:pStyle w:val="Compact"/>
        <w:numPr>
          <w:ilvl w:val="0"/>
          <w:numId w:val="1011"/>
        </w:numPr>
      </w:pPr>
      <w:r>
        <w:t xml:space="preserve">Covariate selection / screening</w:t>
      </w:r>
    </w:p>
    <w:p>
      <w:pPr>
        <w:pStyle w:val="Compact"/>
        <w:numPr>
          <w:ilvl w:val="0"/>
          <w:numId w:val="1011"/>
        </w:numPr>
      </w:pPr>
      <w:r>
        <w:t xml:space="preserve">Standard error estimation method</w:t>
      </w:r>
    </w:p>
    <w:p>
      <w:pPr>
        <w:pStyle w:val="Compact"/>
        <w:numPr>
          <w:ilvl w:val="0"/>
          <w:numId w:val="1011"/>
        </w:numPr>
      </w:pPr>
      <w:r>
        <w:t xml:space="preserve">Missing data analysis</w:t>
      </w:r>
    </w:p>
    <w:p>
      <w:pPr>
        <w:pStyle w:val="Compact"/>
        <w:numPr>
          <w:ilvl w:val="0"/>
          <w:numId w:val="1011"/>
        </w:numPr>
      </w:pPr>
      <w:r>
        <w:t xml:space="preserve">Assessment of effect modification / subgroup analyses</w:t>
      </w:r>
    </w:p>
    <w:p>
      <w:pPr>
        <w:pStyle w:val="Compact"/>
        <w:numPr>
          <w:ilvl w:val="0"/>
          <w:numId w:val="1011"/>
        </w:numPr>
      </w:pPr>
      <w:r>
        <w:t xml:space="preserve">Sensitivity analyses</w:t>
      </w:r>
    </w:p>
    <w:p>
      <w:pPr>
        <w:pStyle w:val="Compact"/>
        <w:numPr>
          <w:ilvl w:val="0"/>
          <w:numId w:val="1011"/>
        </w:numPr>
      </w:pPr>
      <w:r>
        <w:t xml:space="preserve">Negative control analyses</w:t>
      </w:r>
    </w:p>
    <w:bookmarkEnd w:id="52"/>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2"/>
        </w:numPr>
      </w:pPr>
      <w:r>
        <w:t xml:space="preserve">Chapter 5: Code repositories</w:t>
      </w:r>
    </w:p>
    <w:p>
      <w:pPr>
        <w:pStyle w:val="Compact"/>
        <w:numPr>
          <w:ilvl w:val="0"/>
          <w:numId w:val="1012"/>
        </w:numPr>
      </w:pPr>
      <w:r>
        <w:t xml:space="preserve">Chapter 6: Coding practices</w:t>
      </w:r>
    </w:p>
    <w:p>
      <w:pPr>
        <w:pStyle w:val="Compact"/>
        <w:numPr>
          <w:ilvl w:val="0"/>
          <w:numId w:val="1012"/>
        </w:numPr>
      </w:pPr>
      <w:r>
        <w:t xml:space="preserve">Chapter 7: Coding style</w:t>
      </w:r>
    </w:p>
    <w:p>
      <w:pPr>
        <w:pStyle w:val="Compact"/>
        <w:numPr>
          <w:ilvl w:val="0"/>
          <w:numId w:val="1012"/>
        </w:numPr>
      </w:pPr>
      <w:r>
        <w:t xml:space="preserve">Chapter 8: Code publication</w:t>
      </w:r>
    </w:p>
    <w:p>
      <w:pPr>
        <w:pStyle w:val="Compact"/>
        <w:numPr>
          <w:ilvl w:val="0"/>
          <w:numId w:val="1012"/>
        </w:numPr>
      </w:pPr>
      <w:r>
        <w:t xml:space="preserve">Chapter 9: Working with big data</w:t>
      </w:r>
    </w:p>
    <w:p>
      <w:pPr>
        <w:pStyle w:val="Compact"/>
        <w:numPr>
          <w:ilvl w:val="0"/>
          <w:numId w:val="1012"/>
        </w:numPr>
      </w:pPr>
      <w:r>
        <w:t xml:space="preserve">Chapter 10: Github</w:t>
      </w:r>
    </w:p>
    <w:p>
      <w:pPr>
        <w:pStyle w:val="Compact"/>
        <w:numPr>
          <w:ilvl w:val="0"/>
          <w:numId w:val="1012"/>
        </w:numPr>
      </w:pPr>
      <w:r>
        <w:t xml:space="preserve">Chapter 11: Unix</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6">
        <w:r>
          <w:rPr>
            <w:rStyle w:val="Hyperlink"/>
          </w:rPr>
          <w:t xml:space="preserve">https://www.equator-network.org/about-us/what-is-a-reporting-guideline/)</w:t>
        </w:r>
      </w:hyperlink>
    </w:p>
    <w:bookmarkEnd w:id="57"/>
    <w:bookmarkStart w:id="5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8">
        <w:r>
          <w:rPr>
            <w:rStyle w:val="Hyperlink"/>
          </w:rPr>
          <w:t xml:space="preserve">medRxiv</w:t>
        </w:r>
      </w:hyperlink>
      <w:r>
        <w:t xml:space="preserve">.</w:t>
      </w:r>
    </w:p>
    <w:bookmarkEnd w:id="59"/>
    <w:bookmarkStart w:id="63"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0">
        <w:r>
          <w:rPr>
            <w:rStyle w:val="Hyperlink"/>
          </w:rPr>
          <w:t xml:space="preserve">Open Science Framework</w:t>
        </w:r>
      </w:hyperlink>
      <w:r>
        <w:t xml:space="preserve">, share links to</w:t>
      </w:r>
      <w:r>
        <w:t xml:space="preserve"> </w:t>
      </w:r>
      <w:hyperlink r:id="rId61">
        <w:r>
          <w:rPr>
            <w:rStyle w:val="Hyperlink"/>
          </w:rPr>
          <w:t xml:space="preserve">Github</w:t>
        </w:r>
      </w:hyperlink>
      <w:r>
        <w:t xml:space="preserve"> </w:t>
      </w:r>
      <w:r>
        <w:t xml:space="preserve">repositories, and archive code on</w:t>
      </w:r>
      <w:r>
        <w:t xml:space="preserve"> </w:t>
      </w:r>
      <w:hyperlink r:id="rId62">
        <w:r>
          <w:rPr>
            <w:rStyle w:val="Hyperlink"/>
          </w:rPr>
          <w:t xml:space="preserve">Zenodo</w:t>
        </w:r>
      </w:hyperlink>
      <w:r>
        <w:t xml:space="preserve">.</w:t>
      </w:r>
    </w:p>
    <w:bookmarkEnd w:id="63"/>
    <w:bookmarkEnd w:id="64"/>
    <w:bookmarkStart w:id="78" w:name="code-repositories"/>
    <w:p>
      <w:pPr>
        <w:pStyle w:val="Heading1"/>
      </w:pPr>
      <w:r>
        <w:t xml:space="preserve">5. Code repositories</w:t>
      </w:r>
    </w:p>
    <w:p>
      <w:pPr>
        <w:pStyle w:val="FirstParagraph"/>
      </w:pPr>
      <w:r>
        <w:t xml:space="preserve">Adapted by UCD-SeRG team from</w:t>
      </w:r>
      <w:r>
        <w:t xml:space="preserve"> </w:t>
      </w:r>
      <w:hyperlink r:id="rId65">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all R-based work. This provides benefits for reproducibility, collaboration, and code quality even for analysis-only projects.</w:t>
      </w:r>
    </w:p>
    <w:bookmarkStart w:id="75" w:name="project-structure"/>
    <w:p>
      <w:pPr>
        <w:pStyle w:val="Heading2"/>
      </w:pPr>
      <w:r>
        <w:t xml:space="preserve">5.1 Project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6" w:name="why-use-r-package-structure"/>
    <w:p>
      <w:pPr>
        <w:pStyle w:val="Heading3"/>
      </w:pPr>
      <w:r>
        <w:t xml:space="preserve">5.1.1 Why Use R Package Structure?</w:t>
      </w:r>
    </w:p>
    <w:p>
      <w:pPr>
        <w:pStyle w:val="Compact"/>
        <w:numPr>
          <w:ilvl w:val="0"/>
          <w:numId w:val="1013"/>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3"/>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versions</w:t>
      </w:r>
    </w:p>
    <w:p>
      <w:pPr>
        <w:pStyle w:val="Compact"/>
        <w:numPr>
          <w:ilvl w:val="0"/>
          <w:numId w:val="1013"/>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3"/>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3"/>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3"/>
        </w:numPr>
      </w:pPr>
      <w:r>
        <w:rPr>
          <w:b/>
          <w:bCs/>
        </w:rPr>
        <w:t xml:space="preserve">Reproducibility</w:t>
      </w:r>
      <w:r>
        <w:t xml:space="preserve">: Package structure makes it easy to share and reproduce analyses</w:t>
      </w:r>
    </w:p>
    <w:p>
      <w:pPr>
        <w:pStyle w:val="Compact"/>
        <w:numPr>
          <w:ilvl w:val="0"/>
          <w:numId w:val="1013"/>
        </w:numPr>
      </w:pPr>
      <w:r>
        <w:rPr>
          <w:b/>
          <w:bCs/>
        </w:rPr>
        <w:t xml:space="preserve">Reusable functions</w:t>
      </w:r>
      <w:r>
        <w:t xml:space="preserve">: Decompose complex analyses into well-documented, testable functions</w:t>
      </w:r>
    </w:p>
    <w:p>
      <w:pPr>
        <w:pStyle w:val="Compact"/>
        <w:numPr>
          <w:ilvl w:val="0"/>
          <w:numId w:val="1013"/>
        </w:numPr>
      </w:pPr>
      <w:r>
        <w:rPr>
          <w:b/>
          <w:bCs/>
        </w:rPr>
        <w:t xml:space="preserve">Version control</w:t>
      </w:r>
      <w:r>
        <w:t xml:space="preserve">: Track changes to code, documentation, and data together</w:t>
      </w:r>
    </w:p>
    <w:bookmarkEnd w:id="66"/>
    <w:bookmarkStart w:id="67"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7"/>
    <w:bookmarkStart w:id="71" w:name="sec-analysis-file-placement"/>
    <w:p>
      <w:pPr>
        <w:pStyle w:val="Heading3"/>
      </w:pPr>
      <w:r>
        <w:t xml:space="preserve">5.1.3 Where to Place Analysis Files</w:t>
      </w:r>
    </w:p>
    <w:bookmarkStart w:id="68"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8"/>
    <w:bookmarkStart w:id="69"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r>
        <w:t xml:space="preserve"> </w:t>
      </w:r>
      <w:r>
        <w:t xml:space="preserve">- Use publicly available data</w:t>
      </w:r>
      <w:r>
        <w:t xml:space="preserve"> </w:t>
      </w:r>
      <w:r>
        <w:t xml:space="preserve">- Should be accessible to all package users</w:t>
      </w:r>
      <w:r>
        <w:t xml:space="preserve"> </w:t>
      </w:r>
      <w:r>
        <w:t xml:space="preserve">- Are core to understanding the package</w:t>
      </w:r>
    </w:p>
    <w:p>
      <w:pPr>
        <w:pStyle w:val="BodyText"/>
      </w:pPr>
      <w:r>
        <w:t xml:space="preserve">Use</w:t>
      </w:r>
      <w:r>
        <w:t xml:space="preserve"> </w:t>
      </w:r>
      <w:r>
        <w:rPr>
          <w:rStyle w:val="VerbatimChar"/>
        </w:rPr>
        <w:t xml:space="preserve">vignettes/articles/</w:t>
      </w:r>
      <w:r>
        <w:t xml:space="preserve"> </w:t>
      </w:r>
      <w:r>
        <w:t xml:space="preserve">for:</w:t>
      </w:r>
      <w:r>
        <w:t xml:space="preserve"> </w:t>
      </w:r>
      <w:r>
        <w:t xml:space="preserve">- Extended case studies</w:t>
      </w:r>
      <w:r>
        <w:t xml:space="preserve"> </w:t>
      </w:r>
      <w:r>
        <w:t xml:space="preserve">- Blog-style posts</w:t>
      </w:r>
      <w:r>
        <w:t xml:space="preserve"> </w:t>
      </w:r>
      <w:r>
        <w:t xml:space="preserve">- Supplementary analyses</w:t>
      </w:r>
      <w:r>
        <w:t xml:space="preserve"> </w:t>
      </w:r>
      <w:r>
        <w:t xml:space="preserve">- Material that updates frequently</w:t>
      </w:r>
    </w:p>
    <w:p>
      <w:pPr>
        <w:pStyle w:val="BodyText"/>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9"/>
    <w:bookmarkStart w:id="70"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4"/>
        </w:numPr>
      </w:pPr>
      <w:r>
        <w:t xml:space="preserve">Analyses with restricted data are included in version control alongside your code</w:t>
      </w:r>
    </w:p>
    <w:p>
      <w:pPr>
        <w:pStyle w:val="Compact"/>
        <w:numPr>
          <w:ilvl w:val="0"/>
          <w:numId w:val="1014"/>
        </w:numPr>
      </w:pPr>
      <w:r>
        <w:t xml:space="preserve">They’re clearly separated from public documentation</w:t>
      </w:r>
    </w:p>
    <w:p>
      <w:pPr>
        <w:pStyle w:val="Compact"/>
        <w:numPr>
          <w:ilvl w:val="0"/>
          <w:numId w:val="1014"/>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4"/>
        </w:numPr>
      </w:pPr>
      <w:r>
        <w:t xml:space="preserve">Collaborators with data access can still run these analyses</w:t>
      </w:r>
    </w:p>
    <w:p>
      <w:pPr>
        <w:pStyle w:val="Compact"/>
        <w:numPr>
          <w:ilvl w:val="0"/>
          <w:numId w:val="1014"/>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numPr>
          <w:ilvl w:val="0"/>
          <w:numId w:val="1015"/>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6"/>
        </w:numPr>
      </w:pPr>
      <w:r>
        <w:t xml:space="preserve">What data is required</w:t>
      </w:r>
    </w:p>
    <w:p>
      <w:pPr>
        <w:pStyle w:val="Compact"/>
        <w:numPr>
          <w:ilvl w:val="1"/>
          <w:numId w:val="1016"/>
        </w:numPr>
      </w:pPr>
      <w:r>
        <w:t xml:space="preserve">Where to obtain it (if permissible)</w:t>
      </w:r>
    </w:p>
    <w:p>
      <w:pPr>
        <w:pStyle w:val="Compact"/>
        <w:numPr>
          <w:ilvl w:val="1"/>
          <w:numId w:val="1016"/>
        </w:numPr>
      </w:pPr>
      <w:r>
        <w:t xml:space="preserve">Data access restrictions</w:t>
      </w:r>
    </w:p>
    <w:p>
      <w:pPr>
        <w:pStyle w:val="Compact"/>
        <w:numPr>
          <w:ilvl w:val="1"/>
          <w:numId w:val="1016"/>
        </w:numPr>
      </w:pPr>
      <w:r>
        <w:t xml:space="preserve">How to set up data paths</w:t>
      </w:r>
    </w:p>
    <w:p>
      <w:pPr>
        <w:numPr>
          <w:ilvl w:val="0"/>
          <w:numId w:val="1015"/>
        </w:numPr>
      </w:pPr>
      <w:r>
        <w:rPr>
          <w:b/>
          <w:bCs/>
        </w:rPr>
        <w:t xml:space="preserve">Use relative paths carefully</w:t>
      </w:r>
      <w:r>
        <w:t xml:space="preserve">: Structure your code so data paths can be configured:</w:t>
      </w:r>
    </w:p>
    <w:p>
      <w:pPr>
        <w:pStyle w:val="SourceCode"/>
        <w:numPr>
          <w:ilvl w:val="0"/>
          <w:numId w:val="1000"/>
        </w:numPr>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numPr>
          <w:ilvl w:val="0"/>
          <w:numId w:val="1015"/>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17"/>
        </w:numPr>
      </w:pPr>
      <w:r>
        <w:t xml:space="preserve">Simulated data that mimics the structure</w:t>
      </w:r>
    </w:p>
    <w:p>
      <w:pPr>
        <w:pStyle w:val="Compact"/>
        <w:numPr>
          <w:ilvl w:val="1"/>
          <w:numId w:val="1017"/>
        </w:numPr>
      </w:pPr>
      <w:r>
        <w:t xml:space="preserve">Publicly available datasets</w:t>
      </w:r>
    </w:p>
    <w:p>
      <w:pPr>
        <w:pStyle w:val="Compact"/>
        <w:numPr>
          <w:ilvl w:val="1"/>
          <w:numId w:val="1017"/>
        </w:numPr>
      </w:pPr>
      <w:r>
        <w:t xml:space="preserve">Aggregated/de-identified summaries</w:t>
      </w:r>
    </w:p>
    <w:p>
      <w:pPr>
        <w:numPr>
          <w:ilvl w:val="0"/>
          <w:numId w:val="1015"/>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numPr>
          <w:ilvl w:val="0"/>
          <w:numId w:val="1000"/>
        </w:numPr>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0"/>
    <w:bookmarkEnd w:id="71"/>
    <w:bookmarkStart w:id="72"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18"/>
        </w:numPr>
      </w:pPr>
      <w:r>
        <w:t xml:space="preserve">Be clean, readable narratives of your analysis</w:t>
      </w:r>
    </w:p>
    <w:p>
      <w:pPr>
        <w:pStyle w:val="Compact"/>
        <w:numPr>
          <w:ilvl w:val="0"/>
          <w:numId w:val="1018"/>
        </w:numPr>
      </w:pPr>
      <w:r>
        <w:t xml:space="preserve">Call well-documented functions from your package</w:t>
      </w:r>
    </w:p>
    <w:p>
      <w:pPr>
        <w:pStyle w:val="Compact"/>
        <w:numPr>
          <w:ilvl w:val="0"/>
          <w:numId w:val="1018"/>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18"/>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2"/>
    <w:bookmarkStart w:id="73"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3"/>
    <w:bookmarkStart w:id="74"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4"/>
    <w:bookmarkEnd w:id="75"/>
    <w:bookmarkStart w:id="76"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6"/>
    <w:bookmarkStart w:id="77" w:name="organizing-the-data-raw-folder"/>
    <w:p>
      <w:pPr>
        <w:pStyle w:val="Heading2"/>
      </w:pPr>
      <w:r>
        <w:t xml:space="preserve">5.3 Organizing the</w:t>
      </w:r>
      <w:r>
        <w:t xml:space="preserve"> </w:t>
      </w:r>
      <w:r>
        <w:rPr>
          <w:rStyle w:val="VerbatimChar"/>
        </w:rPr>
        <w:t xml:space="preserve">data-raw</w:t>
      </w:r>
      <w:r>
        <w:t xml:space="preserve"> </w:t>
      </w:r>
      <w:r>
        <w:t xml:space="preserve">folder</w:t>
      </w:r>
    </w:p>
    <w:bookmarkEnd w:id="77"/>
    <w:bookmarkEnd w:id="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 TargetMode="External" /><Relationship Type="http://schemas.openxmlformats.org/officeDocument/2006/relationships/hyperlink" Id="rId49" Target="clinicaltrials.gov" TargetMode="External" /><Relationship Type="http://schemas.openxmlformats.org/officeDocument/2006/relationships/hyperlink" Id="rId61" Target="github.com" TargetMode="External" /><Relationship Type="http://schemas.openxmlformats.org/officeDocument/2006/relationships/hyperlink" Id="rId46" Target="http://dx.doi.org/10.1038/s41562-016-0021"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22" Target="https://github.com/jadebc/lab-manual" TargetMode="External" /><Relationship Type="http://schemas.openxmlformats.org/officeDocument/2006/relationships/hyperlink" Id="rId65" Target="https://jadebc.github.io/lab-manual/code-repositories.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3" Target="https://jadebc.github.io/lab-manual/index.html" TargetMode="External" /><Relationship Type="http://schemas.openxmlformats.org/officeDocument/2006/relationships/hyperlink" Id="rId43" Target="https://jadebc.github.io/lab-manual/reproducibility.html" TargetMode="External" /><Relationship Type="http://schemas.openxmlformats.org/officeDocument/2006/relationships/hyperlink" Id="rId39" Target="https://kb.ucdavis.edu/?id=6485" TargetMode="External" /><Relationship Type="http://schemas.openxmlformats.org/officeDocument/2006/relationships/hyperlink" Id="rId51" Target="https://osf.io/tgbxr/"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20" Target="https://ucdserg.ucdavis.edu" TargetMode="External" /><Relationship Type="http://schemas.openxmlformats.org/officeDocument/2006/relationships/hyperlink" Id="rId56" Target="https://www.equator-network.org/about-us/what-is-a-reporting-guideline/" TargetMode="External" /><Relationship Type="http://schemas.openxmlformats.org/officeDocument/2006/relationships/hyperlink" Id="rId58" Target="https://www.medrxiv.org/" TargetMode="External" /><Relationship Type="http://schemas.openxmlformats.org/officeDocument/2006/relationships/hyperlink" Id="rId45" Target="https://www.nature.com/articles/d41586-019-00067-3" TargetMode="External" /><Relationship Type="http://schemas.openxmlformats.org/officeDocument/2006/relationships/hyperlink" Id="rId54" Target="https://www.youtube.com/watch?v=WoYkY9MkbRE" TargetMode="External" /><Relationship Type="http://schemas.openxmlformats.org/officeDocument/2006/relationships/hyperlink" Id="rId60" Target="osf.io" TargetMode="External" /><Relationship Type="http://schemas.openxmlformats.org/officeDocument/2006/relationships/hyperlink" Id="rId62" Target="zenodo.org" TargetMode="External" /></Relationships>
</file>

<file path=word/_rels/footnotes.xml.rels><?xml version="1.0" encoding="UTF-8"?><Relationships xmlns="http://schemas.openxmlformats.org/package/2006/relationships"><Relationship Type="http://schemas.openxmlformats.org/officeDocument/2006/relationships/hyperlink" Id="rId44" Target="" TargetMode="External" /><Relationship Type="http://schemas.openxmlformats.org/officeDocument/2006/relationships/hyperlink" Id="rId49" Target="clinicaltrials.gov" TargetMode="External" /><Relationship Type="http://schemas.openxmlformats.org/officeDocument/2006/relationships/hyperlink" Id="rId61" Target="github.com" TargetMode="External" /><Relationship Type="http://schemas.openxmlformats.org/officeDocument/2006/relationships/hyperlink" Id="rId46" Target="http://dx.doi.org/10.1038/s41562-016-0021"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22" Target="https://github.com/jadebc/lab-manual" TargetMode="External" /><Relationship Type="http://schemas.openxmlformats.org/officeDocument/2006/relationships/hyperlink" Id="rId65" Target="https://jadebc.github.io/lab-manual/code-repositories.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3" Target="https://jadebc.github.io/lab-manual/index.html" TargetMode="External" /><Relationship Type="http://schemas.openxmlformats.org/officeDocument/2006/relationships/hyperlink" Id="rId43" Target="https://jadebc.github.io/lab-manual/reproducibility.html" TargetMode="External" /><Relationship Type="http://schemas.openxmlformats.org/officeDocument/2006/relationships/hyperlink" Id="rId39" Target="https://kb.ucdavis.edu/?id=6485" TargetMode="External" /><Relationship Type="http://schemas.openxmlformats.org/officeDocument/2006/relationships/hyperlink" Id="rId51" Target="https://osf.io/tgbxr/"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20" Target="https://ucdserg.ucdavis.edu" TargetMode="External" /><Relationship Type="http://schemas.openxmlformats.org/officeDocument/2006/relationships/hyperlink" Id="rId56" Target="https://www.equator-network.org/about-us/what-is-a-reporting-guideline/" TargetMode="External" /><Relationship Type="http://schemas.openxmlformats.org/officeDocument/2006/relationships/hyperlink" Id="rId58" Target="https://www.medrxiv.org/" TargetMode="External" /><Relationship Type="http://schemas.openxmlformats.org/officeDocument/2006/relationships/hyperlink" Id="rId45" Target="https://www.nature.com/articles/d41586-019-00067-3" TargetMode="External" /><Relationship Type="http://schemas.openxmlformats.org/officeDocument/2006/relationships/hyperlink" Id="rId54" Target="https://www.youtube.com/watch?v=WoYkY9MkbRE" TargetMode="External" /><Relationship Type="http://schemas.openxmlformats.org/officeDocument/2006/relationships/hyperlink" Id="rId60" Target="osf.io" TargetMode="External" /><Relationship Type="http://schemas.openxmlformats.org/officeDocument/2006/relationships/hyperlink" Id="rId62"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2026-01-10T07:52:07Z</dcterms:created>
  <dcterms:modified xsi:type="dcterms:W3CDTF">2026-01-10T07:52:07Z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2026-01-10</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