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77.jpg" ContentType="image/jpe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7"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End w:id="77"/>
    <w:bookmarkStart w:id="81" w:name="organizing-the-data-raw-folder"/>
    <w:p>
      <w:pPr>
        <w:pStyle w:val="Heading1"/>
      </w:pPr>
      <w:r>
        <w:t xml:space="preserve">6.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 We recommend the following 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8" w:name="configuration-config-file"/>
    <w:p>
      <w:pPr>
        <w:pStyle w:val="Heading2"/>
      </w:pPr>
      <w:r>
        <w:t xml:space="preserve">6.1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8"/>
    <w:bookmarkStart w:id="79" w:name="order-files-and-directories"/>
    <w:p>
      <w:pPr>
        <w:pStyle w:val="Heading2"/>
      </w:pPr>
      <w:r>
        <w:t xml:space="preserve">6.2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9"/>
    <w:bookmarkStart w:id="80" w:name="Xbca27e34a9d49be3052c20f19c87d806d9e9577"/>
    <w:p>
      <w:pPr>
        <w:pStyle w:val="Heading2"/>
      </w:pPr>
      <w:r>
        <w:t xml:space="preserve">6.3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0"/>
    <w:bookmarkEnd w:id="81"/>
    <w:bookmarkStart w:id="131" w:name="sec-r-coding-practices"/>
    <w:p>
      <w:pPr>
        <w:pStyle w:val="Heading1"/>
      </w:pPr>
      <w:r>
        <w:t xml:space="preserve">7. R Coding Practices</w:t>
      </w:r>
    </w:p>
    <w:bookmarkStart w:id="82" w:name="lab-protocols-for-code-and-data"/>
    <w:p>
      <w:pPr>
        <w:pStyle w:val="Heading2"/>
      </w:pPr>
      <w:r>
        <w:t xml:space="preserve">7.1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19"/>
        </w:numPr>
      </w:pPr>
      <w:r>
        <w:rPr>
          <w:b/>
          <w:bCs/>
        </w:rPr>
        <w:t xml:space="preserve">Ensure reproducibility</w:t>
      </w:r>
      <w:r>
        <w:t xml:space="preserve">: Others (including your future self) can recreate your analysis</w:t>
      </w:r>
    </w:p>
    <w:p>
      <w:pPr>
        <w:pStyle w:val="Compact"/>
        <w:numPr>
          <w:ilvl w:val="0"/>
          <w:numId w:val="1019"/>
        </w:numPr>
      </w:pPr>
      <w:r>
        <w:rPr>
          <w:b/>
          <w:bCs/>
        </w:rPr>
        <w:t xml:space="preserve">Prevent errors</w:t>
      </w:r>
      <w:r>
        <w:t xml:space="preserve">: Systematic approaches reduce the risk of mistakes</w:t>
      </w:r>
    </w:p>
    <w:p>
      <w:pPr>
        <w:pStyle w:val="Compact"/>
        <w:numPr>
          <w:ilvl w:val="0"/>
          <w:numId w:val="1019"/>
        </w:numPr>
      </w:pPr>
      <w:r>
        <w:rPr>
          <w:b/>
          <w:bCs/>
        </w:rPr>
        <w:t xml:space="preserve">Enable collaboration</w:t>
      </w:r>
      <w:r>
        <w:t xml:space="preserve">: Consistent practices allow team members to work together efficiently</w:t>
      </w:r>
    </w:p>
    <w:p>
      <w:pPr>
        <w:pStyle w:val="Compact"/>
        <w:numPr>
          <w:ilvl w:val="0"/>
          <w:numId w:val="1019"/>
        </w:numPr>
      </w:pPr>
      <w:r>
        <w:rPr>
          <w:b/>
          <w:bCs/>
        </w:rPr>
        <w:t xml:space="preserve">Maintain data integrity</w:t>
      </w:r>
      <w:r>
        <w:t xml:space="preserve">: Proper handling prevents data corruption and loss</w:t>
      </w:r>
    </w:p>
    <w:p>
      <w:pPr>
        <w:pStyle w:val="Compact"/>
        <w:numPr>
          <w:ilvl w:val="0"/>
          <w:numId w:val="101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7.2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7.2.1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7.2.2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7.2.3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97" w:name="sec-r-workflow"/>
    <w:p>
      <w:pPr>
        <w:pStyle w:val="Heading2"/>
      </w:pPr>
      <w:r>
        <w:t xml:space="preserve">7.3 Complete Package Development Workflow</w:t>
      </w:r>
    </w:p>
    <w:p>
      <w:pPr>
        <w:pStyle w:val="FirstParagraph"/>
      </w:pPr>
      <w:r>
        <w:t xml:space="preserve">Here’s the typical workflow for developing an R package in our lab:</w:t>
      </w:r>
    </w:p>
    <w:bookmarkStart w:id="87" w:name="initial-setup"/>
    <w:p>
      <w:pPr>
        <w:pStyle w:val="Heading3"/>
      </w:pPr>
      <w:r>
        <w:t xml:space="preserve">7.3.1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7"/>
    <w:bookmarkStart w:id="88" w:name="add-dependencies"/>
    <w:p>
      <w:pPr>
        <w:pStyle w:val="Heading3"/>
      </w:pPr>
      <w:r>
        <w:t xml:space="preserve">7.3.2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8"/>
    <w:bookmarkStart w:id="89" w:name="write-functions"/>
    <w:p>
      <w:pPr>
        <w:pStyle w:val="Heading3"/>
      </w:pPr>
      <w:r>
        <w:t xml:space="preserve">7.3.3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9"/>
    <w:bookmarkStart w:id="90" w:name="document"/>
    <w:p>
      <w:pPr>
        <w:pStyle w:val="Heading3"/>
      </w:pPr>
      <w:r>
        <w:t xml:space="preserve">7.3.4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0"/>
    <w:bookmarkStart w:id="91" w:name="test"/>
    <w:p>
      <w:pPr>
        <w:pStyle w:val="Heading3"/>
      </w:pPr>
      <w:r>
        <w:t xml:space="preserve">7.3.5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1"/>
    <w:bookmarkStart w:id="92" w:name="check"/>
    <w:p>
      <w:pPr>
        <w:pStyle w:val="Heading3"/>
      </w:pPr>
      <w:r>
        <w:t xml:space="preserve">7.3.6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2"/>
    <w:bookmarkStart w:id="93" w:name="build-documentation-site"/>
    <w:p>
      <w:pPr>
        <w:pStyle w:val="Heading3"/>
      </w:pPr>
      <w:r>
        <w:t xml:space="preserve">7.3.7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3"/>
    <w:bookmarkStart w:id="94" w:name="share-and-publish"/>
    <w:p>
      <w:pPr>
        <w:pStyle w:val="Heading3"/>
      </w:pPr>
      <w:r>
        <w:t xml:space="preserve">7.3.8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4"/>
    <w:bookmarkStart w:id="95" w:name="when-to-use-explicit-value-tests"/>
    <w:p>
      <w:pPr>
        <w:pStyle w:val="Heading3"/>
      </w:pPr>
      <w:r>
        <w:t xml:space="preserve">7.3.9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0"/>
        </w:numPr>
      </w:pPr>
      <w:r>
        <w:t xml:space="preserve">Testing simple scalar outputs</w:t>
      </w:r>
    </w:p>
    <w:p>
      <w:pPr>
        <w:pStyle w:val="Compact"/>
        <w:numPr>
          <w:ilvl w:val="0"/>
          <w:numId w:val="1020"/>
        </w:numPr>
      </w:pPr>
      <w:r>
        <w:t xml:space="preserve">Validating specific numeric thresholds</w:t>
      </w:r>
    </w:p>
    <w:p>
      <w:pPr>
        <w:pStyle w:val="Compact"/>
        <w:numPr>
          <w:ilvl w:val="0"/>
          <w:numId w:val="1020"/>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5"/>
    <w:bookmarkStart w:id="96" w:name="testing-best-practices"/>
    <w:p>
      <w:pPr>
        <w:pStyle w:val="Heading3"/>
      </w:pPr>
      <w:r>
        <w:t xml:space="preserve">7.3.10 Testing Best Practices</w:t>
      </w:r>
    </w:p>
    <w:p>
      <w:pPr>
        <w:pStyle w:val="Compact"/>
        <w:numPr>
          <w:ilvl w:val="0"/>
          <w:numId w:val="102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1"/>
        </w:numPr>
      </w:pPr>
      <w:r>
        <w:rPr>
          <w:b/>
          <w:bCs/>
        </w:rPr>
        <w:t xml:space="preserve">Use small test cases</w:t>
      </w:r>
      <w:r>
        <w:t xml:space="preserve">: Keep tests fast</w:t>
      </w:r>
    </w:p>
    <w:p>
      <w:pPr>
        <w:pStyle w:val="Compact"/>
        <w:numPr>
          <w:ilvl w:val="0"/>
          <w:numId w:val="1021"/>
        </w:numPr>
      </w:pPr>
      <w:r>
        <w:rPr>
          <w:b/>
          <w:bCs/>
        </w:rPr>
        <w:t xml:space="preserve">Test edge cases</w:t>
      </w:r>
      <w:r>
        <w:t xml:space="preserve">: Missing values, empty inputs, boundary conditions</w:t>
      </w:r>
    </w:p>
    <w:p>
      <w:pPr>
        <w:pStyle w:val="Compact"/>
        <w:numPr>
          <w:ilvl w:val="0"/>
          <w:numId w:val="1021"/>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6"/>
    <w:bookmarkEnd w:id="97"/>
    <w:bookmarkStart w:id="102" w:name="sec-iteration"/>
    <w:p>
      <w:pPr>
        <w:pStyle w:val="Heading2"/>
      </w:pPr>
      <w:r>
        <w:t xml:space="preserve">7.4 Iterative Operations</w:t>
      </w:r>
    </w:p>
    <w:p>
      <w:pPr>
        <w:pStyle w:val="FirstParagraph"/>
      </w:pPr>
      <w:r>
        <w:t xml:space="preserve">When applying analyses with different variations (outcomes, exposures, subgroups), use functional programming approaches:</w:t>
      </w:r>
    </w:p>
    <w:bookmarkStart w:id="98" w:name="lapply-and-sapply"/>
    <w:p>
      <w:pPr>
        <w:pStyle w:val="Heading3"/>
      </w:pPr>
      <w:r>
        <w:t xml:space="preserve">7.4.1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8"/>
    <w:bookmarkStart w:id="99" w:name="purrrmap-family"/>
    <w:p>
      <w:pPr>
        <w:pStyle w:val="Heading3"/>
      </w:pPr>
      <w:r>
        <w:t xml:space="preserve">7.4.2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9"/>
    <w:bookmarkStart w:id="100" w:name="purrrpmap-for-multiple-arguments"/>
    <w:p>
      <w:pPr>
        <w:pStyle w:val="Heading3"/>
      </w:pPr>
      <w:r>
        <w:t xml:space="preserve">7.4.3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0"/>
    <w:bookmarkStart w:id="101" w:name="parallel-processing"/>
    <w:p>
      <w:pPr>
        <w:pStyle w:val="Heading3"/>
      </w:pPr>
      <w:r>
        <w:t xml:space="preserve">7.4.4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1"/>
    <w:bookmarkEnd w:id="102"/>
    <w:bookmarkStart w:id="105" w:name="sec-data-io"/>
    <w:p>
      <w:pPr>
        <w:pStyle w:val="Heading2"/>
      </w:pPr>
      <w:r>
        <w:t xml:space="preserve">7.5 Reading and Saving Data</w:t>
      </w:r>
    </w:p>
    <w:bookmarkStart w:id="103" w:name="rds-files-preferred"/>
    <w:p>
      <w:pPr>
        <w:pStyle w:val="Heading3"/>
      </w:pPr>
      <w:r>
        <w:t xml:space="preserve">7.5.1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3"/>
    <w:bookmarkStart w:id="104" w:name="csv-files"/>
    <w:p>
      <w:pPr>
        <w:pStyle w:val="Heading3"/>
      </w:pPr>
      <w:r>
        <w:t xml:space="preserve">7.5.2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4"/>
    <w:bookmarkEnd w:id="105"/>
    <w:bookmarkStart w:id="117" w:name="sec-r-version-control"/>
    <w:p>
      <w:pPr>
        <w:pStyle w:val="Heading2"/>
      </w:pPr>
      <w:r>
        <w:t xml:space="preserve">7.6 Version Control and Collaboration</w:t>
      </w:r>
    </w:p>
    <w:bookmarkStart w:id="106" w:name="version-numbers"/>
    <w:p>
      <w:pPr>
        <w:pStyle w:val="Heading3"/>
      </w:pPr>
      <w:r>
        <w:t xml:space="preserve">7.6.1 Version Numbers</w:t>
      </w:r>
    </w:p>
    <w:p>
      <w:pPr>
        <w:pStyle w:val="FirstParagraph"/>
      </w:pPr>
      <w:r>
        <w:t xml:space="preserve">Follow semantic versioning (MAJOR.MINOR.PATCH):</w:t>
      </w:r>
    </w:p>
    <w:p>
      <w:pPr>
        <w:pStyle w:val="Compact"/>
        <w:numPr>
          <w:ilvl w:val="0"/>
          <w:numId w:val="102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2"/>
        </w:numPr>
      </w:pPr>
      <w:r>
        <w:t xml:space="preserve">First release:</w:t>
      </w:r>
      <w:r>
        <w:t xml:space="preserve"> </w:t>
      </w:r>
      <w:r>
        <w:rPr>
          <w:rStyle w:val="VerbatimChar"/>
        </w:rPr>
        <w:t xml:space="preserve">0.1.0</w:t>
      </w:r>
    </w:p>
    <w:p>
      <w:pPr>
        <w:pStyle w:val="Compact"/>
        <w:numPr>
          <w:ilvl w:val="0"/>
          <w:numId w:val="102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6"/>
    <w:bookmarkStart w:id="107" w:name="news-file"/>
    <w:p>
      <w:pPr>
        <w:pStyle w:val="Heading3"/>
      </w:pPr>
      <w:r>
        <w:t xml:space="preserve">7.6.2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07"/>
    <w:bookmarkStart w:id="108" w:name="git-workflow"/>
    <w:p>
      <w:pPr>
        <w:pStyle w:val="Heading3"/>
      </w:pPr>
      <w:r>
        <w:t xml:space="preserve">7.6.3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08"/>
    <w:bookmarkStart w:id="116" w:name="sec-renv"/>
    <w:p>
      <w:pPr>
        <w:pStyle w:val="Heading3"/>
      </w:pPr>
      <w:r>
        <w:t xml:space="preserve">7.6.4 Managing Dependencies with renv</w:t>
      </w:r>
    </w:p>
    <w:p>
      <w:pPr>
        <w:pStyle w:val="FirstParagraph"/>
      </w:pPr>
      <w:r>
        <w:rPr>
          <w:b/>
          <w:bCs/>
        </w:rPr>
        <w:t xml:space="preserve">Use</w:t>
      </w:r>
      <w:r>
        <w:rPr>
          <w:b/>
          <w:bCs/>
        </w:rPr>
        <w:t xml:space="preserve"> </w:t>
      </w:r>
      <w:r>
        <w:rPr>
          <w:rStyle w:val="VerbatimChar"/>
          <w:b/>
          <w:bCs/>
        </w:rPr>
        <w:t xml:space="preserve">renv</w:t>
      </w:r>
      <w:r>
        <w:rPr>
          <w:b/>
          <w:bCs/>
        </w:rPr>
        <w:t xml:space="preserve"> </w:t>
      </w:r>
      <w:r>
        <w:rPr>
          <w:b/>
          <w:bCs/>
        </w:rPr>
        <w:t xml:space="preserve">to tightly control dependency versions during development.</w:t>
      </w:r>
      <w:r>
        <w:t xml:space="preserve"> </w:t>
      </w:r>
      <w:r>
        <w:t xml:space="preserve">The</w:t>
      </w:r>
      <w:r>
        <w:t xml:space="preserve"> </w:t>
      </w:r>
      <w:r>
        <w:rPr>
          <w:rStyle w:val="VerbatimChar"/>
        </w:rPr>
        <w:t xml:space="preserve">renv</w:t>
      </w:r>
      <w:r>
        <w:t xml:space="preserve"> </w:t>
      </w:r>
      <w:r>
        <w:t xml:space="preserve">package creates a project-specific library that isolates your package dependencies, ensuring reproducibility across different machines and over time.</w:t>
      </w:r>
    </w:p>
    <w:bookmarkStart w:id="109" w:name="when-to-use-renv"/>
    <w:p>
      <w:pPr>
        <w:pStyle w:val="Heading4"/>
      </w:pPr>
      <w:r>
        <w:t xml:space="preserve">7.6.4.1 When to Use renv</w:t>
      </w:r>
    </w:p>
    <w:p>
      <w:pPr>
        <w:pStyle w:val="Compact"/>
        <w:numPr>
          <w:ilvl w:val="0"/>
          <w:numId w:val="1023"/>
        </w:numPr>
      </w:pPr>
      <w:r>
        <w:rPr>
          <w:b/>
          <w:bCs/>
        </w:rPr>
        <w:t xml:space="preserve">During active development</w:t>
      </w:r>
      <w:r>
        <w:t xml:space="preserve">: Use</w:t>
      </w:r>
      <w:r>
        <w:t xml:space="preserve"> </w:t>
      </w:r>
      <w:r>
        <w:rPr>
          <w:rStyle w:val="VerbatimChar"/>
        </w:rPr>
        <w:t xml:space="preserve">renv</w:t>
      </w:r>
      <w:r>
        <w:t xml:space="preserve"> </w:t>
      </w:r>
      <w:r>
        <w:t xml:space="preserve">to lock down specific versions of dependencies</w:t>
      </w:r>
    </w:p>
    <w:p>
      <w:pPr>
        <w:pStyle w:val="Compact"/>
        <w:numPr>
          <w:ilvl w:val="0"/>
          <w:numId w:val="1023"/>
        </w:numPr>
      </w:pPr>
      <w:r>
        <w:rPr>
          <w:b/>
          <w:bCs/>
        </w:rPr>
        <w:t xml:space="preserve">For collaborative projects</w:t>
      </w:r>
      <w:r>
        <w:t xml:space="preserve">: Ensure all team members use the same package versions</w:t>
      </w:r>
    </w:p>
    <w:p>
      <w:pPr>
        <w:pStyle w:val="Compact"/>
        <w:numPr>
          <w:ilvl w:val="0"/>
          <w:numId w:val="1023"/>
        </w:numPr>
      </w:pPr>
      <w:r>
        <w:rPr>
          <w:b/>
          <w:bCs/>
        </w:rPr>
        <w:t xml:space="preserve">For long-term reproducibility</w:t>
      </w:r>
      <w:r>
        <w:t xml:space="preserve">: Preserve the exact dependency environment</w:t>
      </w:r>
    </w:p>
    <w:bookmarkEnd w:id="109"/>
    <w:bookmarkStart w:id="110" w:name="setting-up-renv"/>
    <w:p>
      <w:pPr>
        <w:pStyle w:val="Heading4"/>
      </w:pPr>
      <w:r>
        <w:t xml:space="preserve">7.6.4.2 Setting Up renv</w:t>
      </w:r>
    </w:p>
    <w:p>
      <w:pPr>
        <w:pStyle w:val="SourceCode"/>
      </w:pPr>
      <w:r>
        <w:rPr>
          <w:rStyle w:val="CommentTok"/>
        </w:rPr>
        <w:t xml:space="preserve"># Install renv</w:t>
      </w:r>
      <w:r>
        <w:br/>
      </w:r>
      <w:r>
        <w:rPr>
          <w:rStyle w:val="FunctionTok"/>
        </w:rPr>
        <w:t xml:space="preserve">install.packages</w:t>
      </w:r>
      <w:r>
        <w:rPr>
          <w:rStyle w:val="NormalTok"/>
        </w:rPr>
        <w:t xml:space="preserve">(</w:t>
      </w:r>
      <w:r>
        <w:rPr>
          <w:rStyle w:val="StringTok"/>
        </w:rPr>
        <w:t xml:space="preserve">"renv"</w:t>
      </w:r>
      <w:r>
        <w:rPr>
          <w:rStyle w:val="NormalTok"/>
        </w:rPr>
        <w:t xml:space="preserve">)</w:t>
      </w:r>
      <w:r>
        <w:br/>
      </w:r>
      <w:r>
        <w:br/>
      </w:r>
      <w:r>
        <w:rPr>
          <w:rStyle w:val="CommentTok"/>
        </w:rPr>
        <w:t xml:space="preserve"># Initialize renv in your package</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This creates:</w:t>
      </w:r>
      <w:r>
        <w:br/>
      </w:r>
      <w:r>
        <w:rPr>
          <w:rStyle w:val="CommentTok"/>
        </w:rPr>
        <w:t xml:space="preserve"># - renv/ directory with package library</w:t>
      </w:r>
      <w:r>
        <w:br/>
      </w:r>
      <w:r>
        <w:rPr>
          <w:rStyle w:val="CommentTok"/>
        </w:rPr>
        <w:t xml:space="preserve"># - renv.lock file with exact package versions</w:t>
      </w:r>
      <w:r>
        <w:br/>
      </w:r>
      <w:r>
        <w:rPr>
          <w:rStyle w:val="CommentTok"/>
        </w:rPr>
        <w:t xml:space="preserve"># - .Rprofile to activate renv on startup</w:t>
      </w:r>
    </w:p>
    <w:bookmarkEnd w:id="110"/>
    <w:bookmarkStart w:id="111" w:name="using-renv-in-package-development"/>
    <w:p>
      <w:pPr>
        <w:pStyle w:val="Heading4"/>
      </w:pPr>
      <w:r>
        <w:t xml:space="preserve">7.6.4.3 Using renv in Package Development</w:t>
      </w:r>
    </w:p>
    <w:p>
      <w:pPr>
        <w:pStyle w:val="SourceCode"/>
      </w:pPr>
      <w:r>
        <w:rPr>
          <w:rStyle w:val="CommentTok"/>
        </w:rPr>
        <w:t xml:space="preserve"># Install/update packages (renv tracks changes)</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"tidyr@1.3.0"</w:t>
      </w:r>
      <w:r>
        <w:rPr>
          <w:rStyle w:val="NormalTok"/>
        </w:rPr>
        <w:t xml:space="preserve">)  </w:t>
      </w:r>
      <w:r>
        <w:rPr>
          <w:rStyle w:val="CommentTok"/>
        </w:rPr>
        <w:t xml:space="preserve"># Install specific version</w:t>
      </w:r>
      <w:r>
        <w:br/>
      </w:r>
      <w:r>
        <w:br/>
      </w:r>
      <w:r>
        <w:rPr>
          <w:rStyle w:val="CommentTok"/>
        </w:rPr>
        <w:t xml:space="preserve"># Save the current state</w:t>
      </w:r>
      <w:r>
        <w:br/>
      </w:r>
      <w:r>
        <w:rPr>
          <w:rStyle w:val="NormalTok"/>
        </w:rPr>
        <w:t xml:space="preserve">renv</w:t>
      </w:r>
      <w:r>
        <w:rPr>
          <w:rStyle w:val="SpecialCharTok"/>
        </w:rPr>
        <w:t xml:space="preserve">::</w:t>
      </w:r>
      <w:r>
        <w:rPr>
          <w:rStyle w:val="FunctionTok"/>
        </w:rPr>
        <w:t xml:space="preserve">snapshot</w:t>
      </w:r>
      <w:r>
        <w:rPr>
          <w:rStyle w:val="NormalTok"/>
        </w:rPr>
        <w:t xml:space="preserve">()</w:t>
      </w:r>
      <w:r>
        <w:br/>
      </w:r>
      <w:r>
        <w:br/>
      </w:r>
      <w:r>
        <w:rPr>
          <w:rStyle w:val="CommentTok"/>
        </w:rPr>
        <w:t xml:space="preserve"># Restore packages from lockfile</w:t>
      </w:r>
      <w:r>
        <w:br/>
      </w:r>
      <w:r>
        <w:rPr>
          <w:rStyle w:val="NormalTok"/>
        </w:rPr>
        <w:t xml:space="preserve">renv</w:t>
      </w:r>
      <w:r>
        <w:rPr>
          <w:rStyle w:val="SpecialCharTok"/>
        </w:rPr>
        <w:t xml:space="preserve">::</w:t>
      </w:r>
      <w:r>
        <w:rPr>
          <w:rStyle w:val="FunctionTok"/>
        </w:rPr>
        <w:t xml:space="preserve">restore</w:t>
      </w:r>
      <w:r>
        <w:rPr>
          <w:rStyle w:val="NormalTok"/>
        </w:rPr>
        <w:t xml:space="preserve">()</w:t>
      </w:r>
      <w:r>
        <w:br/>
      </w:r>
      <w:r>
        <w:br/>
      </w:r>
      <w:r>
        <w:rPr>
          <w:rStyle w:val="CommentTok"/>
        </w:rPr>
        <w:t xml:space="preserve"># Update packages</w:t>
      </w:r>
      <w:r>
        <w:br/>
      </w:r>
      <w:r>
        <w:rPr>
          <w:rStyle w:val="NormalTok"/>
        </w:rPr>
        <w:t xml:space="preserve">renv</w:t>
      </w:r>
      <w:r>
        <w:rPr>
          <w:rStyle w:val="SpecialCharTok"/>
        </w:rPr>
        <w:t xml:space="preserve">::</w:t>
      </w:r>
      <w:r>
        <w:rPr>
          <w:rStyle w:val="FunctionTok"/>
        </w:rPr>
        <w:t xml:space="preserve">update</w:t>
      </w:r>
      <w:r>
        <w:rPr>
          <w:rStyle w:val="NormalTok"/>
        </w:rPr>
        <w:t xml:space="preserve">()</w:t>
      </w:r>
    </w:p>
    <w:bookmarkEnd w:id="111"/>
    <w:bookmarkStart w:id="112" w:name="preparing-for-cran-release"/>
    <w:p>
      <w:pPr>
        <w:pStyle w:val="Heading4"/>
      </w:pPr>
      <w:r>
        <w:t xml:space="preserve">7.6.4.4 Preparing for CRAN Release</w:t>
      </w:r>
    </w:p>
    <w:p>
      <w:pPr>
        <w:pStyle w:val="FirstParagraph"/>
      </w:pPr>
      <w:r>
        <w:rPr>
          <w:b/>
          <w:bCs/>
        </w:rPr>
        <w:t xml:space="preserve">For packages ready for CRAN submission, disable renv and test with latest dependency versions:</w:t>
      </w:r>
    </w:p>
    <w:p>
      <w:pPr>
        <w:numPr>
          <w:ilvl w:val="0"/>
          <w:numId w:val="1024"/>
        </w:numPr>
      </w:pPr>
      <w:r>
        <w:rPr>
          <w:b/>
          <w:bCs/>
        </w:rPr>
        <w:t xml:space="preserve">Remove renv</w:t>
      </w:r>
      <w:r>
        <w:t xml:space="preserve"> </w:t>
      </w:r>
      <w:r>
        <w:t xml:space="preserve">before CRAN submission:</w:t>
      </w:r>
    </w:p>
    <w:p>
      <w:pPr>
        <w:pStyle w:val="SourceCode"/>
        <w:numPr>
          <w:ilvl w:val="0"/>
          <w:numId w:val="1000"/>
        </w:numPr>
      </w:pPr>
      <w:r>
        <w:rPr>
          <w:rStyle w:val="NormalTok"/>
        </w:rPr>
        <w:t xml:space="preserve">renv</w:t>
      </w:r>
      <w:r>
        <w:rPr>
          <w:rStyle w:val="SpecialCharTok"/>
        </w:rPr>
        <w:t xml:space="preserve">::</w:t>
      </w:r>
      <w:r>
        <w:rPr>
          <w:rStyle w:val="FunctionTok"/>
        </w:rPr>
        <w:t xml:space="preserve">deactivate</w:t>
      </w:r>
      <w:r>
        <w:rPr>
          <w:rStyle w:val="NormalTok"/>
        </w:rPr>
        <w:t xml:space="preserve">()</w:t>
      </w:r>
      <w:r>
        <w:br/>
      </w:r>
      <w:r>
        <w:rPr>
          <w:rStyle w:val="CommentTok"/>
        </w:rPr>
        <w:t xml:space="preserve"># Delete renv/ directory and renv.lock</w:t>
      </w:r>
      <w:r>
        <w:br/>
      </w:r>
      <w:r>
        <w:rPr>
          <w:rStyle w:val="CommentTok"/>
        </w:rPr>
        <w:t xml:space="preserve"># Remove .Rprofile modifications</w:t>
      </w:r>
    </w:p>
    <w:p>
      <w:pPr>
        <w:numPr>
          <w:ilvl w:val="0"/>
          <w:numId w:val="1024"/>
        </w:numPr>
      </w:pPr>
      <w:r>
        <w:rPr>
          <w:b/>
          <w:bCs/>
        </w:rPr>
        <w:t xml:space="preserve">Test with latest versions</w:t>
      </w:r>
      <w:r>
        <w:t xml:space="preserve">:</w:t>
      </w:r>
    </w:p>
    <w:p>
      <w:pPr>
        <w:pStyle w:val="SourceCode"/>
        <w:numPr>
          <w:ilvl w:val="0"/>
          <w:numId w:val="1000"/>
        </w:numPr>
      </w:pPr>
      <w:r>
        <w:rPr>
          <w:rStyle w:val="CommentTok"/>
        </w:rPr>
        <w:t xml:space="preserve"># Install latest versions of all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w:t>
      </w:r>
      <w:r>
        <w:br/>
      </w:r>
      <w:r>
        <w:br/>
      </w:r>
      <w:r>
        <w:rPr>
          <w:rStyle w:val="CommentTok"/>
        </w:rPr>
        <w:t xml:space="preserve"># Run comprehensive checks</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024"/>
        </w:numPr>
      </w:pPr>
      <w:r>
        <w:rPr>
          <w:b/>
          <w:bCs/>
        </w:rPr>
        <w:t xml:space="preserve">Why disable renv for CRAN</w:t>
      </w:r>
      <w:r>
        <w:t xml:space="preserve">: CRAN tests packages against the latest versions of dependencies. Your package should work with current CRAN versions, not pinned older versions.</w:t>
      </w:r>
    </w:p>
    <w:p>
      <w:pPr>
        <w:pStyle w:val="FirstParagraph"/>
      </w:pPr>
      <w:r>
        <w:rPr>
          <w:b/>
          <w:bCs/>
        </w:rPr>
        <w:t xml:space="preserve">Workflow summary:</w:t>
      </w:r>
    </w:p>
    <w:p>
      <w:pPr>
        <w:pStyle w:val="Compact"/>
        <w:numPr>
          <w:ilvl w:val="0"/>
          <w:numId w:val="1025"/>
        </w:numPr>
      </w:pPr>
      <w:r>
        <w:rPr>
          <w:b/>
          <w:bCs/>
        </w:rPr>
        <w:t xml:space="preserve">Development phase</w:t>
      </w:r>
      <w:r>
        <w:t xml:space="preserve">: Use</w:t>
      </w:r>
      <w:r>
        <w:t xml:space="preserve"> </w:t>
      </w:r>
      <w:r>
        <w:rPr>
          <w:rStyle w:val="VerbatimChar"/>
        </w:rPr>
        <w:t xml:space="preserve">renv</w:t>
      </w:r>
      <w:r>
        <w:t xml:space="preserve"> </w:t>
      </w:r>
      <w:r>
        <w:t xml:space="preserve">for stability and reproducibility</w:t>
      </w:r>
    </w:p>
    <w:p>
      <w:pPr>
        <w:pStyle w:val="Compact"/>
        <w:numPr>
          <w:ilvl w:val="0"/>
          <w:numId w:val="1025"/>
        </w:numPr>
      </w:pPr>
      <w:r>
        <w:rPr>
          <w:b/>
          <w:bCs/>
        </w:rPr>
        <w:t xml:space="preserve">Pre-CRAN release</w:t>
      </w:r>
      <w:r>
        <w:t xml:space="preserve">: Disable</w:t>
      </w:r>
      <w:r>
        <w:t xml:space="preserve"> </w:t>
      </w:r>
      <w:r>
        <w:rPr>
          <w:rStyle w:val="VerbatimChar"/>
        </w:rPr>
        <w:t xml:space="preserve">renv</w:t>
      </w:r>
      <w:r>
        <w:t xml:space="preserve">, test with latest dependency versions</w:t>
      </w:r>
    </w:p>
    <w:p>
      <w:pPr>
        <w:pStyle w:val="Compact"/>
        <w:numPr>
          <w:ilvl w:val="0"/>
          <w:numId w:val="1025"/>
        </w:numPr>
      </w:pPr>
      <w:r>
        <w:rPr>
          <w:b/>
          <w:bCs/>
        </w:rPr>
        <w:t xml:space="preserve">After CRAN release</w:t>
      </w:r>
      <w:r>
        <w:t xml:space="preserve">: Can re-enable</w:t>
      </w:r>
      <w:r>
        <w:t xml:space="preserve"> </w:t>
      </w:r>
      <w:r>
        <w:rPr>
          <w:rStyle w:val="VerbatimChar"/>
        </w:rPr>
        <w:t xml:space="preserve">renv</w:t>
      </w:r>
      <w:r>
        <w:t xml:space="preserve"> </w:t>
      </w:r>
      <w:r>
        <w:t xml:space="preserve">for continued development if desired</w:t>
      </w:r>
    </w:p>
    <w:bookmarkEnd w:id="112"/>
    <w:bookmarkStart w:id="115" w:name="additional-resources"/>
    <w:p>
      <w:pPr>
        <w:pStyle w:val="Heading4"/>
      </w:pPr>
      <w:r>
        <w:t xml:space="preserve">7.6.4.5 Additional Resources</w:t>
      </w:r>
    </w:p>
    <w:p>
      <w:pPr>
        <w:pStyle w:val="FirstParagraph"/>
      </w:pPr>
      <w:r>
        <w:t xml:space="preserve">For comprehensive guidance on using renv with R packages, see:</w:t>
      </w:r>
      <w:r>
        <w:t xml:space="preserve"> </w:t>
      </w:r>
      <w:r>
        <w:t xml:space="preserve">-</w:t>
      </w:r>
      <w:r>
        <w:t xml:space="preserve"> </w:t>
      </w:r>
      <w:hyperlink r:id="rId113">
        <w:r>
          <w:rPr>
            <w:rStyle w:val="Hyperlink"/>
          </w:rPr>
          <w:t xml:space="preserve">Using renv with R Packages</w:t>
        </w:r>
      </w:hyperlink>
      <w:r>
        <w:t xml:space="preserve"> </w:t>
      </w:r>
      <w:r>
        <w:t xml:space="preserve">-</w:t>
      </w:r>
      <w:r>
        <w:t xml:space="preserve"> </w:t>
      </w:r>
      <w:hyperlink r:id="rId114">
        <w:r>
          <w:rPr>
            <w:rStyle w:val="Hyperlink"/>
          </w:rPr>
          <w:t xml:space="preserve">renv documentation</w:t>
        </w:r>
      </w:hyperlink>
    </w:p>
    <w:p>
      <w:pPr>
        <w:pStyle w:val="Compact"/>
        <w:numPr>
          <w:ilvl w:val="0"/>
          <w:numId w:val="1026"/>
        </w:numPr>
      </w:pPr>
      <w:r>
        <w:t xml:space="preserve">All changes committed and pushed to GitHub</w:t>
      </w:r>
    </w:p>
    <w:bookmarkEnd w:id="115"/>
    <w:bookmarkEnd w:id="116"/>
    <w:bookmarkEnd w:id="117"/>
    <w:bookmarkStart w:id="118" w:name="sec-r-ci"/>
    <w:p>
      <w:pPr>
        <w:pStyle w:val="Heading2"/>
      </w:pPr>
      <w:r>
        <w:t xml:space="preserve">7.7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8"/>
    <w:bookmarkStart w:id="119" w:name="sec-r-qa-checklist"/>
    <w:p>
      <w:pPr>
        <w:pStyle w:val="Heading2"/>
      </w:pPr>
      <w:r>
        <w:t xml:space="preserve">7.8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9"/>
    <w:bookmarkStart w:id="123" w:name="sec-auto-styling"/>
    <w:p>
      <w:pPr>
        <w:pStyle w:val="Heading2"/>
      </w:pPr>
      <w:r>
        <w:t xml:space="preserve">7.9 Automated Code Styling</w:t>
      </w:r>
    </w:p>
    <w:bookmarkStart w:id="120" w:name="rstudio-built-in-formatting"/>
    <w:p>
      <w:pPr>
        <w:pStyle w:val="Heading3"/>
      </w:pPr>
      <w:r>
        <w:t xml:space="preserve">7.9.1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0"/>
    <w:bookmarkStart w:id="121" w:name="styler-package"/>
    <w:p>
      <w:pPr>
        <w:pStyle w:val="Heading3"/>
      </w:pPr>
      <w:r>
        <w:t xml:space="preserve">7.9.2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1"/>
    <w:bookmarkStart w:id="122" w:name="lintr-package"/>
    <w:p>
      <w:pPr>
        <w:pStyle w:val="Heading3"/>
      </w:pPr>
      <w:r>
        <w:t xml:space="preserve">7.9.3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22"/>
    <w:bookmarkEnd w:id="123"/>
    <w:bookmarkStart w:id="130" w:name="sec-r-resources"/>
    <w:p>
      <w:pPr>
        <w:pStyle w:val="Heading2"/>
      </w:pPr>
      <w:r>
        <w:t xml:space="preserve">7.10 Additional Resources</w:t>
      </w:r>
    </w:p>
    <w:p>
      <w:pPr>
        <w:pStyle w:val="Compact"/>
        <w:numPr>
          <w:ilvl w:val="0"/>
          <w:numId w:val="1040"/>
        </w:numPr>
      </w:pPr>
      <w:hyperlink r:id="rId124">
        <w:r>
          <w:rPr>
            <w:rStyle w:val="Hyperlink"/>
          </w:rPr>
          <w:t xml:space="preserve">R Packages book</w:t>
        </w:r>
      </w:hyperlink>
      <w:r>
        <w:t xml:space="preserve"> </w:t>
      </w:r>
      <w:r>
        <w:t xml:space="preserve">by Hadley Wickham and Jenny Bryan</w:t>
      </w:r>
    </w:p>
    <w:p>
      <w:pPr>
        <w:pStyle w:val="Compact"/>
        <w:numPr>
          <w:ilvl w:val="0"/>
          <w:numId w:val="1040"/>
        </w:numPr>
      </w:pPr>
      <w:hyperlink r:id="rId125">
        <w:r>
          <w:rPr>
            <w:rStyle w:val="Hyperlink"/>
          </w:rPr>
          <w:t xml:space="preserve">Tidyverse style guide</w:t>
        </w:r>
      </w:hyperlink>
    </w:p>
    <w:p>
      <w:pPr>
        <w:pStyle w:val="Compact"/>
        <w:numPr>
          <w:ilvl w:val="0"/>
          <w:numId w:val="1040"/>
        </w:numPr>
      </w:pPr>
      <w:hyperlink r:id="rId126">
        <w:r>
          <w:rPr>
            <w:rStyle w:val="Hyperlink"/>
          </w:rPr>
          <w:t xml:space="preserve">usethis documentation</w:t>
        </w:r>
      </w:hyperlink>
    </w:p>
    <w:p>
      <w:pPr>
        <w:pStyle w:val="Compact"/>
        <w:numPr>
          <w:ilvl w:val="0"/>
          <w:numId w:val="1040"/>
        </w:numPr>
      </w:pPr>
      <w:hyperlink r:id="rId127">
        <w:r>
          <w:rPr>
            <w:rStyle w:val="Hyperlink"/>
          </w:rPr>
          <w:t xml:space="preserve">devtools documentation</w:t>
        </w:r>
      </w:hyperlink>
    </w:p>
    <w:p>
      <w:pPr>
        <w:pStyle w:val="Compact"/>
        <w:numPr>
          <w:ilvl w:val="0"/>
          <w:numId w:val="1040"/>
        </w:numPr>
      </w:pPr>
      <w:hyperlink r:id="rId128">
        <w:r>
          <w:rPr>
            <w:rStyle w:val="Hyperlink"/>
          </w:rPr>
          <w:t xml:space="preserve">pkgdown documentation</w:t>
        </w:r>
      </w:hyperlink>
    </w:p>
    <w:p>
      <w:pPr>
        <w:pStyle w:val="Compact"/>
        <w:numPr>
          <w:ilvl w:val="0"/>
          <w:numId w:val="1040"/>
        </w:numPr>
      </w:pPr>
      <w:hyperlink r:id="rId129">
        <w:r>
          <w:rPr>
            <w:rStyle w:val="Hyperlink"/>
          </w:rPr>
          <w:t xml:space="preserve">testthat documentation</w:t>
        </w:r>
      </w:hyperlink>
    </w:p>
    <w:bookmarkEnd w:id="130"/>
    <w:bookmarkEnd w:id="131"/>
    <w:bookmarkStart w:id="143" w:name="sec-r-code-style"/>
    <w:p>
      <w:pPr>
        <w:pStyle w:val="Heading1"/>
      </w:pPr>
      <w:r>
        <w:t xml:space="preserve">8. R Code Style</w:t>
      </w:r>
    </w:p>
    <w:p>
      <w:pPr>
        <w:pStyle w:val="FirstParagraph"/>
      </w:pPr>
      <w:r>
        <w:t xml:space="preserve">Adapted by UCD-SeRG team from</w:t>
      </w:r>
      <w:r>
        <w:t xml:space="preserve"> </w:t>
      </w:r>
      <w:hyperlink r:id="rId132">
        <w:r>
          <w:rPr>
            <w:rStyle w:val="Hyperlink"/>
          </w:rPr>
          <w:t xml:space="preserve">original by Kunal Mishra, Jade Benjamin-Chung, and Stephanie Djajadi</w:t>
        </w:r>
      </w:hyperlink>
    </w:p>
    <w:p>
      <w:pPr>
        <w:pStyle w:val="BodyText"/>
      </w:pPr>
      <w:r>
        <w:t xml:space="preserve">Follow these code style guidelines for all R code:</w:t>
      </w:r>
    </w:p>
    <w:bookmarkStart w:id="133" w:name="general-principles"/>
    <w:p>
      <w:pPr>
        <w:pStyle w:val="Heading2"/>
      </w:pPr>
      <w:r>
        <w:t xml:space="preserve">8.1 General Principles</w:t>
      </w:r>
    </w:p>
    <w:p>
      <w:pPr>
        <w:pStyle w:val="Compact"/>
        <w:numPr>
          <w:ilvl w:val="0"/>
          <w:numId w:val="1041"/>
        </w:numPr>
      </w:pPr>
      <w:r>
        <w:rPr>
          <w:b/>
          <w:bCs/>
        </w:rPr>
        <w:t xml:space="preserve">Follow tidyverse style guide</w:t>
      </w:r>
      <w:r>
        <w:t xml:space="preserve">: https://style.tidyverse.org</w:t>
      </w:r>
    </w:p>
    <w:p>
      <w:pPr>
        <w:pStyle w:val="Compact"/>
        <w:numPr>
          <w:ilvl w:val="0"/>
          <w:numId w:val="104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1"/>
        </w:numPr>
      </w:pPr>
      <w:r>
        <w:rPr>
          <w:b/>
          <w:bCs/>
        </w:rPr>
        <w:t xml:space="preserve">Write tidy code</w:t>
      </w:r>
      <w:r>
        <w:t xml:space="preserve">: Keep code clean, readable, and well-organized</w:t>
      </w:r>
    </w:p>
    <w:bookmarkEnd w:id="133"/>
    <w:bookmarkStart w:id="134" w:name="file-organization"/>
    <w:p>
      <w:pPr>
        <w:pStyle w:val="Heading2"/>
      </w:pPr>
      <w:r>
        <w:t xml:space="preserve">8.2 File Organization</w:t>
      </w:r>
    </w:p>
    <w:p>
      <w:pPr>
        <w:pStyle w:val="FirstParagraph"/>
      </w:pPr>
      <w:r>
        <w:t xml:space="preserve">Just as your data</w:t>
      </w:r>
      <w:r>
        <w:t xml:space="preserve"> </w:t>
      </w:r>
      <w:r>
        <w:t xml:space="preserve">“flows”</w:t>
      </w:r>
      <w:r>
        <w:t xml:space="preserve"> </w:t>
      </w:r>
      <w:r>
        <w:t xml:space="preserve">through your project, code should flow naturally through files in the package structure:</w:t>
      </w:r>
    </w:p>
    <w:p>
      <w:pPr>
        <w:pStyle w:val="Compact"/>
        <w:numPr>
          <w:ilvl w:val="0"/>
          <w:numId w:val="1042"/>
        </w:numPr>
      </w:pPr>
      <w:r>
        <w:rPr>
          <w:b/>
          <w:bCs/>
        </w:rPr>
        <w:t xml:space="preserve">In</w:t>
      </w:r>
      <w:r>
        <w:rPr>
          <w:b/>
          <w:bCs/>
        </w:rPr>
        <w:t xml:space="preserve"> </w:t>
      </w:r>
      <w:r>
        <w:rPr>
          <w:rStyle w:val="VerbatimChar"/>
          <w:b/>
          <w:bCs/>
        </w:rPr>
        <w:t xml:space="preserve">R/</w:t>
      </w:r>
      <w:r>
        <w:rPr>
          <w:b/>
          <w:bCs/>
        </w:rPr>
        <w:t xml:space="preserve"> </w:t>
      </w:r>
      <w:r>
        <w:rPr>
          <w:b/>
          <w:bCs/>
        </w:rPr>
        <w:t xml:space="preserve">files</w:t>
      </w:r>
      <w:r>
        <w:t xml:space="preserve">: Put reusable functions with roxygen2 documentation</w:t>
      </w:r>
    </w:p>
    <w:p>
      <w:pPr>
        <w:pStyle w:val="Compact"/>
        <w:numPr>
          <w:ilvl w:val="0"/>
          <w:numId w:val="1042"/>
        </w:numPr>
      </w:pPr>
      <w:r>
        <w:rPr>
          <w:b/>
          <w:bCs/>
        </w:rPr>
        <w:t xml:space="preserve">In vignettes</w:t>
      </w:r>
      <w:r>
        <w:t xml:space="preserve">: Put narrative analysis with calls to those functions</w:t>
      </w:r>
    </w:p>
    <w:p>
      <w:pPr>
        <w:pStyle w:val="Compact"/>
        <w:numPr>
          <w:ilvl w:val="0"/>
          <w:numId w:val="1042"/>
        </w:numPr>
      </w:pPr>
      <w:r>
        <w:rPr>
          <w:b/>
          <w:bCs/>
        </w:rPr>
        <w:t xml:space="preserve">In</w:t>
      </w:r>
      <w:r>
        <w:rPr>
          <w:b/>
          <w:bCs/>
        </w:rPr>
        <w:t xml:space="preserve"> </w:t>
      </w:r>
      <w:r>
        <w:rPr>
          <w:rStyle w:val="VerbatimChar"/>
          <w:b/>
          <w:bCs/>
        </w:rPr>
        <w:t xml:space="preserve">data-raw/</w:t>
      </w:r>
      <w:r>
        <w:t xml:space="preserve">: Put scripts that create data objects saved to</w:t>
      </w:r>
      <w:r>
        <w:t xml:space="preserve"> </w:t>
      </w:r>
      <w:r>
        <w:rPr>
          <w:rStyle w:val="VerbatimChar"/>
        </w:rPr>
        <w:t xml:space="preserve">data/</w:t>
      </w:r>
    </w:p>
    <w:p>
      <w:pPr>
        <w:pStyle w:val="Compact"/>
        <w:numPr>
          <w:ilvl w:val="0"/>
          <w:numId w:val="1042"/>
        </w:numPr>
      </w:pPr>
      <w:r>
        <w:rPr>
          <w:b/>
          <w:bCs/>
        </w:rPr>
        <w:t xml:space="preserve">In</w:t>
      </w:r>
      <w:r>
        <w:rPr>
          <w:b/>
          <w:bCs/>
        </w:rPr>
        <w:t xml:space="preserve"> </w:t>
      </w:r>
      <w:r>
        <w:rPr>
          <w:rStyle w:val="VerbatimChar"/>
          <w:b/>
          <w:bCs/>
        </w:rPr>
        <w:t xml:space="preserve">inst/analyses/</w:t>
      </w:r>
      <w:r>
        <w:t xml:space="preserve">: Put analyses using restricted data</w:t>
      </w:r>
    </w:p>
    <w:bookmarkEnd w:id="134"/>
    <w:bookmarkStart w:id="135" w:name="function-structure-and-documentation"/>
    <w:p>
      <w:pPr>
        <w:pStyle w:val="Heading2"/>
      </w:pPr>
      <w:r>
        <w:t xml:space="preserve">8.3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35"/>
    <w:bookmarkStart w:id="136" w:name="comments"/>
    <w:p>
      <w:pPr>
        <w:pStyle w:val="Heading2"/>
      </w:pPr>
      <w:r>
        <w:t xml:space="preserve">8.4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@Project - Myproject</w:t>
      </w:r>
      <w:r>
        <w:br/>
      </w:r>
      <w:r>
        <w:rPr>
          <w:rStyle w:val="CommentTok"/>
        </w:rPr>
        <w:t xml:space="preserve"># @Description - Process raw survey data and create analysis dataset</w:t>
      </w:r>
      <w:r>
        <w:br/>
      </w:r>
      <w:r>
        <w:rPr>
          <w:rStyle w:val="DocumentationTok"/>
        </w:rPr>
        <w:t xml:space="preserve">################################################################################</w:t>
      </w:r>
    </w:p>
    <w:p>
      <w:pPr>
        <w:pStyle w:val="FirstParagraph"/>
      </w:pPr>
      <w:r>
        <w:rPr>
          <w:b/>
          <w:bCs/>
        </w:rPr>
        <w:t xml:space="preserve">Sections and subsections</w:t>
      </w:r>
      <w:r>
        <w:t xml:space="preserve"> </w:t>
      </w:r>
      <w:r>
        <w:t xml:space="preserve">in longer files:</w:t>
      </w:r>
    </w:p>
    <w:p>
      <w:pPr>
        <w:pStyle w:val="SourceCode"/>
      </w:pPr>
      <w:r>
        <w:rPr>
          <w:rStyle w:val="CommentTok"/>
        </w:rPr>
        <w:t xml:space="preserve"># Data Loading -------</w:t>
      </w:r>
      <w:r>
        <w:br/>
      </w:r>
      <w:r>
        <w:br/>
      </w:r>
      <w:r>
        <w:rPr>
          <w:rStyle w:val="DocumentationTok"/>
        </w:rPr>
        <w:t xml:space="preserve">## Read survey data -------</w:t>
      </w:r>
      <w:r>
        <w:br/>
      </w:r>
      <w:r>
        <w:br/>
      </w:r>
      <w:r>
        <w:rPr>
          <w:rStyle w:val="DocumentationTok"/>
        </w:rPr>
        <w:t xml:space="preserve">## Read lab results -------</w:t>
      </w:r>
      <w:r>
        <w:br/>
      </w:r>
      <w:r>
        <w:br/>
      </w:r>
      <w:r>
        <w:rPr>
          <w:rStyle w:val="CommentTok"/>
        </w:rPr>
        <w:t xml:space="preserve"># Data Cleaning -------</w:t>
      </w:r>
    </w:p>
    <w:bookmarkEnd w:id="136"/>
    <w:bookmarkStart w:id="137" w:name="messaging-and-user-communication"/>
    <w:p>
      <w:pPr>
        <w:pStyle w:val="Heading2"/>
      </w:pPr>
      <w:r>
        <w:t xml:space="preserve">8.5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37"/>
    <w:bookmarkStart w:id="138" w:name="package-code-practices"/>
    <w:p>
      <w:pPr>
        <w:pStyle w:val="Heading2"/>
      </w:pPr>
      <w:r>
        <w:t xml:space="preserve">8.6 Package Code Practices</w:t>
      </w:r>
    </w:p>
    <w:p>
      <w:pPr>
        <w:pStyle w:val="Compact"/>
        <w:numPr>
          <w:ilvl w:val="0"/>
          <w:numId w:val="104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4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43"/>
        </w:numPr>
      </w:pPr>
      <w:r>
        <w:rPr>
          <w:b/>
          <w:bCs/>
        </w:rPr>
        <w:t xml:space="preserve">Avoid code duplication</w:t>
      </w:r>
      <w:r>
        <w:t xml:space="preserve">: Extract repeated logic into helper functions</w:t>
      </w:r>
    </w:p>
    <w:bookmarkEnd w:id="138"/>
    <w:bookmarkStart w:id="139" w:name="line-breaks-and-formatting"/>
    <w:p>
      <w:pPr>
        <w:pStyle w:val="Heading2"/>
      </w:pPr>
      <w:r>
        <w:t xml:space="preserve">8.7 Line Breaks and Formatting</w:t>
      </w:r>
    </w:p>
    <w:p>
      <w:pPr>
        <w:pStyle w:val="FirstParagraph"/>
      </w:pPr>
      <w:r>
        <w:t xml:space="preserve">For readability, use line breaks in function calls and pipelines:</w:t>
      </w:r>
    </w:p>
    <w:p>
      <w:pPr>
        <w:pStyle w:val="SourceCode"/>
      </w:pPr>
      <w:r>
        <w:rPr>
          <w:rStyle w:val="CommentTok"/>
        </w:rPr>
        <w:t xml:space="preserve"># Good: Named arguments on separate lines</w:t>
      </w:r>
      <w:r>
        <w:br/>
      </w:r>
      <w:r>
        <w:rPr>
          <w:rStyle w:val="NormalTok"/>
        </w:rPr>
        <w:t xml:space="preserve">mean_Y </w:t>
      </w:r>
      <w:r>
        <w:rPr>
          <w:rStyle w:val="OtherTok"/>
        </w:rPr>
        <w:t xml:space="preserve">&lt;-</w:t>
      </w:r>
      <w:r>
        <w:rPr>
          <w:rStyle w:val="NormalTok"/>
        </w:rPr>
        <w:t xml:space="preserve"> </w:t>
      </w:r>
      <w:r>
        <w:rPr>
          <w:rStyle w:val="FunctionTok"/>
        </w:rPr>
        <w:t xml:space="preserve">calc_fluseas_mean</w:t>
      </w:r>
      <w:r>
        <w:rPr>
          <w:rStyle w:val="NormalTok"/>
        </w:rPr>
        <w:t xml:space="preserve">(</w:t>
      </w:r>
      <w:r>
        <w:br/>
      </w:r>
      <w:r>
        <w:rPr>
          <w:rStyle w:val="NormalTok"/>
        </w:rPr>
        <w:t xml:space="preserve">  </w:t>
      </w:r>
      <w:r>
        <w:rPr>
          <w:rStyle w:val="AttributeTok"/>
        </w:rPr>
        <w:t xml:space="preserve">data =</w:t>
      </w:r>
      <w:r>
        <w:rPr>
          <w:rStyle w:val="NormalTok"/>
        </w:rPr>
        <w:t xml:space="preserve"> flu_data, </w:t>
      </w:r>
      <w:r>
        <w:br/>
      </w:r>
      <w:r>
        <w:rPr>
          <w:rStyle w:val="NormalTok"/>
        </w:rPr>
        <w:t xml:space="preserve">  </w:t>
      </w:r>
      <w:r>
        <w:rPr>
          <w:rStyle w:val="AttributeTok"/>
        </w:rPr>
        <w:t xml:space="preserve">yname =</w:t>
      </w:r>
      <w:r>
        <w:rPr>
          <w:rStyle w:val="NormalTok"/>
        </w:rPr>
        <w:t xml:space="preserve"> </w:t>
      </w:r>
      <w:r>
        <w:rPr>
          <w:rStyle w:val="StringTok"/>
        </w:rPr>
        <w:t xml:space="preserve">"maari_yn"</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Good: Pipeline with clear flow</w:t>
      </w:r>
      <w:r>
        <w:br/>
      </w:r>
      <w:r>
        <w:rPr>
          <w:rStyle w:val="NormalTok"/>
        </w:rPr>
        <w:t xml:space="preserve">cleaned_data </w:t>
      </w:r>
      <w:r>
        <w:rPr>
          <w:rStyle w:val="OtherTok"/>
        </w:rPr>
        <w:t xml:space="preserve">&lt;-</w:t>
      </w:r>
      <w:r>
        <w:rPr>
          <w:rStyle w:val="NormalTok"/>
        </w:rPr>
        <w:t xml:space="preserve"> raw_data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log_value =</w:t>
      </w:r>
      <w:r>
        <w:rPr>
          <w:rStyle w:val="NormalTok"/>
        </w:rPr>
        <w:t xml:space="preserve"> </w:t>
      </w:r>
      <w:r>
        <w:rPr>
          <w:rStyle w:val="FunctionTok"/>
        </w:rPr>
        <w:t xml:space="preserve">log10</w:t>
      </w:r>
      <w:r>
        <w:rPr>
          <w:rStyle w:val="NormalTok"/>
        </w:rPr>
        <w:t xml:space="preserve">(value),</w:t>
      </w:r>
      <w:r>
        <w:br/>
      </w:r>
      <w:r>
        <w:rPr>
          <w:rStyle w:val="NormalTok"/>
        </w:rPr>
        <w:t xml:space="preserve">    </w:t>
      </w:r>
      <w:r>
        <w:rPr>
          <w:rStyle w:val="AttributeTok"/>
        </w:rPr>
        <w:t xml:space="preserve">category =</w:t>
      </w:r>
      <w:r>
        <w:rPr>
          <w:rStyle w:val="NormalTok"/>
        </w:rPr>
        <w:t xml:space="preserve"> </w:t>
      </w:r>
      <w:r>
        <w:rPr>
          <w:rStyle w:val="FunctionTok"/>
        </w:rPr>
        <w:t xml:space="preserve">case_when</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(category)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(log_value)</w:t>
      </w:r>
      <w:r>
        <w:br/>
      </w:r>
      <w:r>
        <w:rPr>
          <w:rStyle w:val="NormalTok"/>
        </w:rPr>
        <w:t xml:space="preserve">  )</w:t>
      </w:r>
    </w:p>
    <w:p>
      <w:pPr>
        <w:pStyle w:val="FirstParagraph"/>
      </w:pPr>
      <w:r>
        <w:t xml:space="preserve">For complex</w:t>
      </w:r>
      <w:r>
        <w:t xml:space="preserve"> </w:t>
      </w:r>
      <w:r>
        <w:rPr>
          <w:rStyle w:val="VerbatimChar"/>
        </w:rPr>
        <w:t xml:space="preserve">ggplot</w:t>
      </w:r>
      <w:r>
        <w:t xml:space="preserve"> </w:t>
      </w:r>
      <w:r>
        <w:t xml:space="preserve">calls:</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rate, </w:t>
      </w:r>
      <w:r>
        <w:rPr>
          <w:rStyle w:val="AttributeTok"/>
        </w:rPr>
        <w:t xml:space="preserve">group =</w:t>
      </w:r>
      <w:r>
        <w:rPr>
          <w:rStyle w:val="NormalTok"/>
        </w:rPr>
        <w:t xml:space="preserve"> 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group, </w:t>
      </w:r>
      <w:r>
        <w:rPr>
          <w:rStyle w:val="AttributeTok"/>
        </w:rPr>
        <w:t xml:space="preserve">shape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lb, </w:t>
      </w:r>
      <w:r>
        <w:rPr>
          <w:rStyle w:val="AttributeTok"/>
        </w:rPr>
        <w:t xml:space="preserve">ymax =</w:t>
      </w:r>
      <w:r>
        <w:rPr>
          <w:rStyle w:val="NormalTok"/>
        </w:rPr>
        <w:t xml:space="preserve"> ub, </w:t>
      </w:r>
      <w:r>
        <w:rPr>
          <w:rStyle w:val="AttributeTok"/>
        </w:rPr>
        <w:t xml:space="preserve">col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"Rate (%)"</w:t>
      </w:r>
      <w:r>
        <w:br/>
      </w:r>
      <w:r>
        <w:rPr>
          <w:rStyle w:val="NormalTok"/>
        </w:rPr>
        <w:t xml:space="preserve">  )</w:t>
      </w:r>
    </w:p>
    <w:bookmarkEnd w:id="139"/>
    <w:bookmarkStart w:id="140" w:name="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40"/>
    <w:bookmarkStart w:id="141" w:name="the-here-packag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41"/>
    <w:bookmarkStart w:id="142" w:name="object-naming"/>
    <w:p>
      <w:pPr>
        <w:pStyle w:val="Heading2"/>
      </w:pPr>
      <w:r>
        <w:t xml:space="preserve">8.10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StringTok"/>
        </w:rPr>
        <w:t xml:space="preserve">`</w:t>
      </w:r>
      <w:r>
        <w:rPr>
          <w:rStyle w:val="AttributeTok"/>
        </w:rPr>
        <w:t xml:space="preserve">&lt;!-- quarto-file-metadata: eyJyZXNvdXJjZURpciI6Ii4ifQ== --&gt;</w:t>
      </w:r>
      <w:r>
        <w:rPr>
          <w:rStyle w:val="StringTok"/>
        </w:rPr>
        <w:t xml:space="preserve">`</w:t>
      </w:r>
      <w:r>
        <w:rPr>
          <w:rStyle w:val="NormalTok"/>
        </w:rPr>
        <w:t xml:space="preserve">{</w:t>
      </w:r>
      <w:r>
        <w:rPr>
          <w:rStyle w:val="OtherTok"/>
        </w:rPr>
        <w:t xml:space="preserve">=</w:t>
      </w:r>
      <w:r>
        <w:rPr>
          <w:rStyle w:val="NormalTok"/>
        </w:rPr>
        <w:t xml:space="preserve">html}</w:t>
      </w:r>
      <w:r>
        <w:br/>
      </w:r>
      <w:r>
        <w:br/>
      </w:r>
      <w:r>
        <w:rPr>
          <w:rStyle w:val="StringTok"/>
        </w:rPr>
        <w:t xml:space="preserve">```</w:t>
      </w:r>
      <w:r>
        <w:rPr>
          <w:rStyle w:val="AttributeTok"/>
        </w:rPr>
        <w:t xml:space="preserve">{=html}</w:t>
      </w:r>
      <w:r>
        <w:br/>
      </w:r>
      <w:r>
        <w:rPr>
          <w:rStyle w:val="AttributeTok"/>
        </w:rPr>
        <w:t xml:space="preserve">&lt;!-- quarto-file-metadata: eyJyZXNvdXJjZURpciI6Ii4iLCJib29rSXRlbVR5cGUiOiJjaGFwdGVyIiwiYm9va0l0ZW1OdW1iZXIiOjgsImJvb2tJdGVtRmlsZSI6IjA3LWJpZy1kYXRhLnFtZCIsImJvb2tJdGVtRGVwdGgiOjB9 --&gt;</w:t>
      </w:r>
    </w:p>
    <w:bookmarkEnd w:id="142"/>
    <w:bookmarkEnd w:id="143"/>
    <w:bookmarkStart w:id="149" w:name="big-data"/>
    <w:p>
      <w:pPr>
        <w:pStyle w:val="Heading1"/>
      </w:pPr>
      <w:r>
        <w:t xml:space="preserve">9. Big data</w:t>
      </w:r>
    </w:p>
    <w:p>
      <w:pPr>
        <w:pStyle w:val="FirstParagraph"/>
      </w:pPr>
      <w:r>
        <w:t xml:space="preserve">Adapted by UCD-SeRG team from</w:t>
      </w:r>
      <w:r>
        <w:t xml:space="preserve"> </w:t>
      </w:r>
      <w:hyperlink r:id="rId144">
        <w:r>
          <w:rPr>
            <w:rStyle w:val="Hyperlink"/>
          </w:rPr>
          <w:t xml:space="preserve">original by Kunal Mishra and Jade Benjamin-Chung</w:t>
        </w:r>
      </w:hyperlink>
    </w:p>
    <w:bookmarkStart w:id="1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46"/>
    <w:bookmarkStart w:id="1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47"/>
    <w:bookmarkStart w:id="1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44"/>
        </w:numPr>
      </w:pPr>
      <w:r>
        <w:rPr>
          <w:b/>
          <w:bCs/>
        </w:rPr>
        <w:t xml:space="preserve">Uncheck</w:t>
      </w:r>
      <w:r>
        <w:t xml:space="preserve"> </w:t>
      </w:r>
      <w:r>
        <w:t xml:space="preserve">Restore RData into workspace at startup</w:t>
      </w:r>
    </w:p>
    <w:p>
      <w:pPr>
        <w:pStyle w:val="Compact"/>
        <w:numPr>
          <w:ilvl w:val="0"/>
          <w:numId w:val="104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4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8"/>
    <w:bookmarkEnd w:id="149"/>
    <w:bookmarkStart w:id="159" w:name="data-masking"/>
    <w:p>
      <w:pPr>
        <w:pStyle w:val="Heading1"/>
      </w:pPr>
      <w:r>
        <w:t xml:space="preserve">10. Data masking</w:t>
      </w:r>
    </w:p>
    <w:p>
      <w:pPr>
        <w:pStyle w:val="FirstParagraph"/>
      </w:pPr>
      <w:r>
        <w:t xml:space="preserve">Adapted by UCD-SeRG team from</w:t>
      </w:r>
      <w:r>
        <w:t xml:space="preserve"> </w:t>
      </w:r>
      <w:hyperlink r:id="rId1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1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52" name="Picture"/>
            <a:graphic>
              <a:graphicData uri="http://schemas.openxmlformats.org/drawingml/2006/picture">
                <pic:pic>
                  <pic:nvPicPr>
                    <pic:cNvPr descr="assets/images/data-masking.PNG" id="153" name="Picture"/>
                    <pic:cNvPicPr>
                      <a:picLocks noChangeArrowheads="1" noChangeAspect="1"/>
                    </pic:cNvPicPr>
                  </pic:nvPicPr>
                  <pic:blipFill>
                    <a:blip r:embed="rId1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54"/>
    <w:bookmarkStart w:id="1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55"/>
    <w:bookmarkEnd w:id="156"/>
    <w:bookmarkStart w:id="1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57"/>
    <w:bookmarkEnd w:id="158"/>
    <w:bookmarkEnd w:id="159"/>
    <w:bookmarkStart w:id="175" w:name="sec-github"/>
    <w:p>
      <w:pPr>
        <w:pStyle w:val="Heading1"/>
      </w:pPr>
      <w:r>
        <w:t xml:space="preserve">11. Github</w:t>
      </w:r>
    </w:p>
    <w:p>
      <w:pPr>
        <w:pStyle w:val="FirstParagraph"/>
      </w:pPr>
      <w:r>
        <w:t xml:space="preserve">Adapted by UCD-SeRG team from</w:t>
      </w:r>
      <w:r>
        <w:t xml:space="preserve"> </w:t>
      </w:r>
      <w:hyperlink r:id="rId160">
        <w:r>
          <w:rPr>
            <w:rStyle w:val="Hyperlink"/>
          </w:rPr>
          <w:t xml:space="preserve">original by Stephanie Djajadi and Nolan Pokpongkiat</w:t>
        </w:r>
      </w:hyperlink>
    </w:p>
    <w:bookmarkStart w:id="163" w:name="basics"/>
    <w:p>
      <w:pPr>
        <w:pStyle w:val="Heading2"/>
      </w:pPr>
      <w:r>
        <w:t xml:space="preserve">11.1 Basics</w:t>
      </w:r>
    </w:p>
    <w:p>
      <w:pPr>
        <w:pStyle w:val="Compact"/>
        <w:numPr>
          <w:ilvl w:val="0"/>
          <w:numId w:val="1046"/>
        </w:numPr>
      </w:pPr>
      <w:r>
        <w:t xml:space="preserve">A detailed tutorial of Git can be found</w:t>
      </w:r>
      <w:r>
        <w:t xml:space="preserve"> </w:t>
      </w:r>
      <w:hyperlink r:id="rId161">
        <w:r>
          <w:rPr>
            <w:rStyle w:val="Hyperlink"/>
          </w:rPr>
          <w:t xml:space="preserve">here on the CS61B website</w:t>
        </w:r>
      </w:hyperlink>
      <w:r>
        <w:t xml:space="preserve">.</w:t>
      </w:r>
    </w:p>
    <w:p>
      <w:pPr>
        <w:pStyle w:val="Compact"/>
        <w:numPr>
          <w:ilvl w:val="0"/>
          <w:numId w:val="1046"/>
        </w:numPr>
      </w:pPr>
      <w:r>
        <w:t xml:space="preserve">If you are already familiar with Git, you can reference the summary at the end of</w:t>
      </w:r>
      <w:r>
        <w:t xml:space="preserve"> </w:t>
      </w:r>
      <w:hyperlink r:id="rId161">
        <w:r>
          <w:rPr>
            <w:rStyle w:val="Hyperlink"/>
          </w:rPr>
          <w:t xml:space="preserve">Section B</w:t>
        </w:r>
      </w:hyperlink>
      <w:r>
        <w:t xml:space="preserve">.</w:t>
      </w:r>
    </w:p>
    <w:p>
      <w:pPr>
        <w:pStyle w:val="Compact"/>
        <w:numPr>
          <w:ilvl w:val="0"/>
          <w:numId w:val="1046"/>
        </w:numPr>
      </w:pPr>
      <w:r>
        <w:t xml:space="preserve">If you have made a mistake in Git, you can refer to this</w:t>
      </w:r>
      <w:r>
        <w:t xml:space="preserve"> </w:t>
      </w:r>
      <w:hyperlink r:id="rId162">
        <w:r>
          <w:rPr>
            <w:rStyle w:val="Hyperlink"/>
          </w:rPr>
          <w:t xml:space="preserve">article</w:t>
        </w:r>
      </w:hyperlink>
      <w:r>
        <w:t xml:space="preserve"> </w:t>
      </w:r>
      <w:r>
        <w:t xml:space="preserve">to undo, fix, or remove commits in git.</w:t>
      </w:r>
    </w:p>
    <w:bookmarkEnd w:id="163"/>
    <w:bookmarkStart w:id="16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65"/>
    <w:bookmarkStart w:id="16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4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47"/>
        </w:numPr>
      </w:pPr>
      <w:r>
        <w:t xml:space="preserve">You want to start working on a new part of the project, but you aren’t sure yet if your changes will work and make it to the final product.</w:t>
      </w:r>
    </w:p>
    <w:p>
      <w:pPr>
        <w:pStyle w:val="Compact"/>
        <w:numPr>
          <w:ilvl w:val="0"/>
          <w:numId w:val="104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66">
        <w:r>
          <w:rPr>
            <w:rStyle w:val="Hyperlink"/>
          </w:rPr>
          <w:t xml:space="preserve">here</w:t>
        </w:r>
      </w:hyperlink>
      <w:r>
        <w:t xml:space="preserve">. You can also find instructions on how to handle merge conflicts when joining branches together.</w:t>
      </w:r>
    </w:p>
    <w:bookmarkEnd w:id="167"/>
    <w:bookmarkStart w:id="16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9"/>
    <w:bookmarkStart w:id="170"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70"/>
    <w:bookmarkStart w:id="17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171"/>
    <w:bookmarkStart w:id="174" w:name="what-should-be-pushed-to-github"/>
    <w:p>
      <w:pPr>
        <w:pStyle w:val="Heading2"/>
      </w:pPr>
      <w:r>
        <w:t xml:space="preserve">11.7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7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73">
        <w:r>
          <w:rPr>
            <w:rStyle w:val="Hyperlink"/>
          </w:rPr>
          <w:t xml:space="preserve">great discussion of project-oriented workflows</w:t>
        </w:r>
      </w:hyperlink>
      <w:r>
        <w:t xml:space="preserve">, extolling the virtues of a self-contained, portable projects, for your reference.</w:t>
      </w:r>
    </w:p>
    <w:bookmarkEnd w:id="174"/>
    <w:bookmarkEnd w:id="175"/>
    <w:bookmarkStart w:id="194" w:name="sec-unix"/>
    <w:p>
      <w:pPr>
        <w:pStyle w:val="Heading1"/>
      </w:pPr>
      <w:r>
        <w:t xml:space="preserve">12. Unix</w:t>
      </w:r>
    </w:p>
    <w:p>
      <w:pPr>
        <w:pStyle w:val="FirstParagraph"/>
      </w:pPr>
      <w:r>
        <w:t xml:space="preserve">Adapted by UCD-SeRG team from</w:t>
      </w:r>
      <w:r>
        <w:t xml:space="preserve"> </w:t>
      </w:r>
      <w:hyperlink r:id="rId17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48"/>
        </w:numPr>
      </w:pPr>
      <w:r>
        <w:t xml:space="preserve">Run a series of scripts in parallel or in a specific order to reproduce our work</w:t>
      </w:r>
    </w:p>
    <w:p>
      <w:pPr>
        <w:pStyle w:val="Compact"/>
        <w:numPr>
          <w:ilvl w:val="0"/>
          <w:numId w:val="1048"/>
        </w:numPr>
      </w:pPr>
      <w:r>
        <w:t xml:space="preserve">To check on the progress of a batch of jobs</w:t>
      </w:r>
    </w:p>
    <w:p>
      <w:pPr>
        <w:pStyle w:val="Compact"/>
        <w:numPr>
          <w:ilvl w:val="0"/>
          <w:numId w:val="1048"/>
        </w:numPr>
      </w:pPr>
      <w:r>
        <w:t xml:space="preserve">To use git and push to github</w:t>
      </w:r>
    </w:p>
    <w:bookmarkStart w:id="180"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8" name="Picture"/>
            <a:graphic>
              <a:graphicData uri="http://schemas.openxmlformats.org/drawingml/2006/picture">
                <pic:pic>
                  <pic:nvPicPr>
                    <pic:cNvPr descr="assets/images/ex-desktop.jpg" id="179" name="Picture"/>
                    <pic:cNvPicPr>
                      <a:picLocks noChangeArrowheads="1" noChangeAspect="1"/>
                    </pic:cNvPicPr>
                  </pic:nvPicPr>
                  <pic:blipFill>
                    <a:blip r:embed="rId177"/>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80"/>
    <w:bookmarkStart w:id="18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82" name="Picture"/>
            <a:graphic>
              <a:graphicData uri="http://schemas.openxmlformats.org/drawingml/2006/picture">
                <pic:pic>
                  <pic:nvPicPr>
                    <pic:cNvPr descr="assets/images/ex-terminal.PNG" id="183" name="Picture"/>
                    <pic:cNvPicPr>
                      <a:picLocks noChangeArrowheads="1" noChangeAspect="1"/>
                    </pic:cNvPicPr>
                  </pic:nvPicPr>
                  <pic:blipFill>
                    <a:blip r:embed="rId181"/>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84"/>
    <w:bookmarkStart w:id="185"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85"/>
    <w:bookmarkStart w:id="18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87" w:name="common-mistakes"/>
    <w:p>
      <w:pPr>
        <w:pStyle w:val="Heading3"/>
      </w:pPr>
      <w:r>
        <w:t xml:space="preserve">12.4.1 Common Mistakes</w:t>
      </w:r>
    </w:p>
    <w:p>
      <w:pPr>
        <w:pStyle w:val="Compact"/>
        <w:numPr>
          <w:ilvl w:val="0"/>
          <w:numId w:val="1049"/>
        </w:numPr>
      </w:pPr>
      <w:r>
        <w:t xml:space="preserve">Remember to include all of the quotation marks around file paths that have a spaces.</w:t>
      </w:r>
    </w:p>
    <w:p>
      <w:pPr>
        <w:pStyle w:val="Compact"/>
        <w:numPr>
          <w:ilvl w:val="0"/>
          <w:numId w:val="10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87"/>
    <w:bookmarkEnd w:id="188"/>
    <w:bookmarkStart w:id="18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9"/>
    <w:bookmarkStart w:id="19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9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91"/>
    <w:bookmarkStart w:id="19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92"/>
    <w:bookmarkEnd w:id="193"/>
    <w:bookmarkEnd w:id="194"/>
    <w:bookmarkStart w:id="200" w:name="reproducible-environments"/>
    <w:p>
      <w:pPr>
        <w:pStyle w:val="Heading1"/>
      </w:pPr>
      <w:r>
        <w:t xml:space="preserve">13. Reproducible Environments</w:t>
      </w:r>
    </w:p>
    <w:p>
      <w:pPr>
        <w:pStyle w:val="FirstParagraph"/>
      </w:pPr>
      <w:r>
        <w:t xml:space="preserve">Adapted by UCD-SeRG team from</w:t>
      </w:r>
      <w:r>
        <w:t xml:space="preserve"> </w:t>
      </w:r>
      <w:hyperlink r:id="rId195">
        <w:r>
          <w:rPr>
            <w:rStyle w:val="Hyperlink"/>
          </w:rPr>
          <w:t xml:space="preserve">original by Anna Nguyen</w:t>
        </w:r>
      </w:hyperlink>
    </w:p>
    <w:bookmarkStart w:id="199" w:name="package-version-control-with-renv"/>
    <w:p>
      <w:pPr>
        <w:pStyle w:val="Heading2"/>
      </w:pPr>
      <w:r>
        <w:t xml:space="preserve">13.1 Package Version Control with renv</w:t>
      </w:r>
    </w:p>
    <w:bookmarkStart w:id="196"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96"/>
    <w:bookmarkStart w:id="19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2"/>
        </w:numPr>
      </w:pPr>
      <w:r>
        <w:t xml:space="preserve">Create an RProject file and ensure that your working directory is set to the correct folder</w:t>
      </w:r>
    </w:p>
    <w:p>
      <w:pPr>
        <w:pStyle w:val="Compact"/>
        <w:numPr>
          <w:ilvl w:val="0"/>
          <w:numId w:val="105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97"/>
    <w:bookmarkStart w:id="19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3"/>
        </w:numPr>
      </w:pPr>
      <w:r>
        <w:t xml:space="preserve">Pull the most updated version of the project from GitHub</w:t>
      </w:r>
    </w:p>
    <w:p>
      <w:pPr>
        <w:pStyle w:val="Compact"/>
        <w:numPr>
          <w:ilvl w:val="0"/>
          <w:numId w:val="1053"/>
        </w:numPr>
      </w:pPr>
      <w:r>
        <w:t xml:space="preserve">Open the project’s RProject file</w:t>
      </w:r>
    </w:p>
    <w:p>
      <w:pPr>
        <w:pStyle w:val="Compact"/>
        <w:numPr>
          <w:ilvl w:val="0"/>
          <w:numId w:val="10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53"/>
        </w:numPr>
      </w:pPr>
      <w:r>
        <w:t xml:space="preserve">Wait for the correct versions of each package to install/update. This may take some time, depending on how many packages the project uses.</w:t>
      </w:r>
    </w:p>
    <w:p>
      <w:pPr>
        <w:pStyle w:val="Compact"/>
        <w:numPr>
          <w:ilvl w:val="0"/>
          <w:numId w:val="10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53"/>
        </w:numPr>
      </w:pPr>
      <w:r>
        <w:t xml:space="preserve">If you make edits to the code and introduce new/updated packages, see the section above for instructions on how to make updates.</w:t>
      </w:r>
    </w:p>
    <w:bookmarkEnd w:id="198"/>
    <w:bookmarkEnd w:id="199"/>
    <w:bookmarkEnd w:id="200"/>
    <w:bookmarkStart w:id="215" w:name="code-publication"/>
    <w:p>
      <w:pPr>
        <w:pStyle w:val="Heading1"/>
      </w:pPr>
      <w:r>
        <w:t xml:space="preserve">14. Code Publication</w:t>
      </w:r>
    </w:p>
    <w:p>
      <w:pPr>
        <w:pStyle w:val="FirstParagraph"/>
      </w:pPr>
      <w:r>
        <w:t xml:space="preserve">Adapted by UCD-SeRG team from</w:t>
      </w:r>
      <w:r>
        <w:t xml:space="preserve"> </w:t>
      </w:r>
      <w:hyperlink r:id="rId201">
        <w:r>
          <w:rPr>
            <w:rStyle w:val="Hyperlink"/>
          </w:rPr>
          <w:t xml:space="preserve">original by Nolan Pokpongkiat</w:t>
        </w:r>
      </w:hyperlink>
    </w:p>
    <w:bookmarkStart w:id="202" w:name="checklist-overview"/>
    <w:p>
      <w:pPr>
        <w:pStyle w:val="Heading2"/>
      </w:pPr>
      <w:r>
        <w:t xml:space="preserve">14.1 Checklist overview</w:t>
      </w:r>
    </w:p>
    <w:p>
      <w:pPr>
        <w:pStyle w:val="Compact"/>
        <w:numPr>
          <w:ilvl w:val="0"/>
          <w:numId w:val="1054"/>
        </w:numPr>
      </w:pPr>
      <w:hyperlink w:anchor="fill-out-file-headers">
        <w:r>
          <w:rPr>
            <w:rStyle w:val="Hyperlink"/>
          </w:rPr>
          <w:t xml:space="preserve">Fill out file headers</w:t>
        </w:r>
      </w:hyperlink>
    </w:p>
    <w:p>
      <w:pPr>
        <w:pStyle w:val="Compact"/>
        <w:numPr>
          <w:ilvl w:val="0"/>
          <w:numId w:val="1054"/>
        </w:numPr>
      </w:pPr>
      <w:hyperlink w:anchor="clean-up-comments">
        <w:r>
          <w:rPr>
            <w:rStyle w:val="Hyperlink"/>
          </w:rPr>
          <w:t xml:space="preserve">Clean up comments</w:t>
        </w:r>
      </w:hyperlink>
    </w:p>
    <w:p>
      <w:pPr>
        <w:pStyle w:val="Compact"/>
        <w:numPr>
          <w:ilvl w:val="0"/>
          <w:numId w:val="1054"/>
        </w:numPr>
      </w:pPr>
      <w:hyperlink w:anchor="document-functions">
        <w:r>
          <w:rPr>
            <w:rStyle w:val="Hyperlink"/>
          </w:rPr>
          <w:t xml:space="preserve">Document functions</w:t>
        </w:r>
      </w:hyperlink>
    </w:p>
    <w:p>
      <w:pPr>
        <w:pStyle w:val="Compact"/>
        <w:numPr>
          <w:ilvl w:val="0"/>
          <w:numId w:val="1054"/>
        </w:numPr>
      </w:pPr>
      <w:hyperlink w:anchor="remove-deprecated-filepaths">
        <w:r>
          <w:rPr>
            <w:rStyle w:val="Hyperlink"/>
          </w:rPr>
          <w:t xml:space="preserve">Remove deprecated filepaths</w:t>
        </w:r>
      </w:hyperlink>
    </w:p>
    <w:p>
      <w:pPr>
        <w:pStyle w:val="Compact"/>
        <w:numPr>
          <w:ilvl w:val="0"/>
          <w:numId w:val="1054"/>
        </w:numPr>
      </w:pPr>
      <w:hyperlink w:anchor="ensure-project-runs-via-bash">
        <w:r>
          <w:rPr>
            <w:rStyle w:val="Hyperlink"/>
          </w:rPr>
          <w:t xml:space="preserve">Ensure project runs via bash</w:t>
        </w:r>
      </w:hyperlink>
    </w:p>
    <w:p>
      <w:pPr>
        <w:pStyle w:val="Compact"/>
        <w:numPr>
          <w:ilvl w:val="0"/>
          <w:numId w:val="1054"/>
        </w:numPr>
      </w:pPr>
      <w:hyperlink w:anchor="complete-the-readme">
        <w:r>
          <w:rPr>
            <w:rStyle w:val="Hyperlink"/>
          </w:rPr>
          <w:t xml:space="preserve">Complete the README</w:t>
        </w:r>
      </w:hyperlink>
    </w:p>
    <w:p>
      <w:pPr>
        <w:pStyle w:val="Compact"/>
        <w:numPr>
          <w:ilvl w:val="0"/>
          <w:numId w:val="1054"/>
        </w:numPr>
      </w:pPr>
      <w:hyperlink w:anchor="clean-up-feature-branches">
        <w:r>
          <w:rPr>
            <w:rStyle w:val="Hyperlink"/>
          </w:rPr>
          <w:t xml:space="preserve">Clean up feature branches</w:t>
        </w:r>
      </w:hyperlink>
    </w:p>
    <w:p>
      <w:pPr>
        <w:pStyle w:val="Compact"/>
        <w:numPr>
          <w:ilvl w:val="0"/>
          <w:numId w:val="1054"/>
        </w:numPr>
      </w:pPr>
      <w:hyperlink w:anchor="create-github-release">
        <w:r>
          <w:rPr>
            <w:rStyle w:val="Hyperlink"/>
          </w:rPr>
          <w:t xml:space="preserve">Create Github release</w:t>
        </w:r>
      </w:hyperlink>
    </w:p>
    <w:bookmarkEnd w:id="202"/>
    <w:bookmarkStart w:id="20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03">
        <w:r>
          <w:rPr>
            <w:rStyle w:val="Hyperlink"/>
          </w:rPr>
          <w:t xml:space="preserve">here.</w:t>
        </w:r>
      </w:hyperlink>
    </w:p>
    <w:bookmarkEnd w:id="204"/>
    <w:bookmarkStart w:id="20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05"/>
    <w:bookmarkStart w:id="20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06">
        <w:r>
          <w:rPr>
            <w:rStyle w:val="Hyperlink"/>
          </w:rPr>
          <w:t xml:space="preserve">here.</w:t>
        </w:r>
      </w:hyperlink>
    </w:p>
    <w:bookmarkEnd w:id="207"/>
    <w:bookmarkStart w:id="20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8"/>
    <w:bookmarkStart w:id="21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9">
        <w:r>
          <w:rPr>
            <w:rStyle w:val="Hyperlink"/>
          </w:rPr>
          <w:t xml:space="preserve">here.</w:t>
        </w:r>
      </w:hyperlink>
    </w:p>
    <w:bookmarkEnd w:id="210"/>
    <w:bookmarkStart w:id="21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55"/>
        </w:numPr>
      </w:pPr>
      <w:r>
        <w:t xml:space="preserve">0-config.R: configuration file that sets data directories, sources base functions, and loads required libraries</w:t>
      </w:r>
    </w:p>
    <w:p>
      <w:pPr>
        <w:pStyle w:val="BlockText"/>
        <w:numPr>
          <w:ilvl w:val="0"/>
          <w:numId w:val="1055"/>
        </w:numPr>
      </w:pPr>
      <w:r>
        <w:t xml:space="preserve">0-base-functions: folder containing scripts with functions used in the analysis</w:t>
      </w:r>
    </w:p>
    <w:p>
      <w:pPr>
        <w:pStyle w:val="BlockText"/>
        <w:numPr>
          <w:ilvl w:val="1"/>
          <w:numId w:val="1056"/>
        </w:numPr>
      </w:pPr>
      <w:r>
        <w:t xml:space="preserve">0-base-functions.R: R script containing general functions used across the analysis</w:t>
      </w:r>
    </w:p>
    <w:p>
      <w:pPr>
        <w:pStyle w:val="BlockText"/>
        <w:numPr>
          <w:ilvl w:val="1"/>
          <w:numId w:val="1056"/>
        </w:numPr>
      </w:pPr>
      <w:r>
        <w:t xml:space="preserve">0-bias-corr-functions.R: R script containing functions used in bias correction</w:t>
      </w:r>
    </w:p>
    <w:p>
      <w:pPr>
        <w:pStyle w:val="BlockText"/>
        <w:numPr>
          <w:ilvl w:val="1"/>
          <w:numId w:val="105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56"/>
        </w:numPr>
      </w:pPr>
      <w:r>
        <w:t xml:space="preserve">0-prior-functions.R: R script containing functions to generate priors</w:t>
      </w:r>
    </w:p>
    <w:p>
      <w:pPr>
        <w:pStyle w:val="BlockText"/>
        <w:numPr>
          <w:ilvl w:val="0"/>
          <w:numId w:val="1055"/>
        </w:numPr>
      </w:pPr>
      <w:r>
        <w:t xml:space="preserve">1-data: folder containing data processing scripts NOTE: some scripts are deprecated</w:t>
      </w:r>
    </w:p>
    <w:p>
      <w:pPr>
        <w:pStyle w:val="BlockText"/>
        <w:numPr>
          <w:ilvl w:val="0"/>
          <w:numId w:val="1055"/>
        </w:numPr>
      </w:pPr>
      <w:r>
        <w:t xml:space="preserve">2-analysis: folder containing analysis scripts. To rerun all scripts in this subdirectory, run the bash script 0-run-analysis.sh.</w:t>
      </w:r>
    </w:p>
    <w:p>
      <w:pPr>
        <w:pStyle w:val="BlockText"/>
        <w:numPr>
          <w:ilvl w:val="1"/>
          <w:numId w:val="1057"/>
        </w:numPr>
      </w:pPr>
      <w:r>
        <w:t xml:space="preserve">1-obtain-priors-state.R: obtain priors for each state</w:t>
      </w:r>
    </w:p>
    <w:p>
      <w:pPr>
        <w:pStyle w:val="BlockText"/>
        <w:numPr>
          <w:ilvl w:val="1"/>
          <w:numId w:val="1057"/>
        </w:numPr>
      </w:pPr>
      <w:r>
        <w:t xml:space="preserve">2-est-expected-cases-state.R: estimate expected cases in each state</w:t>
      </w:r>
    </w:p>
    <w:p>
      <w:pPr>
        <w:pStyle w:val="BlockText"/>
        <w:numPr>
          <w:ilvl w:val="1"/>
          <w:numId w:val="1057"/>
        </w:numPr>
      </w:pPr>
      <w:r>
        <w:t xml:space="preserve">3-est-expected-cases-state-perf-testing.R: estimate expected cases in each state, estimate the percentage of underestimation due to incomplete testing vs. imperfect test accuracy</w:t>
      </w:r>
    </w:p>
    <w:p>
      <w:pPr>
        <w:pStyle w:val="BlockText"/>
        <w:numPr>
          <w:ilvl w:val="1"/>
          <w:numId w:val="1057"/>
        </w:numPr>
      </w:pPr>
      <w:r>
        <w:t xml:space="preserve">4-obtain-testing-protocols.R: find testing protocols for each state.</w:t>
      </w:r>
    </w:p>
    <w:p>
      <w:pPr>
        <w:pStyle w:val="BlockText"/>
        <w:numPr>
          <w:ilvl w:val="1"/>
          <w:numId w:val="1057"/>
        </w:numPr>
      </w:pPr>
      <w:r>
        <w:t xml:space="preserve">5-summarize-results.R: summarize results; obtain results for in text numerical results.</w:t>
      </w:r>
    </w:p>
    <w:p>
      <w:pPr>
        <w:pStyle w:val="BlockText"/>
        <w:numPr>
          <w:ilvl w:val="0"/>
          <w:numId w:val="1055"/>
        </w:numPr>
      </w:pPr>
      <w:r>
        <w:t xml:space="preserve">3-figure-table-scripts: folder containing figure scripts. To rerun all scripts in this subdirectory, run the bash script 0-run-figs.sh.</w:t>
      </w:r>
    </w:p>
    <w:p>
      <w:pPr>
        <w:pStyle w:val="BlockText"/>
        <w:numPr>
          <w:ilvl w:val="1"/>
          <w:numId w:val="1058"/>
        </w:numPr>
      </w:pPr>
      <w:r>
        <w:t xml:space="preserve">1-fig-testing.R: creates plot of testing patterns by state over time</w:t>
      </w:r>
    </w:p>
    <w:p>
      <w:pPr>
        <w:pStyle w:val="BlockText"/>
        <w:numPr>
          <w:ilvl w:val="1"/>
          <w:numId w:val="1058"/>
        </w:numPr>
      </w:pPr>
      <w:r>
        <w:t xml:space="preserve">2-fig-cases-usa-state-bar.R: creates bar plot of confirmed vs. estimated infections by state</w:t>
      </w:r>
    </w:p>
    <w:p>
      <w:pPr>
        <w:pStyle w:val="BlockText"/>
        <w:numPr>
          <w:ilvl w:val="1"/>
          <w:numId w:val="1058"/>
        </w:numPr>
      </w:pPr>
      <w:r>
        <w:t xml:space="preserve">3a-fig-map-usa-state.R: creates map of confirmed vs. estimated infections by state</w:t>
      </w:r>
    </w:p>
    <w:p>
      <w:pPr>
        <w:pStyle w:val="BlockText"/>
        <w:numPr>
          <w:ilvl w:val="1"/>
          <w:numId w:val="1058"/>
        </w:numPr>
      </w:pPr>
      <w:r>
        <w:t xml:space="preserve">3b-fig-map-usa-state-shiny.R: creates map of confirmed vs. estimated infections by state with search functionality by state</w:t>
      </w:r>
    </w:p>
    <w:p>
      <w:pPr>
        <w:pStyle w:val="BlockText"/>
        <w:numPr>
          <w:ilvl w:val="1"/>
          <w:numId w:val="1058"/>
        </w:numPr>
      </w:pPr>
      <w:r>
        <w:t xml:space="preserve">4-fig-priors.R: creates figure with priors for US as a whole</w:t>
      </w:r>
    </w:p>
    <w:p>
      <w:pPr>
        <w:pStyle w:val="BlockText"/>
        <w:numPr>
          <w:ilvl w:val="1"/>
          <w:numId w:val="1058"/>
        </w:numPr>
      </w:pPr>
      <w:r>
        <w:t xml:space="preserve">5-fig-density-usa.R: creates figure of distribution of estimated cases in the US</w:t>
      </w:r>
    </w:p>
    <w:p>
      <w:pPr>
        <w:pStyle w:val="BlockText"/>
        <w:numPr>
          <w:ilvl w:val="1"/>
          <w:numId w:val="1058"/>
        </w:numPr>
      </w:pPr>
      <w:r>
        <w:t xml:space="preserve">6-table-data-quality.R: creates table of data quality grading from COVID Tracking Project</w:t>
      </w:r>
    </w:p>
    <w:p>
      <w:pPr>
        <w:pStyle w:val="BlockText"/>
        <w:numPr>
          <w:ilvl w:val="1"/>
          <w:numId w:val="1058"/>
        </w:numPr>
      </w:pPr>
      <w:r>
        <w:t xml:space="preserve">7-fig-testpos.R: creates figure of the probability of testing positive among those tested by state</w:t>
      </w:r>
    </w:p>
    <w:p>
      <w:pPr>
        <w:pStyle w:val="BlockText"/>
        <w:numPr>
          <w:ilvl w:val="1"/>
          <w:numId w:val="1058"/>
        </w:numPr>
      </w:pPr>
      <w:r>
        <w:t xml:space="preserve">8-fig-percent-undertesting-state.R: creates figure of the percentage of under estimation due to incomplete testing</w:t>
      </w:r>
    </w:p>
    <w:p>
      <w:pPr>
        <w:pStyle w:val="BlockText"/>
        <w:numPr>
          <w:ilvl w:val="0"/>
          <w:numId w:val="1055"/>
        </w:numPr>
      </w:pPr>
      <w:r>
        <w:t xml:space="preserve">4-figures: folder containing figure files.</w:t>
      </w:r>
    </w:p>
    <w:p>
      <w:pPr>
        <w:pStyle w:val="BlockText"/>
        <w:numPr>
          <w:ilvl w:val="0"/>
          <w:numId w:val="1055"/>
        </w:numPr>
      </w:pPr>
      <w:r>
        <w:t xml:space="preserve">5-results: folder containing analysis results objects.</w:t>
      </w:r>
    </w:p>
    <w:p>
      <w:pPr>
        <w:pStyle w:val="BlockText"/>
        <w:numPr>
          <w:ilvl w:val="0"/>
          <w:numId w:val="105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11"/>
    <w:bookmarkStart w:id="21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12"/>
    <w:bookmarkStart w:id="21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13">
        <w:r>
          <w:rPr>
            <w:rStyle w:val="Hyperlink"/>
          </w:rPr>
          <w:t xml:space="preserve">here.</w:t>
        </w:r>
      </w:hyperlink>
    </w:p>
    <w:bookmarkEnd w:id="214"/>
    <w:bookmarkEnd w:id="215"/>
    <w:bookmarkStart w:id="236" w:name="data-publication"/>
    <w:p>
      <w:pPr>
        <w:pStyle w:val="Heading1"/>
      </w:pPr>
      <w:r>
        <w:t xml:space="preserve">15. Data Publication</w:t>
      </w:r>
    </w:p>
    <w:p>
      <w:pPr>
        <w:pStyle w:val="FirstParagraph"/>
      </w:pPr>
      <w:r>
        <w:t xml:space="preserve">Adapted from Fanice Nyatigo and Ben Arnold’s chapter in the</w:t>
      </w:r>
      <w:r>
        <w:t xml:space="preserve"> </w:t>
      </w:r>
      <w:hyperlink r:id="rId216">
        <w:r>
          <w:rPr>
            <w:rStyle w:val="Hyperlink"/>
          </w:rPr>
          <w:t xml:space="preserve">Proctor-UCSF Lab Manual</w:t>
        </w:r>
      </w:hyperlink>
    </w:p>
    <w:bookmarkStart w:id="21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17">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8">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9"/>
    <w:bookmarkStart w:id="22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2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20"/>
    <w:bookmarkStart w:id="22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21"/>
    <w:bookmarkStart w:id="22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22"/>
    <w:bookmarkEnd w:id="223"/>
    <w:bookmarkStart w:id="227" w:name="create-public-ids"/>
    <w:p>
      <w:pPr>
        <w:pStyle w:val="Heading2"/>
      </w:pPr>
      <w:r>
        <w:t xml:space="preserve">15.3 Create public IDs</w:t>
      </w:r>
    </w:p>
    <w:bookmarkStart w:id="22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24"/>
    <w:bookmarkStart w:id="22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25"/>
    <w:bookmarkStart w:id="22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59"/>
        </w:numPr>
      </w:pPr>
      <w:r>
        <w:rPr>
          <w:rStyle w:val="VerbatimChar"/>
        </w:rPr>
        <w:t xml:space="preserve">data/final/</w:t>
      </w:r>
      <w:r>
        <w:t xml:space="preserve">- folder containing the projects final data in both csv and rds formats</w:t>
      </w:r>
      <w:r>
        <w:br/>
      </w:r>
    </w:p>
    <w:p>
      <w:pPr>
        <w:pStyle w:val="Compact"/>
        <w:numPr>
          <w:ilvl w:val="0"/>
          <w:numId w:val="105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5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5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5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26"/>
    <w:bookmarkEnd w:id="227"/>
    <w:bookmarkStart w:id="23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2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30" w:name="X659912a983e12070198566d6758f84b7c139c71"/>
    <w:p>
      <w:pPr>
        <w:pStyle w:val="Heading3"/>
      </w:pPr>
      <w:r>
        <w:t xml:space="preserve">15.4.1 Steps for creating an Open Science Framework (OSF) repository:</w:t>
      </w:r>
    </w:p>
    <w:p>
      <w:pPr>
        <w:pStyle w:val="Compact"/>
        <w:numPr>
          <w:ilvl w:val="0"/>
          <w:numId w:val="1060"/>
        </w:numPr>
      </w:pPr>
      <w:r>
        <w:t xml:space="preserve">Create a new OSF project per these instructions: https://help.osf.io/article/252-create-a-project</w:t>
      </w:r>
    </w:p>
    <w:p>
      <w:pPr>
        <w:pStyle w:val="Compact"/>
        <w:numPr>
          <w:ilvl w:val="0"/>
          <w:numId w:val="106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0"/>
        </w:numPr>
      </w:pPr>
      <w:r>
        <w:t xml:space="preserve">Create a notebook component and upload the final .html files (which will not be on github… but see optional item below)</w:t>
      </w:r>
    </w:p>
    <w:p>
      <w:pPr>
        <w:pStyle w:val="Compact"/>
        <w:numPr>
          <w:ilvl w:val="0"/>
          <w:numId w:val="1060"/>
        </w:numPr>
      </w:pPr>
      <w:r>
        <w:t xml:space="preserve">On the OSF landing Wiki, provide some context. Here is a recent example: https://osf.io/954bt/</w:t>
      </w:r>
    </w:p>
    <w:p>
      <w:pPr>
        <w:pStyle w:val="Compact"/>
        <w:numPr>
          <w:ilvl w:val="0"/>
          <w:numId w:val="1060"/>
        </w:numPr>
      </w:pPr>
      <w:r>
        <w:t xml:space="preserve">Create a Digital Object Identifier (DOI) for the repository. A DOI is a unique identifier that provides a persistent link to content, such as a dataset in this case.</w:t>
      </w:r>
      <w:r>
        <w:t xml:space="preserve"> </w:t>
      </w:r>
      <w:hyperlink r:id="rId229">
        <w:r>
          <w:rPr>
            <w:rStyle w:val="Hyperlink"/>
          </w:rPr>
          <w:t xml:space="preserve">Learn more about DOIs</w:t>
        </w:r>
      </w:hyperlink>
    </w:p>
    <w:p>
      <w:pPr>
        <w:pStyle w:val="Compact"/>
        <w:numPr>
          <w:ilvl w:val="0"/>
          <w:numId w:val="1060"/>
        </w:numPr>
      </w:pPr>
      <w:r>
        <w:t xml:space="preserve">Optional: Complete the software checklist and system requirement guide for the analysis to guide others. Include it on the GitHub README for the project: https://github.com/proctor-ucsf/mordor-antibody</w:t>
      </w:r>
    </w:p>
    <w:bookmarkEnd w:id="230"/>
    <w:bookmarkEnd w:id="231"/>
    <w:bookmarkStart w:id="23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32"/>
    <w:bookmarkStart w:id="23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33"/>
    <w:bookmarkStart w:id="23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34">
        <w:r>
          <w:rPr>
            <w:rStyle w:val="Hyperlink"/>
          </w:rPr>
          <w:t xml:space="preserve">How to Store and Manage Your Data - PLOS</w:t>
        </w:r>
      </w:hyperlink>
    </w:p>
    <w:bookmarkEnd w:id="235"/>
    <w:bookmarkEnd w:id="236"/>
    <w:bookmarkStart w:id="257" w:name="sec-slurm"/>
    <w:p>
      <w:pPr>
        <w:pStyle w:val="Heading1"/>
      </w:pPr>
      <w:r>
        <w:t xml:space="preserve">16. High-performance computing (HPC)</w:t>
      </w:r>
    </w:p>
    <w:p>
      <w:pPr>
        <w:pStyle w:val="FirstParagraph"/>
      </w:pPr>
      <w:r>
        <w:t xml:space="preserve">Adapted by UCD-SeRG team from</w:t>
      </w:r>
      <w:r>
        <w:t xml:space="preserve"> </w:t>
      </w:r>
      <w:hyperlink r:id="rId23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41" w:name="uc-davis-computing-resources"/>
    <w:p>
      <w:pPr>
        <w:pStyle w:val="Heading2"/>
      </w:pPr>
      <w:r>
        <w:t xml:space="preserve">16.1 UC Davis Computing Resources</w:t>
      </w:r>
    </w:p>
    <w:bookmarkStart w:id="24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1"/>
        </w:numPr>
      </w:pPr>
      <w:r>
        <w:rPr>
          <w:b/>
          <w:bCs/>
        </w:rPr>
        <w:t xml:space="preserve">Shiva</w:t>
      </w:r>
      <w:r>
        <w:t xml:space="preserve"> </w:t>
      </w:r>
      <w:r>
        <w:t xml:space="preserve">(shiva.ucdavis.edu): SLURM-based cluster for computational work</w:t>
      </w:r>
    </w:p>
    <w:p>
      <w:pPr>
        <w:pStyle w:val="Compact"/>
        <w:numPr>
          <w:ilvl w:val="0"/>
          <w:numId w:val="10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40"/>
    <w:bookmarkEnd w:id="241"/>
    <w:bookmarkStart w:id="24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4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42"/>
    <w:bookmarkEnd w:id="243"/>
    <w:bookmarkStart w:id="24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44"/>
    <w:bookmarkStart w:id="24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8">
        <w:r>
          <w:rPr>
            <w:rStyle w:val="Hyperlink"/>
          </w:rPr>
          <w:t xml:space="preserve">hpc.ucdavis.edu</w:t>
        </w:r>
      </w:hyperlink>
      <w:r>
        <w:t xml:space="preserve"> </w:t>
      </w:r>
      <w:r>
        <w:t xml:space="preserve">for support information.</w:t>
      </w:r>
    </w:p>
    <w:bookmarkEnd w:id="245"/>
    <w:bookmarkStart w:id="24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4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46"/>
    <w:bookmarkStart w:id="24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47"/>
    <w:bookmarkStart w:id="24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8"/>
    <w:bookmarkEnd w:id="249"/>
    <w:bookmarkStart w:id="254" w:name="storage-group-storage-access"/>
    <w:p>
      <w:pPr>
        <w:pStyle w:val="Heading2"/>
      </w:pPr>
      <w:r>
        <w:t xml:space="preserve">16.6 Storage &amp; group storage access</w:t>
      </w:r>
    </w:p>
    <w:bookmarkStart w:id="25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8">
        <w:r>
          <w:rPr>
            <w:rStyle w:val="Hyperlink"/>
          </w:rPr>
          <w:t xml:space="preserve">UC Davis HPC documentation</w:t>
        </w:r>
      </w:hyperlink>
      <w:r>
        <w:t xml:space="preserve"> </w:t>
      </w:r>
      <w:r>
        <w:t xml:space="preserve">for specific storage options and quotas.</w:t>
      </w:r>
    </w:p>
    <w:bookmarkEnd w:id="250"/>
    <w:bookmarkStart w:id="25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51"/>
    <w:bookmarkStart w:id="25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5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53"/>
    <w:bookmarkEnd w:id="254"/>
    <w:bookmarkStart w:id="25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55">
        <w:r>
          <w:rPr>
            <w:rStyle w:val="Hyperlink"/>
          </w:rPr>
          <w:t xml:space="preserve">here</w:t>
        </w:r>
      </w:hyperlink>
      <w:r>
        <w:t xml:space="preserve">. Here is an example of an sbatch script with the following options:</w:t>
      </w:r>
    </w:p>
    <w:p>
      <w:pPr>
        <w:pStyle w:val="Compact"/>
        <w:numPr>
          <w:ilvl w:val="0"/>
          <w:numId w:val="1062"/>
        </w:numPr>
      </w:pPr>
      <w:r>
        <w:rPr>
          <w:rStyle w:val="VerbatimChar"/>
        </w:rPr>
        <w:t xml:space="preserve">job-name=run_inc</w:t>
      </w:r>
      <w:r>
        <w:t xml:space="preserve">: Job name that will show up in the SLURM system</w:t>
      </w:r>
    </w:p>
    <w:p>
      <w:pPr>
        <w:pStyle w:val="Compact"/>
        <w:numPr>
          <w:ilvl w:val="0"/>
          <w:numId w:val="1062"/>
        </w:numPr>
      </w:pPr>
      <w:r>
        <w:rPr>
          <w:rStyle w:val="VerbatimChar"/>
        </w:rPr>
        <w:t xml:space="preserve">begin=now</w:t>
      </w:r>
      <w:r>
        <w:t xml:space="preserve">: Requests to start the job as soon as the requested resources are available</w:t>
      </w:r>
    </w:p>
    <w:p>
      <w:pPr>
        <w:pStyle w:val="Compact"/>
        <w:numPr>
          <w:ilvl w:val="0"/>
          <w:numId w:val="1062"/>
        </w:numPr>
      </w:pPr>
      <w:r>
        <w:rPr>
          <w:rStyle w:val="VerbatimChar"/>
        </w:rPr>
        <w:t xml:space="preserve">dependency=singleton</w:t>
      </w:r>
      <w:r>
        <w:t xml:space="preserve">: Jobs can begin after all previously launched jobs with the same name and user have ended.</w:t>
      </w:r>
    </w:p>
    <w:p>
      <w:pPr>
        <w:pStyle w:val="Compact"/>
        <w:numPr>
          <w:ilvl w:val="0"/>
          <w:numId w:val="1062"/>
        </w:numPr>
      </w:pPr>
      <w:r>
        <w:rPr>
          <w:rStyle w:val="VerbatimChar"/>
        </w:rPr>
        <w:t xml:space="preserve">mail-type=ALL</w:t>
      </w:r>
      <w:r>
        <w:t xml:space="preserve">: Receive all types of email notification (e.g., when job starts, fails, ends)</w:t>
      </w:r>
    </w:p>
    <w:p>
      <w:pPr>
        <w:pStyle w:val="Compact"/>
        <w:numPr>
          <w:ilvl w:val="0"/>
          <w:numId w:val="1062"/>
        </w:numPr>
      </w:pPr>
      <w:r>
        <w:rPr>
          <w:rStyle w:val="VerbatimChar"/>
        </w:rPr>
        <w:t xml:space="preserve">cpus-per-task=16</w:t>
      </w:r>
      <w:r>
        <w:t xml:space="preserve">: Request 16 processors per task. The default is one processor per task.</w:t>
      </w:r>
    </w:p>
    <w:p>
      <w:pPr>
        <w:pStyle w:val="Compact"/>
        <w:numPr>
          <w:ilvl w:val="0"/>
          <w:numId w:val="1062"/>
        </w:numPr>
      </w:pPr>
      <w:r>
        <w:rPr>
          <w:rStyle w:val="VerbatimChar"/>
        </w:rPr>
        <w:t xml:space="preserve">mem=64G</w:t>
      </w:r>
      <w:r>
        <w:t xml:space="preserve">: Request 64 GB memory per node.</w:t>
      </w:r>
    </w:p>
    <w:p>
      <w:pPr>
        <w:pStyle w:val="Compact"/>
        <w:numPr>
          <w:ilvl w:val="0"/>
          <w:numId w:val="10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56"/>
    <w:bookmarkEnd w:id="257"/>
    <w:bookmarkStart w:id="269" w:name="checklists"/>
    <w:p>
      <w:pPr>
        <w:pStyle w:val="Heading1"/>
      </w:pPr>
      <w:r>
        <w:t xml:space="preserve">17. Checklists</w:t>
      </w:r>
    </w:p>
    <w:p>
      <w:pPr>
        <w:pStyle w:val="FirstParagraph"/>
      </w:pPr>
      <w:r>
        <w:t xml:space="preserve">Adapted by UCD-SeRG team from</w:t>
      </w:r>
      <w:r>
        <w:t xml:space="preserve"> </w:t>
      </w:r>
      <w:hyperlink r:id="rId258">
        <w:r>
          <w:rPr>
            <w:rStyle w:val="Hyperlink"/>
          </w:rPr>
          <w:t xml:space="preserve">original by Jade Benjamin-Chung</w:t>
        </w:r>
      </w:hyperlink>
    </w:p>
    <w:bookmarkStart w:id="259" w:name="pre-analysis-plan-checklist"/>
    <w:p>
      <w:pPr>
        <w:pStyle w:val="Heading2"/>
      </w:pPr>
      <w:r>
        <w:t xml:space="preserve">17.1 Pre-analysis plan checklist</w:t>
      </w:r>
    </w:p>
    <w:p>
      <w:pPr>
        <w:pStyle w:val="Compact"/>
        <w:numPr>
          <w:ilvl w:val="0"/>
          <w:numId w:val="1063"/>
        </w:numPr>
      </w:pPr>
      <w:r>
        <w:t xml:space="preserve">Brief background on the study (a condensed version of the introduction section of the paper)</w:t>
      </w:r>
    </w:p>
    <w:p>
      <w:pPr>
        <w:pStyle w:val="Compact"/>
        <w:numPr>
          <w:ilvl w:val="0"/>
          <w:numId w:val="1063"/>
        </w:numPr>
      </w:pPr>
      <w:r>
        <w:t xml:space="preserve">Hypotheses / objectives</w:t>
      </w:r>
    </w:p>
    <w:p>
      <w:pPr>
        <w:pStyle w:val="Compact"/>
        <w:numPr>
          <w:ilvl w:val="0"/>
          <w:numId w:val="1063"/>
        </w:numPr>
      </w:pPr>
      <w:r>
        <w:t xml:space="preserve">Study design</w:t>
      </w:r>
    </w:p>
    <w:p>
      <w:pPr>
        <w:pStyle w:val="Compact"/>
        <w:numPr>
          <w:ilvl w:val="0"/>
          <w:numId w:val="1063"/>
        </w:numPr>
      </w:pPr>
      <w:r>
        <w:t xml:space="preserve">Description of data</w:t>
      </w:r>
    </w:p>
    <w:p>
      <w:pPr>
        <w:pStyle w:val="Compact"/>
        <w:numPr>
          <w:ilvl w:val="0"/>
          <w:numId w:val="1063"/>
        </w:numPr>
      </w:pPr>
      <w:r>
        <w:t xml:space="preserve">Definition of outcomes</w:t>
      </w:r>
    </w:p>
    <w:p>
      <w:pPr>
        <w:pStyle w:val="Compact"/>
        <w:numPr>
          <w:ilvl w:val="0"/>
          <w:numId w:val="1063"/>
        </w:numPr>
      </w:pPr>
      <w:r>
        <w:t xml:space="preserve">Definition of interventions / exposures</w:t>
      </w:r>
    </w:p>
    <w:p>
      <w:pPr>
        <w:pStyle w:val="Compact"/>
        <w:numPr>
          <w:ilvl w:val="0"/>
          <w:numId w:val="1063"/>
        </w:numPr>
      </w:pPr>
      <w:r>
        <w:t xml:space="preserve">Definition of covariates</w:t>
      </w:r>
    </w:p>
    <w:p>
      <w:pPr>
        <w:pStyle w:val="Compact"/>
        <w:numPr>
          <w:ilvl w:val="0"/>
          <w:numId w:val="1063"/>
        </w:numPr>
      </w:pPr>
      <w:r>
        <w:t xml:space="preserve">Statistical power calculation</w:t>
      </w:r>
    </w:p>
    <w:p>
      <w:pPr>
        <w:pStyle w:val="Compact"/>
        <w:numPr>
          <w:ilvl w:val="0"/>
          <w:numId w:val="1063"/>
        </w:numPr>
      </w:pPr>
      <w:r>
        <w:t xml:space="preserve">Statistical model description</w:t>
      </w:r>
    </w:p>
    <w:p>
      <w:pPr>
        <w:pStyle w:val="Compact"/>
        <w:numPr>
          <w:ilvl w:val="0"/>
          <w:numId w:val="1063"/>
        </w:numPr>
      </w:pPr>
      <w:r>
        <w:t xml:space="preserve">Covariate selection / screening</w:t>
      </w:r>
    </w:p>
    <w:p>
      <w:pPr>
        <w:pStyle w:val="Compact"/>
        <w:numPr>
          <w:ilvl w:val="0"/>
          <w:numId w:val="1063"/>
        </w:numPr>
      </w:pPr>
      <w:r>
        <w:t xml:space="preserve">Standard error estimation method</w:t>
      </w:r>
    </w:p>
    <w:p>
      <w:pPr>
        <w:pStyle w:val="Compact"/>
        <w:numPr>
          <w:ilvl w:val="0"/>
          <w:numId w:val="1063"/>
        </w:numPr>
      </w:pPr>
      <w:r>
        <w:t xml:space="preserve">Missing data analysis</w:t>
      </w:r>
    </w:p>
    <w:p>
      <w:pPr>
        <w:pStyle w:val="Compact"/>
        <w:numPr>
          <w:ilvl w:val="0"/>
          <w:numId w:val="1063"/>
        </w:numPr>
      </w:pPr>
      <w:r>
        <w:t xml:space="preserve">Assessment of effect modification / subgroup analyses</w:t>
      </w:r>
    </w:p>
    <w:p>
      <w:pPr>
        <w:pStyle w:val="Compact"/>
        <w:numPr>
          <w:ilvl w:val="0"/>
          <w:numId w:val="1063"/>
        </w:numPr>
      </w:pPr>
      <w:r>
        <w:t xml:space="preserve">Sensitivity analyses</w:t>
      </w:r>
    </w:p>
    <w:p>
      <w:pPr>
        <w:pStyle w:val="Compact"/>
        <w:numPr>
          <w:ilvl w:val="0"/>
          <w:numId w:val="1063"/>
        </w:numPr>
      </w:pPr>
      <w:r>
        <w:t xml:space="preserve">Negative control analyses</w:t>
      </w:r>
    </w:p>
    <w:bookmarkEnd w:id="259"/>
    <w:bookmarkStart w:id="260" w:name="code-checklist"/>
    <w:p>
      <w:pPr>
        <w:pStyle w:val="Heading2"/>
      </w:pPr>
      <w:r>
        <w:t xml:space="preserve">17.2 Code checklist</w:t>
      </w:r>
    </w:p>
    <w:p>
      <w:pPr>
        <w:pStyle w:val="Compact"/>
        <w:numPr>
          <w:ilvl w:val="0"/>
          <w:numId w:val="1064"/>
        </w:numPr>
      </w:pPr>
      <w:r>
        <w:t xml:space="preserve">Does the script run without errors?</w:t>
      </w:r>
    </w:p>
    <w:p>
      <w:pPr>
        <w:pStyle w:val="Compact"/>
        <w:numPr>
          <w:ilvl w:val="0"/>
          <w:numId w:val="1064"/>
        </w:numPr>
      </w:pPr>
      <w:r>
        <w:t xml:space="preserve">Is code self-contained within repo and/or associated Box folder?</w:t>
      </w:r>
    </w:p>
    <w:p>
      <w:pPr>
        <w:pStyle w:val="Compact"/>
        <w:numPr>
          <w:ilvl w:val="0"/>
          <w:numId w:val="1064"/>
        </w:numPr>
      </w:pPr>
      <w:r>
        <w:t xml:space="preserve">Is all commented out code / remarks removed?</w:t>
      </w:r>
    </w:p>
    <w:p>
      <w:pPr>
        <w:pStyle w:val="Compact"/>
        <w:numPr>
          <w:ilvl w:val="0"/>
          <w:numId w:val="1064"/>
        </w:numPr>
      </w:pPr>
      <w:r>
        <w:t xml:space="preserve">Does the header accurately describe the process completed in the script?</w:t>
      </w:r>
    </w:p>
    <w:p>
      <w:pPr>
        <w:pStyle w:val="Compact"/>
        <w:numPr>
          <w:ilvl w:val="0"/>
          <w:numId w:val="1064"/>
        </w:numPr>
      </w:pPr>
      <w:r>
        <w:t xml:space="preserve">Is the script pushed to its github repository?</w:t>
      </w:r>
    </w:p>
    <w:p>
      <w:pPr>
        <w:pStyle w:val="Compact"/>
        <w:numPr>
          <w:ilvl w:val="0"/>
          <w:numId w:val="1064"/>
        </w:numPr>
      </w:pPr>
      <w:r>
        <w:t xml:space="preserve">Does the code adhere to the</w:t>
      </w:r>
      <w:r>
        <w:t xml:space="preserve"> </w:t>
      </w:r>
      <w:hyperlink r:id="rId132">
        <w:r>
          <w:rPr>
            <w:rStyle w:val="Hyperlink"/>
          </w:rPr>
          <w:t xml:space="preserve">coding style guide</w:t>
        </w:r>
      </w:hyperlink>
      <w:r>
        <w:t xml:space="preserve">?</w:t>
      </w:r>
    </w:p>
    <w:p>
      <w:pPr>
        <w:pStyle w:val="Compact"/>
        <w:numPr>
          <w:ilvl w:val="0"/>
          <w:numId w:val="1064"/>
        </w:numPr>
      </w:pPr>
      <w:r>
        <w:t xml:space="preserve">Are all warnings ignorable? Should any warnings be intentionally suppressed or addressed?</w:t>
      </w:r>
    </w:p>
    <w:bookmarkEnd w:id="260"/>
    <w:bookmarkStart w:id="26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261">
        <w:r>
          <w:rPr>
            <w:rStyle w:val="Hyperlink"/>
            <w:i/>
            <w:iCs/>
          </w:rPr>
          <w:t xml:space="preserve">this article</w:t>
        </w:r>
      </w:hyperlink>
      <w:r>
        <w:rPr>
          <w:i/>
          <w:iCs/>
        </w:rPr>
        <w:t xml:space="preserve">.</w:t>
      </w:r>
    </w:p>
    <w:p>
      <w:pPr>
        <w:pStyle w:val="Compact"/>
        <w:numPr>
          <w:ilvl w:val="0"/>
          <w:numId w:val="106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65"/>
        </w:numPr>
      </w:pPr>
      <w:r>
        <w:t xml:space="preserve">Are the study results within the manuscript replicable (i.e., if you rerun the code in the study’s repository, the tables and figures will be exactly replicated?)</w:t>
      </w:r>
    </w:p>
    <w:p>
      <w:pPr>
        <w:pStyle w:val="Compact"/>
        <w:numPr>
          <w:ilvl w:val="0"/>
          <w:numId w:val="1065"/>
        </w:numPr>
      </w:pPr>
      <w:r>
        <w:t xml:space="preserve">Is a target journal selected?</w:t>
      </w:r>
    </w:p>
    <w:p>
      <w:pPr>
        <w:pStyle w:val="Compact"/>
        <w:numPr>
          <w:ilvl w:val="0"/>
          <w:numId w:val="1065"/>
        </w:numPr>
      </w:pPr>
      <w:r>
        <w:t xml:space="preserve">Is the title declarative, in other words, does it state the object/findings rather than suggest them?</w:t>
      </w:r>
    </w:p>
    <w:p>
      <w:pPr>
        <w:pStyle w:val="Compact"/>
        <w:numPr>
          <w:ilvl w:val="0"/>
          <w:numId w:val="1065"/>
        </w:numPr>
      </w:pPr>
      <w:r>
        <w:t xml:space="preserve">Is the word count of the manuscript close to the target journal’s allowance?</w:t>
      </w:r>
    </w:p>
    <w:p>
      <w:pPr>
        <w:pStyle w:val="Compact"/>
        <w:numPr>
          <w:ilvl w:val="0"/>
          <w:numId w:val="1065"/>
        </w:numPr>
      </w:pPr>
      <w:r>
        <w:t xml:space="preserve">Does the manuscript adhere to the formatting guide of the target journal?</w:t>
      </w:r>
    </w:p>
    <w:p>
      <w:pPr>
        <w:pStyle w:val="Compact"/>
        <w:numPr>
          <w:ilvl w:val="0"/>
          <w:numId w:val="1065"/>
        </w:numPr>
      </w:pPr>
      <w:r>
        <w:t xml:space="preserve">Does the manuscript use a consistent voice (passive or active – usually active is preferred … pun intended)?</w:t>
      </w:r>
    </w:p>
    <w:p>
      <w:pPr>
        <w:pStyle w:val="Compact"/>
        <w:numPr>
          <w:ilvl w:val="0"/>
          <w:numId w:val="1065"/>
        </w:numPr>
      </w:pPr>
      <w:r>
        <w:t xml:space="preserve">Is each figure and table (including supplementary material) referenced in the main text?</w:t>
      </w:r>
    </w:p>
    <w:p>
      <w:pPr>
        <w:pStyle w:val="Compact"/>
        <w:numPr>
          <w:ilvl w:val="0"/>
          <w:numId w:val="1065"/>
        </w:numPr>
      </w:pPr>
      <w:r>
        <w:t xml:space="preserve">Is there a caption for each figure and table (including supplementary material)?</w:t>
      </w:r>
    </w:p>
    <w:p>
      <w:pPr>
        <w:pStyle w:val="Compact"/>
        <w:numPr>
          <w:ilvl w:val="0"/>
          <w:numId w:val="1065"/>
        </w:numPr>
      </w:pPr>
      <w:r>
        <w:t xml:space="preserve">Are tables/figures and supplementary material numbered in accordance with their appearance in the main text?</w:t>
      </w:r>
    </w:p>
    <w:p>
      <w:pPr>
        <w:pStyle w:val="Compact"/>
        <w:numPr>
          <w:ilvl w:val="0"/>
          <w:numId w:val="1065"/>
        </w:numPr>
      </w:pPr>
      <w:r>
        <w:t xml:space="preserve">Does the text use past tense if it is reporting research findings or future tense if it is a study protocol?</w:t>
      </w:r>
    </w:p>
    <w:p>
      <w:pPr>
        <w:pStyle w:val="Compact"/>
        <w:numPr>
          <w:ilvl w:val="0"/>
          <w:numId w:val="10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65"/>
        </w:numPr>
      </w:pPr>
      <w:r>
        <w:t xml:space="preserve">Does the text use minimal abbreviations, and are all abbreviations defined at first use?</w:t>
      </w:r>
    </w:p>
    <w:p>
      <w:pPr>
        <w:pStyle w:val="Compact"/>
        <w:numPr>
          <w:ilvl w:val="0"/>
          <w:numId w:val="10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62">
        <w:r>
          <w:rPr>
            <w:rStyle w:val="Hyperlink"/>
          </w:rPr>
          <w:t xml:space="preserve">here</w:t>
        </w:r>
      </w:hyperlink>
      <w:r>
        <w:t xml:space="preserve">)</w:t>
      </w:r>
    </w:p>
    <w:p>
      <w:pPr>
        <w:pStyle w:val="Compact"/>
        <w:numPr>
          <w:ilvl w:val="0"/>
          <w:numId w:val="1065"/>
        </w:numPr>
      </w:pPr>
      <w:r>
        <w:t xml:space="preserve">Have you drafted author contributions? Do they follow the</w:t>
      </w:r>
      <w:r>
        <w:t xml:space="preserve"> </w:t>
      </w:r>
      <w:hyperlink r:id="rId263">
        <w:r>
          <w:rPr>
            <w:rStyle w:val="Hyperlink"/>
          </w:rPr>
          <w:t xml:space="preserve">CRediT Taxonomy</w:t>
        </w:r>
      </w:hyperlink>
      <w:r>
        <w:t xml:space="preserve"> </w:t>
      </w:r>
      <w:r>
        <w:t xml:space="preserve">for author contributions?</w:t>
      </w:r>
    </w:p>
    <w:bookmarkEnd w:id="264"/>
    <w:bookmarkStart w:id="268" w:name="figure-checklist"/>
    <w:p>
      <w:pPr>
        <w:pStyle w:val="Heading2"/>
      </w:pPr>
      <w:r>
        <w:t xml:space="preserve">17.4 Figure checklist</w:t>
      </w:r>
    </w:p>
    <w:p>
      <w:pPr>
        <w:pStyle w:val="Compact"/>
        <w:numPr>
          <w:ilvl w:val="0"/>
          <w:numId w:val="1066"/>
        </w:numPr>
      </w:pPr>
      <w:r>
        <w:t xml:space="preserve">Are the x-axis and y-axis labeled?</w:t>
      </w:r>
    </w:p>
    <w:p>
      <w:pPr>
        <w:pStyle w:val="Compact"/>
        <w:numPr>
          <w:ilvl w:val="0"/>
          <w:numId w:val="1066"/>
        </w:numPr>
      </w:pPr>
      <w:r>
        <w:t xml:space="preserve">If the figure includes panels, is each panel labeled?</w:t>
      </w:r>
    </w:p>
    <w:p>
      <w:pPr>
        <w:pStyle w:val="Compact"/>
        <w:numPr>
          <w:ilvl w:val="0"/>
          <w:numId w:val="1066"/>
        </w:numPr>
      </w:pPr>
      <w:r>
        <w:t xml:space="preserve">Are there sufficient numerical / text labels and breaks on the x-axis and y-axis?</w:t>
      </w:r>
    </w:p>
    <w:p>
      <w:pPr>
        <w:pStyle w:val="Compact"/>
        <w:numPr>
          <w:ilvl w:val="0"/>
          <w:numId w:val="1066"/>
        </w:numPr>
      </w:pPr>
      <w:r>
        <w:t xml:space="preserve">Is the font size appropriate (i.e., large enough to read, not so large that it distracts from the data presented in the figure?)</w:t>
      </w:r>
    </w:p>
    <w:p>
      <w:pPr>
        <w:pStyle w:val="Compact"/>
        <w:numPr>
          <w:ilvl w:val="0"/>
          <w:numId w:val="1066"/>
        </w:numPr>
      </w:pPr>
      <w:r>
        <w:t xml:space="preserve">Are the colors used colorblind friendly? See a colorblind-friendly palette</w:t>
      </w:r>
      <w:r>
        <w:t xml:space="preserve"> </w:t>
      </w:r>
      <w:hyperlink r:id="rId265">
        <w:r>
          <w:rPr>
            <w:rStyle w:val="Hyperlink"/>
          </w:rPr>
          <w:t xml:space="preserve">here</w:t>
        </w:r>
      </w:hyperlink>
      <w:r>
        <w:t xml:space="preserve">, a neat palette generator with colorblind options</w:t>
      </w:r>
      <w:r>
        <w:t xml:space="preserve"> </w:t>
      </w:r>
      <w:hyperlink r:id="rId266">
        <w:r>
          <w:rPr>
            <w:rStyle w:val="Hyperlink"/>
          </w:rPr>
          <w:t xml:space="preserve">here</w:t>
        </w:r>
      </w:hyperlink>
      <w:r>
        <w:t xml:space="preserve">, and an article on why this matters</w:t>
      </w:r>
      <w:r>
        <w:t xml:space="preserve"> </w:t>
      </w:r>
      <w:hyperlink r:id="rId267">
        <w:r>
          <w:rPr>
            <w:rStyle w:val="Hyperlink"/>
          </w:rPr>
          <w:t xml:space="preserve">here</w:t>
        </w:r>
      </w:hyperlink>
    </w:p>
    <w:p>
      <w:pPr>
        <w:pStyle w:val="Compact"/>
        <w:numPr>
          <w:ilvl w:val="0"/>
          <w:numId w:val="1066"/>
        </w:numPr>
      </w:pPr>
      <w:r>
        <w:t xml:space="preserve">Are colors/shapes/line types defined in a legend?</w:t>
      </w:r>
    </w:p>
    <w:p>
      <w:pPr>
        <w:pStyle w:val="Compact"/>
        <w:numPr>
          <w:ilvl w:val="0"/>
          <w:numId w:val="1066"/>
        </w:numPr>
      </w:pPr>
      <w:r>
        <w:t xml:space="preserve">Are the legends and other labels easy to understand with minimal abbreviations?</w:t>
      </w:r>
    </w:p>
    <w:p>
      <w:pPr>
        <w:pStyle w:val="Compact"/>
        <w:numPr>
          <w:ilvl w:val="0"/>
          <w:numId w:val="1066"/>
        </w:numPr>
      </w:pPr>
      <w:r>
        <w:t xml:space="preserve">If there is overplotting, is transparency used to show overlapping data?</w:t>
      </w:r>
    </w:p>
    <w:p>
      <w:pPr>
        <w:pStyle w:val="Compact"/>
        <w:numPr>
          <w:ilvl w:val="0"/>
          <w:numId w:val="1066"/>
        </w:numPr>
      </w:pPr>
      <w:r>
        <w:t xml:space="preserve">Are 95% confidence intervals or other measures of precision shown, if applicable?</w:t>
      </w:r>
    </w:p>
    <w:bookmarkEnd w:id="268"/>
    <w:bookmarkEnd w:id="269"/>
    <w:bookmarkStart w:id="307" w:name="resources"/>
    <w:p>
      <w:pPr>
        <w:pStyle w:val="Heading1"/>
      </w:pPr>
      <w:r>
        <w:t xml:space="preserve">18. Resources</w:t>
      </w:r>
    </w:p>
    <w:p>
      <w:pPr>
        <w:pStyle w:val="FirstParagraph"/>
      </w:pPr>
      <w:r>
        <w:t xml:space="preserve">Adapted by UCD-SeRG team from</w:t>
      </w:r>
      <w:r>
        <w:t xml:space="preserve"> </w:t>
      </w:r>
      <w:hyperlink r:id="rId270">
        <w:r>
          <w:rPr>
            <w:rStyle w:val="Hyperlink"/>
          </w:rPr>
          <w:t xml:space="preserve">original by Jade Benjamin-Chung and Kunal Mishra</w:t>
        </w:r>
      </w:hyperlink>
    </w:p>
    <w:bookmarkStart w:id="282" w:name="resources-for-r"/>
    <w:p>
      <w:pPr>
        <w:pStyle w:val="Heading2"/>
      </w:pPr>
      <w:r>
        <w:t xml:space="preserve">18.1 Resources for R</w:t>
      </w:r>
    </w:p>
    <w:p>
      <w:pPr>
        <w:pStyle w:val="Compact"/>
        <w:numPr>
          <w:ilvl w:val="0"/>
          <w:numId w:val="1067"/>
        </w:numPr>
      </w:pPr>
      <w:hyperlink r:id="rId271">
        <w:r>
          <w:rPr>
            <w:rStyle w:val="Hyperlink"/>
          </w:rPr>
          <w:t xml:space="preserve">dplyr and tidyr cheat sheet</w:t>
        </w:r>
      </w:hyperlink>
    </w:p>
    <w:p>
      <w:pPr>
        <w:pStyle w:val="Compact"/>
        <w:numPr>
          <w:ilvl w:val="0"/>
          <w:numId w:val="1067"/>
        </w:numPr>
      </w:pPr>
      <w:hyperlink r:id="rId272">
        <w:r>
          <w:rPr>
            <w:rStyle w:val="Hyperlink"/>
          </w:rPr>
          <w:t xml:space="preserve">ggplot cheat sheet</w:t>
        </w:r>
      </w:hyperlink>
    </w:p>
    <w:p>
      <w:pPr>
        <w:pStyle w:val="Compact"/>
        <w:numPr>
          <w:ilvl w:val="0"/>
          <w:numId w:val="1067"/>
        </w:numPr>
      </w:pPr>
      <w:hyperlink r:id="rId273">
        <w:r>
          <w:rPr>
            <w:rStyle w:val="Hyperlink"/>
          </w:rPr>
          <w:t xml:space="preserve">data table cheat sheet</w:t>
        </w:r>
      </w:hyperlink>
    </w:p>
    <w:p>
      <w:pPr>
        <w:pStyle w:val="Compact"/>
        <w:numPr>
          <w:ilvl w:val="0"/>
          <w:numId w:val="1067"/>
        </w:numPr>
      </w:pPr>
      <w:hyperlink r:id="rId274">
        <w:r>
          <w:rPr>
            <w:rStyle w:val="Hyperlink"/>
          </w:rPr>
          <w:t xml:space="preserve">RMarkdown cheat sheet</w:t>
        </w:r>
      </w:hyperlink>
    </w:p>
    <w:p>
      <w:pPr>
        <w:pStyle w:val="Compact"/>
        <w:numPr>
          <w:ilvl w:val="0"/>
          <w:numId w:val="1067"/>
        </w:numPr>
      </w:pPr>
      <w:hyperlink r:id="rId275">
        <w:r>
          <w:rPr>
            <w:rStyle w:val="Hyperlink"/>
          </w:rPr>
          <w:t xml:space="preserve">Hadley Wickham’s R Style Guide</w:t>
        </w:r>
      </w:hyperlink>
    </w:p>
    <w:p>
      <w:pPr>
        <w:pStyle w:val="Compact"/>
        <w:numPr>
          <w:ilvl w:val="0"/>
          <w:numId w:val="1067"/>
        </w:numPr>
      </w:pPr>
      <w:hyperlink r:id="rId276">
        <w:r>
          <w:rPr>
            <w:rStyle w:val="Hyperlink"/>
          </w:rPr>
          <w:t xml:space="preserve">Jade’s R-for-epi course</w:t>
        </w:r>
      </w:hyperlink>
    </w:p>
    <w:p>
      <w:pPr>
        <w:pStyle w:val="Compact"/>
        <w:numPr>
          <w:ilvl w:val="0"/>
          <w:numId w:val="1067"/>
        </w:numPr>
      </w:pPr>
      <w:hyperlink r:id="rId277">
        <w:r>
          <w:rPr>
            <w:rStyle w:val="Hyperlink"/>
          </w:rPr>
          <w:t xml:space="preserve">Tidy Eval in 5 Minutes</w:t>
        </w:r>
      </w:hyperlink>
      <w:r>
        <w:t xml:space="preserve"> </w:t>
      </w:r>
      <w:r>
        <w:t xml:space="preserve">(video)</w:t>
      </w:r>
    </w:p>
    <w:p>
      <w:pPr>
        <w:pStyle w:val="Compact"/>
        <w:numPr>
          <w:ilvl w:val="0"/>
          <w:numId w:val="1067"/>
        </w:numPr>
      </w:pPr>
      <w:hyperlink r:id="rId278">
        <w:r>
          <w:rPr>
            <w:rStyle w:val="Hyperlink"/>
          </w:rPr>
          <w:t xml:space="preserve">Tidy Evaluation</w:t>
        </w:r>
      </w:hyperlink>
      <w:r>
        <w:t xml:space="preserve"> </w:t>
      </w:r>
      <w:r>
        <w:t xml:space="preserve">(e-book)</w:t>
      </w:r>
    </w:p>
    <w:p>
      <w:pPr>
        <w:pStyle w:val="Compact"/>
        <w:numPr>
          <w:ilvl w:val="0"/>
          <w:numId w:val="1067"/>
        </w:numPr>
      </w:pPr>
      <w:hyperlink r:id="rId279">
        <w:r>
          <w:rPr>
            <w:rStyle w:val="Hyperlink"/>
          </w:rPr>
          <w:t xml:space="preserve">Data Frame Columns as Arguments to Dplyr Functions</w:t>
        </w:r>
      </w:hyperlink>
      <w:r>
        <w:t xml:space="preserve"> </w:t>
      </w:r>
      <w:r>
        <w:t xml:space="preserve">(blog)</w:t>
      </w:r>
    </w:p>
    <w:p>
      <w:pPr>
        <w:pStyle w:val="Compact"/>
        <w:numPr>
          <w:ilvl w:val="0"/>
          <w:numId w:val="1067"/>
        </w:numPr>
      </w:pPr>
      <w:hyperlink r:id="rId280">
        <w:r>
          <w:rPr>
            <w:rStyle w:val="Hyperlink"/>
          </w:rPr>
          <w:t xml:space="preserve">Standard Evaluation for *_join</w:t>
        </w:r>
      </w:hyperlink>
      <w:r>
        <w:t xml:space="preserve"> </w:t>
      </w:r>
      <w:r>
        <w:t xml:space="preserve">(stackoverflow)</w:t>
      </w:r>
    </w:p>
    <w:p>
      <w:pPr>
        <w:pStyle w:val="Compact"/>
        <w:numPr>
          <w:ilvl w:val="0"/>
          <w:numId w:val="1067"/>
        </w:numPr>
      </w:pPr>
      <w:hyperlink r:id="rId281">
        <w:r>
          <w:rPr>
            <w:rStyle w:val="Hyperlink"/>
          </w:rPr>
          <w:t xml:space="preserve">Programming with dplyr</w:t>
        </w:r>
      </w:hyperlink>
      <w:r>
        <w:t xml:space="preserve"> </w:t>
      </w:r>
      <w:r>
        <w:t xml:space="preserve">(package vignette)</w:t>
      </w:r>
    </w:p>
    <w:bookmarkEnd w:id="282"/>
    <w:bookmarkStart w:id="285" w:name="resources-for-git-github"/>
    <w:p>
      <w:pPr>
        <w:pStyle w:val="Heading2"/>
      </w:pPr>
      <w:r>
        <w:t xml:space="preserve">18.2 Resources for Git &amp; Github</w:t>
      </w:r>
    </w:p>
    <w:p>
      <w:pPr>
        <w:pStyle w:val="Compact"/>
        <w:numPr>
          <w:ilvl w:val="0"/>
          <w:numId w:val="1068"/>
        </w:numPr>
      </w:pPr>
      <w:hyperlink r:id="rId283">
        <w:r>
          <w:rPr>
            <w:rStyle w:val="Hyperlink"/>
          </w:rPr>
          <w:t xml:space="preserve">Data Camp introduction to Git</w:t>
        </w:r>
      </w:hyperlink>
    </w:p>
    <w:p>
      <w:pPr>
        <w:pStyle w:val="Compact"/>
        <w:numPr>
          <w:ilvl w:val="0"/>
          <w:numId w:val="1068"/>
        </w:numPr>
      </w:pPr>
      <w:hyperlink r:id="rId284">
        <w:r>
          <w:rPr>
            <w:rStyle w:val="Hyperlink"/>
          </w:rPr>
          <w:t xml:space="preserve">Introduction to Github</w:t>
        </w:r>
      </w:hyperlink>
    </w:p>
    <w:bookmarkEnd w:id="285"/>
    <w:bookmarkStart w:id="287" w:name="scientific-figures"/>
    <w:p>
      <w:pPr>
        <w:pStyle w:val="Heading2"/>
      </w:pPr>
      <w:r>
        <w:t xml:space="preserve">18.3 Scientific figures</w:t>
      </w:r>
    </w:p>
    <w:p>
      <w:pPr>
        <w:pStyle w:val="Compact"/>
        <w:numPr>
          <w:ilvl w:val="0"/>
          <w:numId w:val="1069"/>
        </w:numPr>
      </w:pPr>
      <w:hyperlink r:id="rId286">
        <w:r>
          <w:rPr>
            <w:rStyle w:val="Hyperlink"/>
          </w:rPr>
          <w:t xml:space="preserve">Ten Simple Rules for Better Figures</w:t>
        </w:r>
      </w:hyperlink>
    </w:p>
    <w:bookmarkEnd w:id="287"/>
    <w:bookmarkStart w:id="292" w:name="writing"/>
    <w:p>
      <w:pPr>
        <w:pStyle w:val="Heading2"/>
      </w:pPr>
      <w:r>
        <w:t xml:space="preserve">18.4 Writing</w:t>
      </w:r>
    </w:p>
    <w:p>
      <w:pPr>
        <w:pStyle w:val="Compact"/>
        <w:numPr>
          <w:ilvl w:val="0"/>
          <w:numId w:val="1070"/>
        </w:numPr>
      </w:pPr>
      <w:hyperlink r:id="rId288">
        <w:r>
          <w:rPr>
            <w:rStyle w:val="Hyperlink"/>
          </w:rPr>
          <w:t xml:space="preserve">Tips on how to write a great science paper</w:t>
        </w:r>
      </w:hyperlink>
    </w:p>
    <w:p>
      <w:pPr>
        <w:pStyle w:val="Compact"/>
        <w:numPr>
          <w:ilvl w:val="0"/>
          <w:numId w:val="1070"/>
        </w:numPr>
      </w:pPr>
      <w:hyperlink r:id="rId31">
        <w:r>
          <w:rPr>
            <w:rStyle w:val="Hyperlink"/>
          </w:rPr>
          <w:t xml:space="preserve">ICMJE Definition of authorship</w:t>
        </w:r>
      </w:hyperlink>
    </w:p>
    <w:p>
      <w:pPr>
        <w:pStyle w:val="Compact"/>
        <w:numPr>
          <w:ilvl w:val="0"/>
          <w:numId w:val="1070"/>
        </w:numPr>
      </w:pPr>
      <w:hyperlink r:id="rId289">
        <w:r>
          <w:rPr>
            <w:rStyle w:val="Hyperlink"/>
          </w:rPr>
          <w:t xml:space="preserve">Nature article on elements of style for scientific writing</w:t>
        </w:r>
      </w:hyperlink>
    </w:p>
    <w:p>
      <w:pPr>
        <w:pStyle w:val="Compact"/>
        <w:numPr>
          <w:ilvl w:val="0"/>
          <w:numId w:val="1070"/>
        </w:numPr>
      </w:pPr>
      <w:hyperlink r:id="rId290">
        <w:r>
          <w:rPr>
            <w:rStyle w:val="Hyperlink"/>
          </w:rPr>
          <w:t xml:space="preserve">The Pathway to Publishing: A Guide to Quantitative Writing in the Health Sciences</w:t>
        </w:r>
      </w:hyperlink>
    </w:p>
    <w:p>
      <w:pPr>
        <w:pStyle w:val="Compact"/>
        <w:numPr>
          <w:ilvl w:val="0"/>
          <w:numId w:val="1070"/>
        </w:numPr>
      </w:pPr>
      <w:hyperlink r:id="rId291">
        <w:r>
          <w:rPr>
            <w:rStyle w:val="Hyperlink"/>
          </w:rPr>
          <w:t xml:space="preserve">Secret, actionable writing tips</w:t>
        </w:r>
      </w:hyperlink>
    </w:p>
    <w:bookmarkEnd w:id="292"/>
    <w:bookmarkStart w:id="297" w:name="presentations"/>
    <w:p>
      <w:pPr>
        <w:pStyle w:val="Heading2"/>
      </w:pPr>
      <w:r>
        <w:t xml:space="preserve">18.5 Presentations</w:t>
      </w:r>
    </w:p>
    <w:p>
      <w:pPr>
        <w:pStyle w:val="Compact"/>
        <w:numPr>
          <w:ilvl w:val="0"/>
          <w:numId w:val="1071"/>
        </w:numPr>
      </w:pPr>
      <w:hyperlink r:id="rId293">
        <w:r>
          <w:rPr>
            <w:rStyle w:val="Hyperlink"/>
          </w:rPr>
          <w:t xml:space="preserve">How to tell a compelling story in scientific presentations</w:t>
        </w:r>
      </w:hyperlink>
    </w:p>
    <w:p>
      <w:pPr>
        <w:pStyle w:val="Compact"/>
        <w:numPr>
          <w:ilvl w:val="0"/>
          <w:numId w:val="1071"/>
        </w:numPr>
      </w:pPr>
      <w:hyperlink r:id="rId294">
        <w:r>
          <w:rPr>
            <w:rStyle w:val="Hyperlink"/>
          </w:rPr>
          <w:t xml:space="preserve">How to give a killer narratively-driven scientific talk</w:t>
        </w:r>
      </w:hyperlink>
    </w:p>
    <w:p>
      <w:pPr>
        <w:pStyle w:val="Compact"/>
        <w:numPr>
          <w:ilvl w:val="0"/>
          <w:numId w:val="1071"/>
        </w:numPr>
      </w:pPr>
      <w:hyperlink r:id="rId295">
        <w:r>
          <w:rPr>
            <w:rStyle w:val="Hyperlink"/>
          </w:rPr>
          <w:t xml:space="preserve">How to make a better poster</w:t>
        </w:r>
      </w:hyperlink>
    </w:p>
    <w:p>
      <w:pPr>
        <w:pStyle w:val="Compact"/>
        <w:numPr>
          <w:ilvl w:val="0"/>
          <w:numId w:val="1071"/>
        </w:numPr>
      </w:pPr>
      <w:hyperlink r:id="rId296">
        <w:r>
          <w:rPr>
            <w:rStyle w:val="Hyperlink"/>
          </w:rPr>
          <w:t xml:space="preserve">How to make an even better poster</w:t>
        </w:r>
      </w:hyperlink>
    </w:p>
    <w:bookmarkEnd w:id="297"/>
    <w:bookmarkStart w:id="299" w:name="professional-advice"/>
    <w:p>
      <w:pPr>
        <w:pStyle w:val="Heading2"/>
      </w:pPr>
      <w:r>
        <w:t xml:space="preserve">18.6 Professional advice</w:t>
      </w:r>
    </w:p>
    <w:p>
      <w:pPr>
        <w:pStyle w:val="Compact"/>
        <w:numPr>
          <w:ilvl w:val="0"/>
          <w:numId w:val="1072"/>
        </w:numPr>
      </w:pPr>
      <w:hyperlink r:id="rId298">
        <w:r>
          <w:rPr>
            <w:rStyle w:val="Hyperlink"/>
          </w:rPr>
          <w:t xml:space="preserve">Professional advice, especially for your first job</w:t>
        </w:r>
      </w:hyperlink>
    </w:p>
    <w:bookmarkEnd w:id="299"/>
    <w:bookmarkStart w:id="302" w:name="funding"/>
    <w:p>
      <w:pPr>
        <w:pStyle w:val="Heading2"/>
      </w:pPr>
      <w:r>
        <w:t xml:space="preserve">18.7 Funding</w:t>
      </w:r>
    </w:p>
    <w:p>
      <w:pPr>
        <w:pStyle w:val="Compact"/>
        <w:numPr>
          <w:ilvl w:val="0"/>
          <w:numId w:val="1073"/>
        </w:numPr>
      </w:pPr>
      <w:hyperlink r:id="rId300">
        <w:r>
          <w:rPr>
            <w:rStyle w:val="Hyperlink"/>
          </w:rPr>
          <w:t xml:space="preserve">Building Your Funding Train</w:t>
        </w:r>
      </w:hyperlink>
    </w:p>
    <w:p>
      <w:pPr>
        <w:pStyle w:val="Compact"/>
        <w:numPr>
          <w:ilvl w:val="0"/>
          <w:numId w:val="1073"/>
        </w:numPr>
      </w:pPr>
      <w:hyperlink r:id="rId301">
        <w:r>
          <w:rPr>
            <w:rStyle w:val="Hyperlink"/>
          </w:rPr>
          <w:t xml:space="preserve">NIH Grant Writing Resources</w:t>
        </w:r>
      </w:hyperlink>
    </w:p>
    <w:bookmarkEnd w:id="302"/>
    <w:bookmarkStart w:id="306" w:name="ethics-and-global-health-research"/>
    <w:p>
      <w:pPr>
        <w:pStyle w:val="Heading2"/>
      </w:pPr>
      <w:r>
        <w:t xml:space="preserve">18.8 Ethics and global health research</w:t>
      </w:r>
    </w:p>
    <w:p>
      <w:pPr>
        <w:pStyle w:val="Compact"/>
        <w:numPr>
          <w:ilvl w:val="0"/>
          <w:numId w:val="1074"/>
        </w:numPr>
      </w:pPr>
      <w:hyperlink r:id="rId303">
        <w:r>
          <w:rPr>
            <w:rStyle w:val="Hyperlink"/>
          </w:rPr>
          <w:t xml:space="preserve">Global Code of Conduct For Research in Resource-Poor Settings</w:t>
        </w:r>
      </w:hyperlink>
    </w:p>
    <w:p>
      <w:pPr>
        <w:pStyle w:val="Compact"/>
        <w:numPr>
          <w:ilvl w:val="0"/>
          <w:numId w:val="1074"/>
        </w:numPr>
      </w:pPr>
      <w:hyperlink r:id="rId304">
        <w:r>
          <w:rPr>
            <w:rStyle w:val="Hyperlink"/>
          </w:rPr>
          <w:t xml:space="preserve">Who is a global health expert? Advice for aspiring global health experts</w:t>
        </w:r>
      </w:hyperlink>
    </w:p>
    <w:p>
      <w:pPr>
        <w:pStyle w:val="Compact"/>
        <w:numPr>
          <w:ilvl w:val="0"/>
          <w:numId w:val="1074"/>
        </w:numPr>
      </w:pPr>
      <w:hyperlink r:id="rId305">
        <w:r>
          <w:rPr>
            <w:rStyle w:val="Hyperlink"/>
          </w:rPr>
          <w:t xml:space="preserve">Transforming Global Health Partnerships</w:t>
        </w:r>
      </w:hyperlink>
    </w:p>
    <w:bookmarkEnd w:id="306"/>
    <w:bookmarkEnd w:id="3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77" Target="media/rId177.jpg" /><Relationship Type="http://schemas.openxmlformats.org/officeDocument/2006/relationships/image" Id="rId181" Target="media/rId181.png" /><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2026-01-10T06:31:33Z</dcterms:created>
  <dcterms:modified xsi:type="dcterms:W3CDTF">2026-01-10T06:31:33Z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