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8"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all R-based work. This provides benefits for reproducibility, collaboration, and code quality even for analysis-only projects.</w:t>
      </w:r>
    </w:p>
    <w:bookmarkStart w:id="75" w:name="project-structure"/>
    <w:p>
      <w:pPr>
        <w:pStyle w:val="Heading2"/>
      </w:pPr>
      <w:r>
        <w:t xml:space="preserve">5.1 Project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4"/>
        </w:numPr>
      </w:pPr>
      <w:r>
        <w:t xml:space="preserve">Analyses with restricted data are included in version control alongside your code</w:t>
      </w:r>
    </w:p>
    <w:p>
      <w:pPr>
        <w:pStyle w:val="Compact"/>
        <w:numPr>
          <w:ilvl w:val="0"/>
          <w:numId w:val="1014"/>
        </w:numPr>
      </w:pPr>
      <w:r>
        <w:t xml:space="preserve">They’re clearly separated from public documentation</w:t>
      </w:r>
    </w:p>
    <w:p>
      <w:pPr>
        <w:pStyle w:val="Compact"/>
        <w:numPr>
          <w:ilvl w:val="0"/>
          <w:numId w:val="1014"/>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4"/>
        </w:numPr>
      </w:pPr>
      <w:r>
        <w:t xml:space="preserve">Collaborators with data access can still run these analyses</w:t>
      </w:r>
    </w:p>
    <w:p>
      <w:pPr>
        <w:pStyle w:val="Compact"/>
        <w:numPr>
          <w:ilvl w:val="0"/>
          <w:numId w:val="1014"/>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5"/>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6"/>
        </w:numPr>
      </w:pPr>
      <w:r>
        <w:t xml:space="preserve">What data is required</w:t>
      </w:r>
    </w:p>
    <w:p>
      <w:pPr>
        <w:pStyle w:val="Compact"/>
        <w:numPr>
          <w:ilvl w:val="1"/>
          <w:numId w:val="1016"/>
        </w:numPr>
      </w:pPr>
      <w:r>
        <w:t xml:space="preserve">Where to obtain it (if permissible)</w:t>
      </w:r>
    </w:p>
    <w:p>
      <w:pPr>
        <w:pStyle w:val="Compact"/>
        <w:numPr>
          <w:ilvl w:val="1"/>
          <w:numId w:val="1016"/>
        </w:numPr>
      </w:pPr>
      <w:r>
        <w:t xml:space="preserve">Data access restrictions</w:t>
      </w:r>
    </w:p>
    <w:p>
      <w:pPr>
        <w:pStyle w:val="Compact"/>
        <w:numPr>
          <w:ilvl w:val="1"/>
          <w:numId w:val="1016"/>
        </w:numPr>
      </w:pPr>
      <w:r>
        <w:t xml:space="preserve">How to set up data paths</w:t>
      </w:r>
    </w:p>
    <w:p>
      <w:pPr>
        <w:pStyle w:val="Compact"/>
        <w:numPr>
          <w:ilvl w:val="0"/>
          <w:numId w:val="1015"/>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7"/>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8"/>
        </w:numPr>
      </w:pPr>
      <w:r>
        <w:t xml:space="preserve">Simulated data that mimics the structure</w:t>
      </w:r>
    </w:p>
    <w:p>
      <w:pPr>
        <w:pStyle w:val="Compact"/>
        <w:numPr>
          <w:ilvl w:val="1"/>
          <w:numId w:val="1018"/>
        </w:numPr>
      </w:pPr>
      <w:r>
        <w:t xml:space="preserve">Publicly available datasets</w:t>
      </w:r>
    </w:p>
    <w:p>
      <w:pPr>
        <w:pStyle w:val="Compact"/>
        <w:numPr>
          <w:ilvl w:val="1"/>
          <w:numId w:val="1018"/>
        </w:numPr>
      </w:pPr>
      <w:r>
        <w:t xml:space="preserve">Aggregated/de-identified summaries</w:t>
      </w:r>
    </w:p>
    <w:p>
      <w:pPr>
        <w:pStyle w:val="Compact"/>
        <w:numPr>
          <w:ilvl w:val="0"/>
          <w:numId w:val="1017"/>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9"/>
        </w:numPr>
      </w:pPr>
      <w:r>
        <w:t xml:space="preserve">Be clean, readable narratives of your analysis</w:t>
      </w:r>
    </w:p>
    <w:p>
      <w:pPr>
        <w:pStyle w:val="Compact"/>
        <w:numPr>
          <w:ilvl w:val="0"/>
          <w:numId w:val="1019"/>
        </w:numPr>
      </w:pPr>
      <w:r>
        <w:t xml:space="preserve">Call well-documented functions from your package</w:t>
      </w:r>
    </w:p>
    <w:p>
      <w:pPr>
        <w:pStyle w:val="Compact"/>
        <w:numPr>
          <w:ilvl w:val="0"/>
          <w:numId w:val="1019"/>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9"/>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2026-01-10T08:28:08Z</dcterms:created>
  <dcterms:modified xsi:type="dcterms:W3CDTF">2026-01-10T08:28:08Z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