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7"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8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278"/>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278"/>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278"/>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80"/>
    <w:bookmarkStart w:id="98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279"/>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279"/>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279"/>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81"/>
    <w:bookmarkStart w:id="98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280"/>
        </w:numPr>
      </w:pPr>
      <w:r>
        <w:rPr>
          <w:b/>
          <w:bCs/>
        </w:rPr>
        <w:t xml:space="preserve">Rejection is standard</w:t>
      </w:r>
      <w:r>
        <w:t xml:space="preserve">: High-impact journals reject many submissions;</w:t>
      </w:r>
      <w:r>
        <w:t xml:space="preserve"> </w:t>
      </w:r>
      <w:r>
        <w:t xml:space="preserve">rejection is an invitation to refine arguments and submit to a better-matched venue.</w:t>
      </w:r>
    </w:p>
    <w:p>
      <w:pPr>
        <w:pStyle w:val="Compact"/>
        <w:numPr>
          <w:ilvl w:val="0"/>
          <w:numId w:val="1280"/>
        </w:numPr>
      </w:pPr>
      <w:r>
        <w:rPr>
          <w:b/>
          <w:bCs/>
        </w:rPr>
        <w:t xml:space="preserve">Approaching reviewer feedback</w:t>
      </w:r>
      <w:r>
        <w:t xml:space="preserve">: Read peer reviews, step back for a day to process feedback,</w:t>
      </w:r>
      <w:r>
        <w:t xml:space="preserve"> </w:t>
      </w:r>
      <w:r>
        <w:t xml:space="preserve">and draft systematic, point-by-point response letters using the guidance in</w:t>
      </w:r>
      <w:r>
        <w:t xml:space="preserve"> </w:t>
      </w:r>
      <w:hyperlink w:anchor="sec-responding-to-peer-review">
        <w:r>
          <w:rPr>
            <w:rStyle w:val="Hyperlink"/>
          </w:rPr>
          <w:t xml:space="preserve">Section 24.2</w:t>
        </w:r>
      </w:hyperlink>
      <w:r>
        <w:t xml:space="preserve">.</w:t>
      </w:r>
    </w:p>
    <w:p>
      <w:pPr>
        <w:pStyle w:val="Compact"/>
        <w:numPr>
          <w:ilvl w:val="0"/>
          <w:numId w:val="1280"/>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82"/>
    <w:bookmarkStart w:id="98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281"/>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281"/>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281"/>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 reviewers, and lifelong allies.</w:t>
      </w:r>
    </w:p>
    <w:bookmarkEnd w:id="983"/>
    <w:bookmarkEnd w:id="984"/>
    <w:bookmarkStart w:id="98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85">
        <w:r>
          <w:rPr>
            <w:rStyle w:val="Hyperlink"/>
          </w:rPr>
          <w:t xml:space="preserve">How to tell a compelling story in scientific presentations</w:t>
        </w:r>
      </w:hyperlink>
    </w:p>
    <w:p>
      <w:pPr>
        <w:pStyle w:val="Compact"/>
        <w:numPr>
          <w:ilvl w:val="0"/>
          <w:numId w:val="1283"/>
        </w:numPr>
      </w:pPr>
      <w:hyperlink r:id="rId962">
        <w:r>
          <w:rPr>
            <w:rStyle w:val="Hyperlink"/>
          </w:rPr>
          <w:t xml:space="preserve">How to give a killer narratively-driven scientific talk</w:t>
        </w:r>
      </w:hyperlink>
    </w:p>
    <w:p>
      <w:pPr>
        <w:pStyle w:val="Compact"/>
        <w:numPr>
          <w:ilvl w:val="0"/>
          <w:numId w:val="1283"/>
        </w:numPr>
      </w:pPr>
      <w:hyperlink r:id="rId986">
        <w:r>
          <w:rPr>
            <w:rStyle w:val="Hyperlink"/>
          </w:rPr>
          <w:t xml:space="preserve">How to make a better poster</w:t>
        </w:r>
      </w:hyperlink>
    </w:p>
    <w:p>
      <w:pPr>
        <w:pStyle w:val="Compact"/>
        <w:numPr>
          <w:ilvl w:val="0"/>
          <w:numId w:val="1283"/>
        </w:numPr>
      </w:pPr>
      <w:hyperlink r:id="rId964">
        <w:r>
          <w:rPr>
            <w:rStyle w:val="Hyperlink"/>
          </w:rPr>
          <w:t xml:space="preserve">How to make an even better poster</w:t>
        </w:r>
      </w:hyperlink>
    </w:p>
    <w:bookmarkEnd w:id="987"/>
    <w:bookmarkStart w:id="99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90">
        <w:r>
          <w:rPr>
            <w:rStyle w:val="Hyperlink"/>
          </w:rPr>
          <w:t xml:space="preserve">Ten Simple Rules for Better Figures</w:t>
        </w:r>
      </w:hyperlink>
    </w:p>
    <w:bookmarkEnd w:id="991"/>
    <w:bookmarkStart w:id="993" w:name="grant-writing"/>
    <w:p>
      <w:pPr>
        <w:pStyle w:val="Heading2"/>
      </w:pPr>
      <w:r>
        <w:t xml:space="preserve">22.6 Grant Writing</w:t>
      </w:r>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69">
        <w:r>
          <w:rPr>
            <w:rStyle w:val="Hyperlink"/>
          </w:rPr>
          <w:t xml:space="preserve">Building Your Funding Train</w:t>
        </w:r>
      </w:hyperlink>
    </w:p>
    <w:p>
      <w:pPr>
        <w:pStyle w:val="Compact"/>
        <w:numPr>
          <w:ilvl w:val="0"/>
          <w:numId w:val="1287"/>
        </w:numPr>
      </w:pPr>
      <w:hyperlink r:id="rId992">
        <w:r>
          <w:rPr>
            <w:rStyle w:val="Hyperlink"/>
          </w:rPr>
          <w:t xml:space="preserve">NIH Funding Opportunities</w:t>
        </w:r>
      </w:hyperlink>
    </w:p>
    <w:p>
      <w:pPr>
        <w:pStyle w:val="Compact"/>
        <w:numPr>
          <w:ilvl w:val="0"/>
          <w:numId w:val="1287"/>
        </w:numPr>
      </w:pPr>
      <w:hyperlink r:id="rId970">
        <w:r>
          <w:rPr>
            <w:rStyle w:val="Hyperlink"/>
          </w:rPr>
          <w:t xml:space="preserve">NIH Grant Writing Resources</w:t>
        </w:r>
      </w:hyperlink>
    </w:p>
    <w:bookmarkEnd w:id="993"/>
    <w:bookmarkStart w:id="100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95"/>
    <w:bookmarkStart w:id="99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1000"/>
    <w:bookmarkStart w:id="100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22.7.6 Resources</w:t>
      </w:r>
    </w:p>
    <w:p>
      <w:pPr>
        <w:pStyle w:val="FirstParagraph"/>
      </w:pPr>
      <w:r>
        <w:rPr>
          <w:b/>
          <w:bCs/>
        </w:rPr>
        <w:t xml:space="preserve">Dissertation writing tools:</w:t>
      </w:r>
    </w:p>
    <w:p>
      <w:pPr>
        <w:pStyle w:val="Compact"/>
        <w:numPr>
          <w:ilvl w:val="0"/>
          <w:numId w:val="1292"/>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3"/>
    <w:bookmarkStart w:id="101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r>
        <w:rPr>
          <w:b/>
          <w:bCs/>
        </w:rPr>
        <w:t xml:space="preserve">Branch:</w:t>
      </w:r>
      <w:r>
        <w:t xml:space="preserve"> </w:t>
      </w:r>
      <w:r>
        <w:t xml:space="preserve">HEAD</w:t>
      </w:r>
    </w:p>
    <w:p>
      <w:pPr>
        <w:pStyle w:val="Compact"/>
        <w:numPr>
          <w:ilvl w:val="0"/>
          <w:numId w:val="1322"/>
        </w:numPr>
      </w:pPr>
      <w:r>
        <w:rPr>
          <w:b/>
          <w:bCs/>
        </w:rPr>
        <w:t xml:space="preserve">Commit:</w:t>
      </w:r>
      <w:r>
        <w:t xml:space="preserve"> </w:t>
      </w:r>
      <w:r>
        <w:t xml:space="preserve">12734bf</w:t>
      </w:r>
    </w:p>
    <w:p>
      <w:pPr>
        <w:pStyle w:val="Compact"/>
        <w:numPr>
          <w:ilvl w:val="0"/>
          <w:numId w:val="1322"/>
        </w:numPr>
      </w:pPr>
      <w:r>
        <w:rPr>
          <w:b/>
          <w:bCs/>
        </w:rPr>
        <w:t xml:space="preserve">Full commit hash:</w:t>
      </w:r>
      <w:r>
        <w:t xml:space="preserve"> </w:t>
      </w:r>
      <w:r>
        <w:t xml:space="preserve">12734bf32cc87f3b8e0cd4a37b5d5a3fbecf82c3</w:t>
      </w:r>
    </w:p>
    <w:p>
      <w:pPr>
        <w:pStyle w:val="Compact"/>
        <w:numPr>
          <w:ilvl w:val="0"/>
          <w:numId w:val="1322"/>
        </w:numPr>
      </w:pPr>
      <w:r>
        <w:rPr>
          <w:b/>
          <w:bCs/>
        </w:rPr>
        <w:t xml:space="preserve">Commit date:</w:t>
      </w:r>
      <w:r>
        <w:t xml:space="preserve"> </w:t>
      </w:r>
      <w:r>
        <w:t xml:space="preserve">2026-09-01 12:18:25 -0700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2026-09-01T19:24:10Z</dcterms:created>
  <dcterms:modified xsi:type="dcterms:W3CDTF">2026-09-01T19:24:10Z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