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58"/>
        </w:numPr>
      </w:pPr>
      <w:r>
        <w:rPr>
          <w:rStyle w:val="VerbatimChar"/>
        </w:rPr>
        <w:t xml:space="preserve">cran.r-project.org</w:t>
      </w:r>
      <w:r>
        <w:t xml:space="preserve"> </w:t>
      </w:r>
      <w:r>
        <w:t xml:space="preserve">- The Comprehensive R Archive Network</w:t>
      </w:r>
    </w:p>
    <w:p>
      <w:pPr>
        <w:pStyle w:val="Compact"/>
        <w:numPr>
          <w:ilvl w:val="0"/>
          <w:numId w:val="1158"/>
        </w:numPr>
      </w:pPr>
      <w:r>
        <w:rPr>
          <w:rStyle w:val="VerbatimChar"/>
        </w:rPr>
        <w:t xml:space="preserve">cloud.r-project.org</w:t>
      </w:r>
      <w:r>
        <w:t xml:space="preserve"> </w:t>
      </w:r>
      <w:r>
        <w:t xml:space="preserve">- CRAN mirror (cloud-based)</w:t>
      </w:r>
    </w:p>
    <w:p>
      <w:pPr>
        <w:pStyle w:val="Compact"/>
        <w:numPr>
          <w:ilvl w:val="0"/>
          <w:numId w:val="11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0"/>
        </w:numPr>
      </w:pPr>
      <w:r>
        <w:rPr>
          <w:rStyle w:val="VerbatimChar"/>
        </w:rPr>
        <w:t xml:space="preserve">en.wikipedia.org</w:t>
      </w:r>
      <w:r>
        <w:t xml:space="preserve"> </w:t>
      </w:r>
      <w:r>
        <w:t xml:space="preserve">- General reference and technical documentation</w:t>
      </w:r>
    </w:p>
    <w:p>
      <w:pPr>
        <w:pStyle w:val="Compact"/>
        <w:numPr>
          <w:ilvl w:val="0"/>
          <w:numId w:val="1160"/>
        </w:numPr>
      </w:pPr>
      <w:r>
        <w:rPr>
          <w:rStyle w:val="VerbatimChar"/>
        </w:rPr>
        <w:t xml:space="preserve">r-project.org</w:t>
      </w:r>
      <w:r>
        <w:t xml:space="preserve"> </w:t>
      </w:r>
      <w:r>
        <w:t xml:space="preserve">- Official R project website</w:t>
      </w:r>
    </w:p>
    <w:p>
      <w:pPr>
        <w:pStyle w:val="Compact"/>
        <w:numPr>
          <w:ilvl w:val="0"/>
          <w:numId w:val="1160"/>
        </w:numPr>
      </w:pPr>
      <w:r>
        <w:rPr>
          <w:rStyle w:val="VerbatimChar"/>
        </w:rPr>
        <w:t xml:space="preserve">quarto.org</w:t>
      </w:r>
      <w:r>
        <w:t xml:space="preserve"> </w:t>
      </w:r>
      <w:r>
        <w:t xml:space="preserve">- Quarto publishing system documentation</w:t>
      </w:r>
    </w:p>
    <w:p>
      <w:pPr>
        <w:pStyle w:val="Compact"/>
        <w:numPr>
          <w:ilvl w:val="0"/>
          <w:numId w:val="11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1"/>
        </w:numPr>
      </w:pPr>
      <w:r>
        <w:rPr>
          <w:rStyle w:val="VerbatimChar"/>
        </w:rPr>
        <w:t xml:space="preserve">github.com/tidyverse/*</w:t>
      </w:r>
      <w:r>
        <w:t xml:space="preserve"> </w:t>
      </w:r>
      <w:r>
        <w:t xml:space="preserve">- Tidyverse package source code</w:t>
      </w:r>
    </w:p>
    <w:p>
      <w:pPr>
        <w:pStyle w:val="Compact"/>
        <w:numPr>
          <w:ilvl w:val="0"/>
          <w:numId w:val="1161"/>
        </w:numPr>
      </w:pPr>
      <w:r>
        <w:rPr>
          <w:rStyle w:val="VerbatimChar"/>
        </w:rPr>
        <w:t xml:space="preserve">github.com/r-lib/*</w:t>
      </w:r>
      <w:r>
        <w:t xml:space="preserve"> </w:t>
      </w:r>
      <w:r>
        <w:t xml:space="preserve">- R-lib package source code</w:t>
      </w:r>
    </w:p>
    <w:p>
      <w:pPr>
        <w:pStyle w:val="Compact"/>
        <w:numPr>
          <w:ilvl w:val="0"/>
          <w:numId w:val="1161"/>
        </w:numPr>
      </w:pPr>
      <w:r>
        <w:rPr>
          <w:rStyle w:val="VerbatimChar"/>
        </w:rPr>
        <w:t xml:space="preserve">github.com/rstudio/*</w:t>
      </w:r>
      <w:r>
        <w:t xml:space="preserve"> </w:t>
      </w:r>
      <w:r>
        <w:t xml:space="preserve">- RStudio package source code</w:t>
      </w:r>
    </w:p>
    <w:p>
      <w:pPr>
        <w:pStyle w:val="Compact"/>
        <w:numPr>
          <w:ilvl w:val="0"/>
          <w:numId w:val="11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3"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bookmarkEnd w:id="523"/>
    <w:bookmarkStart w:id="526" w:name="funding"/>
    <w:p>
      <w:pPr>
        <w:pStyle w:val="Heading2"/>
      </w:pPr>
      <w:r>
        <w:t xml:space="preserve">19.7 Funding</w:t>
      </w:r>
    </w:p>
    <w:p>
      <w:pPr>
        <w:pStyle w:val="Compact"/>
        <w:numPr>
          <w:ilvl w:val="0"/>
          <w:numId w:val="1183"/>
        </w:numPr>
      </w:pPr>
      <w:hyperlink r:id="rId524">
        <w:r>
          <w:rPr>
            <w:rStyle w:val="Hyperlink"/>
          </w:rPr>
          <w:t xml:space="preserve">Building Your Funding Train</w:t>
        </w:r>
      </w:hyperlink>
    </w:p>
    <w:p>
      <w:pPr>
        <w:pStyle w:val="Compact"/>
        <w:numPr>
          <w:ilvl w:val="0"/>
          <w:numId w:val="1183"/>
        </w:numPr>
      </w:pPr>
      <w:hyperlink r:id="rId525">
        <w:r>
          <w:rPr>
            <w:rStyle w:val="Hyperlink"/>
          </w:rPr>
          <w:t xml:space="preserve">NIH Grant Writing Resources</w:t>
        </w:r>
      </w:hyperlink>
    </w:p>
    <w:bookmarkEnd w:id="526"/>
    <w:bookmarkStart w:id="529" w:name="ethics-and-global-health-research"/>
    <w:p>
      <w:pPr>
        <w:pStyle w:val="Heading2"/>
      </w:pPr>
      <w:r>
        <w:t xml:space="preserve">19.8 Ethics and global health research</w:t>
      </w:r>
    </w:p>
    <w:p>
      <w:pPr>
        <w:pStyle w:val="Compact"/>
        <w:numPr>
          <w:ilvl w:val="0"/>
          <w:numId w:val="1184"/>
        </w:numPr>
      </w:pPr>
      <w:hyperlink r:id="rId527">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20.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2"/>
    <w:bookmarkStart w:id="5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3">
        <w:r>
          <w:rPr>
            <w:rStyle w:val="Hyperlink"/>
          </w:rPr>
          <w:t xml:space="preserve">myIDP - Individual Development Plan tool</w:t>
        </w:r>
      </w:hyperlink>
    </w:p>
    <w:p>
      <w:pPr>
        <w:pStyle w:val="Compact"/>
        <w:numPr>
          <w:ilvl w:val="0"/>
          <w:numId w:val="1187"/>
        </w:numPr>
      </w:pPr>
      <w:hyperlink r:id="rId534">
        <w:r>
          <w:rPr>
            <w:rStyle w:val="Hyperlink"/>
          </w:rPr>
          <w:t xml:space="preserve">NIH OITE Career Resources</w:t>
        </w:r>
      </w:hyperlink>
    </w:p>
    <w:bookmarkEnd w:id="535"/>
    <w:bookmarkStart w:id="5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6">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7">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8"/>
    <w:bookmarkStart w:id="5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1">
        <w:r>
          <w:rPr>
            <w:rStyle w:val="Hyperlink"/>
          </w:rPr>
          <w:t xml:space="preserve">Ten Simple Rules for Better Figures</w:t>
        </w:r>
      </w:hyperlink>
    </w:p>
    <w:bookmarkEnd w:id="542"/>
    <w:bookmarkStart w:id="545"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3">
        <w:r>
          <w:rPr>
            <w:rStyle w:val="Hyperlink"/>
          </w:rPr>
          <w:t xml:space="preserve">Building Your Funding Train</w:t>
        </w:r>
      </w:hyperlink>
    </w:p>
    <w:p>
      <w:pPr>
        <w:pStyle w:val="Compact"/>
        <w:numPr>
          <w:ilvl w:val="0"/>
          <w:numId w:val="1193"/>
        </w:numPr>
      </w:pPr>
      <w:hyperlink r:id="rId544">
        <w:r>
          <w:rPr>
            <w:rStyle w:val="Hyperlink"/>
          </w:rPr>
          <w:t xml:space="preserve">NIH Funding Opportunities</w:t>
        </w:r>
      </w:hyperlink>
    </w:p>
    <w:p>
      <w:pPr>
        <w:pStyle w:val="Compact"/>
        <w:numPr>
          <w:ilvl w:val="0"/>
          <w:numId w:val="1193"/>
        </w:numPr>
      </w:pPr>
      <w:hyperlink r:id="rId525">
        <w:r>
          <w:rPr>
            <w:rStyle w:val="Hyperlink"/>
          </w:rPr>
          <w:t xml:space="preserve">NIH Grant Writing Resources</w:t>
        </w:r>
      </w:hyperlink>
    </w:p>
    <w:bookmarkEnd w:id="545"/>
    <w:bookmarkStart w:id="546"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4"/>
        </w:numPr>
      </w:pPr>
      <w:r>
        <w:t xml:space="preserve">Graduate students are encouraged to gain teaching experience</w:t>
      </w:r>
    </w:p>
    <w:p>
      <w:pPr>
        <w:pStyle w:val="Compact"/>
        <w:numPr>
          <w:ilvl w:val="0"/>
          <w:numId w:val="1194"/>
        </w:numPr>
      </w:pPr>
      <w:r>
        <w:t xml:space="preserve">We support science communication and outreach activities</w:t>
      </w:r>
    </w:p>
    <w:p>
      <w:pPr>
        <w:pStyle w:val="Compact"/>
        <w:numPr>
          <w:ilvl w:val="0"/>
          <w:numId w:val="1194"/>
        </w:numPr>
      </w:pPr>
      <w:r>
        <w:t xml:space="preserve">Discuss opportunities with PIs</w:t>
      </w:r>
    </w:p>
    <w:bookmarkEnd w:id="546"/>
    <w:bookmarkStart w:id="547"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5"/>
        </w:numPr>
      </w:pPr>
      <w:r>
        <w:t xml:space="preserve">Attend seminars and departmental events</w:t>
      </w:r>
    </w:p>
    <w:p>
      <w:pPr>
        <w:pStyle w:val="Compact"/>
        <w:numPr>
          <w:ilvl w:val="0"/>
          <w:numId w:val="1195"/>
        </w:numPr>
      </w:pPr>
      <w:r>
        <w:t xml:space="preserve">Connect with researchers in your field</w:t>
      </w:r>
    </w:p>
    <w:p>
      <w:pPr>
        <w:pStyle w:val="Compact"/>
        <w:numPr>
          <w:ilvl w:val="0"/>
          <w:numId w:val="1195"/>
        </w:numPr>
      </w:pPr>
      <w:r>
        <w:t xml:space="preserve">Join professional societies</w:t>
      </w:r>
    </w:p>
    <w:p>
      <w:pPr>
        <w:pStyle w:val="Compact"/>
        <w:numPr>
          <w:ilvl w:val="0"/>
          <w:numId w:val="1195"/>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6"/>
        </w:numPr>
      </w:pPr>
      <w:r>
        <w:rPr>
          <w:b/>
          <w:bCs/>
        </w:rPr>
        <w:t xml:space="preserve">Planning</w:t>
      </w:r>
      <w:r>
        <w:t xml:space="preserve">: Discuss target journals, outline, and timeline with PIs</w:t>
      </w:r>
    </w:p>
    <w:p>
      <w:pPr>
        <w:pStyle w:val="Compact"/>
        <w:numPr>
          <w:ilvl w:val="0"/>
          <w:numId w:val="1196"/>
        </w:numPr>
      </w:pPr>
      <w:r>
        <w:rPr>
          <w:b/>
          <w:bCs/>
        </w:rPr>
        <w:t xml:space="preserve">Drafting</w:t>
      </w:r>
      <w:r>
        <w:t xml:space="preserve">: Lead author prepares initial draft</w:t>
      </w:r>
    </w:p>
    <w:p>
      <w:pPr>
        <w:pStyle w:val="Compact"/>
        <w:numPr>
          <w:ilvl w:val="0"/>
          <w:numId w:val="1196"/>
        </w:numPr>
      </w:pPr>
      <w:r>
        <w:rPr>
          <w:b/>
          <w:bCs/>
        </w:rPr>
        <w:t xml:space="preserve">Internal review</w:t>
      </w:r>
      <w:r>
        <w:t xml:space="preserve">: Co-authors review and provide feedback</w:t>
      </w:r>
    </w:p>
    <w:p>
      <w:pPr>
        <w:pStyle w:val="Compact"/>
        <w:numPr>
          <w:ilvl w:val="0"/>
          <w:numId w:val="1196"/>
        </w:numPr>
      </w:pPr>
      <w:r>
        <w:rPr>
          <w:b/>
          <w:bCs/>
        </w:rPr>
        <w:t xml:space="preserve">Revision</w:t>
      </w:r>
      <w:r>
        <w:t xml:space="preserve">: Lead author incorporates feedback iteratively</w:t>
      </w:r>
    </w:p>
    <w:p>
      <w:pPr>
        <w:pStyle w:val="Compact"/>
        <w:numPr>
          <w:ilvl w:val="0"/>
          <w:numId w:val="1196"/>
        </w:numPr>
      </w:pPr>
      <w:r>
        <w:rPr>
          <w:b/>
          <w:bCs/>
        </w:rPr>
        <w:t xml:space="preserve">PI approval</w:t>
      </w:r>
      <w:r>
        <w:t xml:space="preserve">: Obtain final approval from PIs before submission</w:t>
      </w:r>
    </w:p>
    <w:p>
      <w:pPr>
        <w:pStyle w:val="Compact"/>
        <w:numPr>
          <w:ilvl w:val="0"/>
          <w:numId w:val="1196"/>
        </w:numPr>
      </w:pPr>
      <w:r>
        <w:rPr>
          <w:b/>
          <w:bCs/>
        </w:rPr>
        <w:t xml:space="preserve">Submission</w:t>
      </w:r>
      <w:r>
        <w:t xml:space="preserve">: Submit to journal</w:t>
      </w:r>
    </w:p>
    <w:p>
      <w:pPr>
        <w:pStyle w:val="Compact"/>
        <w:numPr>
          <w:ilvl w:val="0"/>
          <w:numId w:val="1196"/>
        </w:numPr>
      </w:pPr>
      <w:r>
        <w:rPr>
          <w:b/>
          <w:bCs/>
        </w:rPr>
        <w:t xml:space="preserve">Revisions</w:t>
      </w:r>
      <w:r>
        <w:t xml:space="preserve">: Lead author coordinates response to peer reviewers</w:t>
      </w:r>
    </w:p>
    <w:p>
      <w:pPr>
        <w:pStyle w:val="Compact"/>
        <w:numPr>
          <w:ilvl w:val="0"/>
          <w:numId w:val="1196"/>
        </w:numPr>
      </w:pPr>
      <w:r>
        <w:rPr>
          <w:b/>
          <w:bCs/>
        </w:rPr>
        <w:t xml:space="preserve">Publication</w:t>
      </w:r>
      <w:r>
        <w:t xml:space="preserve">: Celebrate and share!</w:t>
      </w:r>
    </w:p>
    <w:bookmarkEnd w:id="549"/>
    <w:bookmarkStart w:id="552" w:name="preprints-and-open-access"/>
    <w:p>
      <w:pPr>
        <w:pStyle w:val="Heading2"/>
      </w:pPr>
      <w:r>
        <w:t xml:space="preserve">21.2 Preprints and Open Access</w:t>
      </w:r>
    </w:p>
    <w:p>
      <w:pPr>
        <w:pStyle w:val="Compact"/>
        <w:numPr>
          <w:ilvl w:val="0"/>
          <w:numId w:val="1197"/>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7"/>
        </w:numPr>
      </w:pPr>
      <w:r>
        <w:t xml:space="preserve">Preprints allow rapid dissemination of findings and can be cited in grant applications</w:t>
      </w:r>
    </w:p>
    <w:p>
      <w:pPr>
        <w:pStyle w:val="Compact"/>
        <w:numPr>
          <w:ilvl w:val="0"/>
          <w:numId w:val="1197"/>
        </w:numPr>
      </w:pPr>
      <w:r>
        <w:t xml:space="preserve">We support publishing in open access journals when possible to maximize accessibility</w:t>
      </w:r>
    </w:p>
    <w:p>
      <w:pPr>
        <w:pStyle w:val="Compact"/>
        <w:numPr>
          <w:ilvl w:val="0"/>
          <w:numId w:val="11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8"/>
        </w:numPr>
      </w:pPr>
      <w:r>
        <w:t xml:space="preserve">CONSORT for randomized trials</w:t>
      </w:r>
    </w:p>
    <w:p>
      <w:pPr>
        <w:pStyle w:val="Compact"/>
        <w:numPr>
          <w:ilvl w:val="0"/>
          <w:numId w:val="1198"/>
        </w:numPr>
      </w:pPr>
      <w:r>
        <w:t xml:space="preserve">STROBE for observational studies</w:t>
      </w:r>
    </w:p>
    <w:p>
      <w:pPr>
        <w:pStyle w:val="Compact"/>
        <w:numPr>
          <w:ilvl w:val="0"/>
          <w:numId w:val="1198"/>
        </w:numPr>
      </w:pPr>
      <w:r>
        <w:t xml:space="preserve">PRISMA for systematic reviews</w:t>
      </w:r>
    </w:p>
    <w:p>
      <w:pPr>
        <w:pStyle w:val="Compact"/>
        <w:numPr>
          <w:ilvl w:val="0"/>
          <w:numId w:val="1198"/>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21.4 Manuscript Checklist</w:t>
      </w:r>
    </w:p>
    <w:p>
      <w:pPr>
        <w:pStyle w:val="FirstParagraph"/>
      </w:pPr>
      <w:r>
        <w:t xml:space="preserve">Before submitting a manuscript:</w:t>
      </w:r>
    </w:p>
    <w:p>
      <w:pPr>
        <w:pStyle w:val="Compact"/>
        <w:numPr>
          <w:ilvl w:val="0"/>
          <w:numId w:val="1199"/>
        </w:numPr>
      </w:pPr>
      <w:r>
        <w:t xml:space="preserve">Completed relevant reporting checklist</w:t>
      </w:r>
    </w:p>
    <w:p>
      <w:pPr>
        <w:pStyle w:val="Compact"/>
        <w:numPr>
          <w:ilvl w:val="0"/>
          <w:numId w:val="1200"/>
        </w:numPr>
      </w:pPr>
      <w:r>
        <w:t xml:space="preserve">Results are reproducible (rerunning code replicates tables/figures exactly)</w:t>
      </w:r>
    </w:p>
    <w:p>
      <w:pPr>
        <w:pStyle w:val="Compact"/>
        <w:numPr>
          <w:ilvl w:val="0"/>
          <w:numId w:val="1201"/>
        </w:numPr>
      </w:pPr>
      <w:r>
        <w:t xml:space="preserve">Target journal selected</w:t>
      </w:r>
    </w:p>
    <w:p>
      <w:pPr>
        <w:pStyle w:val="Compact"/>
        <w:numPr>
          <w:ilvl w:val="0"/>
          <w:numId w:val="1202"/>
        </w:numPr>
      </w:pPr>
      <w:r>
        <w:t xml:space="preserve">Title is declarative and states findings clearly</w:t>
      </w:r>
    </w:p>
    <w:p>
      <w:pPr>
        <w:pStyle w:val="Compact"/>
        <w:numPr>
          <w:ilvl w:val="0"/>
          <w:numId w:val="1203"/>
        </w:numPr>
      </w:pPr>
      <w:r>
        <w:t xml:space="preserve">Word count meets journal requirements</w:t>
      </w:r>
    </w:p>
    <w:p>
      <w:pPr>
        <w:pStyle w:val="Compact"/>
        <w:numPr>
          <w:ilvl w:val="0"/>
          <w:numId w:val="1204"/>
        </w:numPr>
      </w:pPr>
      <w:r>
        <w:t xml:space="preserve">Manuscript follows journal formatting guidelines</w:t>
      </w:r>
    </w:p>
    <w:p>
      <w:pPr>
        <w:pStyle w:val="Compact"/>
        <w:numPr>
          <w:ilvl w:val="0"/>
          <w:numId w:val="1205"/>
        </w:numPr>
      </w:pPr>
      <w:r>
        <w:t xml:space="preserve">Consistent voice throughout (typically active voice)</w:t>
      </w:r>
    </w:p>
    <w:p>
      <w:pPr>
        <w:pStyle w:val="Compact"/>
        <w:numPr>
          <w:ilvl w:val="0"/>
          <w:numId w:val="1206"/>
        </w:numPr>
      </w:pPr>
      <w:r>
        <w:t xml:space="preserve">All figures and tables referenced in main text</w:t>
      </w:r>
    </w:p>
    <w:p>
      <w:pPr>
        <w:pStyle w:val="Compact"/>
        <w:numPr>
          <w:ilvl w:val="0"/>
          <w:numId w:val="1207"/>
        </w:numPr>
      </w:pPr>
      <w:r>
        <w:t xml:space="preserve">Captions for all figures and tables</w:t>
      </w:r>
    </w:p>
    <w:p>
      <w:pPr>
        <w:pStyle w:val="Compact"/>
        <w:numPr>
          <w:ilvl w:val="0"/>
          <w:numId w:val="1208"/>
        </w:numPr>
      </w:pPr>
      <w:r>
        <w:t xml:space="preserve">Tables/figures numbered by order of appearance</w:t>
      </w:r>
    </w:p>
    <w:p>
      <w:pPr>
        <w:pStyle w:val="Compact"/>
        <w:numPr>
          <w:ilvl w:val="0"/>
          <w:numId w:val="1209"/>
        </w:numPr>
      </w:pPr>
      <w:r>
        <w:t xml:space="preserve">Abbreviations defined at first use and used sparingly</w:t>
      </w:r>
    </w:p>
    <w:p>
      <w:pPr>
        <w:pStyle w:val="Compact"/>
        <w:numPr>
          <w:ilvl w:val="0"/>
          <w:numId w:val="12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1"/>
        </w:numPr>
      </w:pPr>
      <w:r>
        <w:t xml:space="preserve">Avoid directionless statements (specify direction of associations)</w:t>
      </w:r>
    </w:p>
    <w:p>
      <w:pPr>
        <w:pStyle w:val="Compact"/>
        <w:numPr>
          <w:ilvl w:val="0"/>
          <w:numId w:val="1212"/>
        </w:numPr>
      </w:pPr>
      <w:r>
        <w:t xml:space="preserve">Causal language only when supported by study design</w:t>
      </w:r>
    </w:p>
    <w:p>
      <w:pPr>
        <w:pStyle w:val="Compact"/>
        <w:numPr>
          <w:ilvl w:val="0"/>
          <w:numId w:val="12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4"/>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4"/>
    <w:bookmarkEnd w:id="635"/>
    <w:p>
      <w:r>
        <w:br w:type="page"/>
      </w:r>
    </w:p>
    <w:bookmarkEnd w:id="636"/>
    <w:bookmarkStart w:id="6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7">
        <w:r>
          <w:rPr>
            <w:rStyle w:val="Hyperlink"/>
          </w:rPr>
          <w:t xml:space="preserve">https://ucd-serg.github.io/lab-manual/appendix-copilot-instructions.html</w:t>
        </w:r>
      </w:hyperlink>
    </w:p>
    <w:p>
      <w:r>
        <w:br w:type="page"/>
      </w:r>
    </w:p>
    <w:bookmarkEnd w:id="638"/>
    <w:bookmarkStart w:id="6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https://ucd-serg.github.io/lab-manual/appendix-copilot-setup-steps.html</w:t>
        </w:r>
      </w:hyperlink>
    </w:p>
    <w:p>
      <w:r>
        <w:br w:type="page"/>
      </w:r>
    </w:p>
    <w:bookmarkEnd w:id="640"/>
    <w:bookmarkStart w:id="6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5"/>
        </w:numPr>
      </w:pPr>
      <w:r>
        <w:rPr>
          <w:b/>
          <w:bCs/>
        </w:rPr>
        <w:t xml:space="preserve">Branch:</w:t>
      </w:r>
      <w:r>
        <w:t xml:space="preserve"> </w:t>
      </w:r>
      <w:r>
        <w:t xml:space="preserve">HEAD</w:t>
      </w:r>
    </w:p>
    <w:p>
      <w:pPr>
        <w:pStyle w:val="Compact"/>
        <w:numPr>
          <w:ilvl w:val="0"/>
          <w:numId w:val="1215"/>
        </w:numPr>
      </w:pPr>
      <w:r>
        <w:rPr>
          <w:b/>
          <w:bCs/>
        </w:rPr>
        <w:t xml:space="preserve">Commit:</w:t>
      </w:r>
      <w:r>
        <w:t xml:space="preserve"> </w:t>
      </w:r>
      <w:r>
        <w:t xml:space="preserve">282f455</w:t>
      </w:r>
    </w:p>
    <w:p>
      <w:pPr>
        <w:pStyle w:val="Compact"/>
        <w:numPr>
          <w:ilvl w:val="0"/>
          <w:numId w:val="1215"/>
        </w:numPr>
      </w:pPr>
      <w:r>
        <w:rPr>
          <w:b/>
          <w:bCs/>
        </w:rPr>
        <w:t xml:space="preserve">Full commit hash:</w:t>
      </w:r>
      <w:r>
        <w:t xml:space="preserve"> </w:t>
      </w:r>
      <w:r>
        <w:t xml:space="preserve">282f455a2a23a46a2d56a1d66fb384d55943d056</w:t>
      </w:r>
    </w:p>
    <w:p>
      <w:pPr>
        <w:pStyle w:val="Compact"/>
        <w:numPr>
          <w:ilvl w:val="0"/>
          <w:numId w:val="1215"/>
        </w:numPr>
      </w:pPr>
      <w:r>
        <w:rPr>
          <w:b/>
          <w:bCs/>
        </w:rPr>
        <w:t xml:space="preserve">Commit date:</w:t>
      </w:r>
      <w:r>
        <w:t xml:space="preserve"> </w:t>
      </w:r>
      <w:r>
        <w:t xml:space="preserve">2026-01-15 12:44:30 -0800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3"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2"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7" Target="https://ucd-serg.github.io/lab-manual/appendix-copilot-instructions.html" TargetMode="External" /><Relationship Type="http://schemas.openxmlformats.org/officeDocument/2006/relationships/hyperlink" Id="rId639"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1"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3"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2"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7" Target="https://ucd-serg.github.io/lab-manual/appendix-copilot-instructions.html" TargetMode="External" /><Relationship Type="http://schemas.openxmlformats.org/officeDocument/2006/relationships/hyperlink" Id="rId639"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1"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2026-01-15T20:48:16Z</dcterms:created>
  <dcterms:modified xsi:type="dcterms:W3CDTF">2026-01-15T20:48:16Z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