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6" w:name="resources-2"/>
    <w:p>
      <w:pPr>
        <w:pStyle w:val="Heading1"/>
      </w:pPr>
      <w:r>
        <w:t xml:space="preserve">21. Resources</w:t>
      </w:r>
    </w:p>
    <w:bookmarkStart w:id="949"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4" w:name="cheat-sheets"/>
    <w:p>
      <w:pPr>
        <w:pStyle w:val="Heading3"/>
      </w:pPr>
      <w:r>
        <w:t xml:space="preserve">21.1.3 Cheat Sheets</w:t>
      </w:r>
    </w:p>
    <w:p>
      <w:pPr>
        <w:pStyle w:val="Compact"/>
        <w:numPr>
          <w:ilvl w:val="0"/>
          <w:numId w:val="1262"/>
        </w:numPr>
      </w:pPr>
      <w:hyperlink r:id="rId939">
        <w:r>
          <w:rPr>
            <w:rStyle w:val="Hyperlink"/>
          </w:rPr>
          <w:t xml:space="preserve">Data transformation with dplyr cheat sheet</w:t>
        </w:r>
      </w:hyperlink>
    </w:p>
    <w:p>
      <w:pPr>
        <w:pStyle w:val="Compact"/>
        <w:numPr>
          <w:ilvl w:val="0"/>
          <w:numId w:val="1262"/>
        </w:numPr>
      </w:pPr>
      <w:hyperlink r:id="rId940">
        <w:r>
          <w:rPr>
            <w:rStyle w:val="Hyperlink"/>
          </w:rPr>
          <w:t xml:space="preserve">Data tidying with tidyr cheat sheet</w:t>
        </w:r>
      </w:hyperlink>
    </w:p>
    <w:p>
      <w:pPr>
        <w:pStyle w:val="Compact"/>
        <w:numPr>
          <w:ilvl w:val="0"/>
          <w:numId w:val="1262"/>
        </w:numPr>
      </w:pPr>
      <w:hyperlink r:id="rId941">
        <w:r>
          <w:rPr>
            <w:rStyle w:val="Hyperlink"/>
          </w:rPr>
          <w:t xml:space="preserve">Data visualization with ggplot2 cheat sheet</w:t>
        </w:r>
      </w:hyperlink>
    </w:p>
    <w:p>
      <w:pPr>
        <w:pStyle w:val="Compact"/>
        <w:numPr>
          <w:ilvl w:val="0"/>
          <w:numId w:val="1262"/>
        </w:numPr>
      </w:pPr>
      <w:hyperlink r:id="rId942">
        <w:r>
          <w:rPr>
            <w:rStyle w:val="Hyperlink"/>
          </w:rPr>
          <w:t xml:space="preserve">data table cheat sheet</w:t>
        </w:r>
      </w:hyperlink>
    </w:p>
    <w:p>
      <w:pPr>
        <w:pStyle w:val="Compact"/>
        <w:numPr>
          <w:ilvl w:val="0"/>
          <w:numId w:val="1262"/>
        </w:numPr>
      </w:pPr>
      <w:hyperlink r:id="rId943">
        <w:r>
          <w:rPr>
            <w:rStyle w:val="Hyperlink"/>
          </w:rPr>
          <w:t xml:space="preserve">R Markdown cheat sheet</w:t>
        </w:r>
      </w:hyperlink>
    </w:p>
    <w:bookmarkEnd w:id="944"/>
    <w:bookmarkStart w:id="946" w:name="style-and-best-practices"/>
    <w:p>
      <w:pPr>
        <w:pStyle w:val="Heading3"/>
      </w:pPr>
      <w:r>
        <w:t xml:space="preserve">21.1.4 Style and Best Practices</w:t>
      </w:r>
    </w:p>
    <w:p>
      <w:pPr>
        <w:pStyle w:val="Compact"/>
        <w:numPr>
          <w:ilvl w:val="0"/>
          <w:numId w:val="1263"/>
        </w:numPr>
      </w:pPr>
      <w:hyperlink r:id="rId945">
        <w:r>
          <w:rPr>
            <w:rStyle w:val="Hyperlink"/>
          </w:rPr>
          <w:t xml:space="preserve">Hadley Wickham’s R Style Guide</w:t>
        </w:r>
      </w:hyperlink>
    </w:p>
    <w:bookmarkEnd w:id="946"/>
    <w:bookmarkStart w:id="947"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7"/>
    <w:bookmarkStart w:id="948"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8"/>
    <w:bookmarkEnd w:id="949"/>
    <w:bookmarkStart w:id="951"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0">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1"/>
    <w:bookmarkStart w:id="954" w:name="resources-for-python"/>
    <w:p>
      <w:pPr>
        <w:pStyle w:val="Heading2"/>
      </w:pPr>
      <w:r>
        <w:t xml:space="preserve">21.3 Resources for Python</w:t>
      </w:r>
    </w:p>
    <w:p>
      <w:pPr>
        <w:pStyle w:val="Compact"/>
        <w:numPr>
          <w:ilvl w:val="0"/>
          <w:numId w:val="1267"/>
        </w:numPr>
      </w:pPr>
      <w:hyperlink r:id="rId952">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3">
        <w:r>
          <w:rPr>
            <w:rStyle w:val="Hyperlink"/>
          </w:rPr>
          <w:t xml:space="preserve">Natural Language Processing with Python</w:t>
        </w:r>
      </w:hyperlink>
      <w:r>
        <w:t xml:space="preserve"> </w:t>
      </w:r>
      <w:r>
        <w:t xml:space="preserve">- text analysis and NLP techniques</w:t>
      </w:r>
    </w:p>
    <w:bookmarkEnd w:id="954"/>
    <w:bookmarkStart w:id="956" w:name="resources-for-julia"/>
    <w:p>
      <w:pPr>
        <w:pStyle w:val="Heading2"/>
      </w:pPr>
      <w:r>
        <w:t xml:space="preserve">21.4 Resources for Julia</w:t>
      </w:r>
    </w:p>
    <w:p>
      <w:pPr>
        <w:pStyle w:val="Compact"/>
        <w:numPr>
          <w:ilvl w:val="0"/>
          <w:numId w:val="1268"/>
        </w:numPr>
      </w:pPr>
      <w:hyperlink r:id="rId955">
        <w:r>
          <w:rPr>
            <w:rStyle w:val="Hyperlink"/>
          </w:rPr>
          <w:t xml:space="preserve">UC Davis Julia Users Group Julia Basics Workshop</w:t>
        </w:r>
      </w:hyperlink>
      <w:r>
        <w:t xml:space="preserve"> </w:t>
      </w:r>
      <w:r>
        <w:t xml:space="preserve">- foundational Julia programming</w:t>
      </w:r>
    </w:p>
    <w:bookmarkEnd w:id="956"/>
    <w:bookmarkStart w:id="958"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8"/>
    <w:bookmarkStart w:id="962"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9">
        <w:r>
          <w:rPr>
            <w:rStyle w:val="Hyperlink"/>
          </w:rPr>
          <w:t xml:space="preserve">The Pathway to Publishing: A Guide to Quantitative Writing in the Health Sciences</w:t>
        </w:r>
      </w:hyperlink>
    </w:p>
    <w:p>
      <w:pPr>
        <w:pStyle w:val="Compact"/>
        <w:numPr>
          <w:ilvl w:val="0"/>
          <w:numId w:val="1270"/>
        </w:numPr>
      </w:pPr>
      <w:hyperlink r:id="rId96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1">
        <w:r>
          <w:rPr>
            <w:rStyle w:val="Hyperlink"/>
          </w:rPr>
          <w:t xml:space="preserve">Secret, actionable writing tips</w:t>
        </w:r>
      </w:hyperlink>
    </w:p>
    <w:bookmarkEnd w:id="962"/>
    <w:bookmarkStart w:id="966"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3">
        <w:r>
          <w:rPr>
            <w:rStyle w:val="Hyperlink"/>
          </w:rPr>
          <w:t xml:space="preserve">How to give a killer narratively-driven scientific talk</w:t>
        </w:r>
      </w:hyperlink>
    </w:p>
    <w:p>
      <w:pPr>
        <w:pStyle w:val="Compact"/>
        <w:numPr>
          <w:ilvl w:val="0"/>
          <w:numId w:val="1271"/>
        </w:numPr>
      </w:pPr>
      <w:hyperlink r:id="rId964">
        <w:r>
          <w:rPr>
            <w:rStyle w:val="Hyperlink"/>
          </w:rPr>
          <w:t xml:space="preserve">How to make a better poster</w:t>
        </w:r>
      </w:hyperlink>
    </w:p>
    <w:p>
      <w:pPr>
        <w:pStyle w:val="Compact"/>
        <w:numPr>
          <w:ilvl w:val="0"/>
          <w:numId w:val="1271"/>
        </w:numPr>
      </w:pPr>
      <w:hyperlink r:id="rId965">
        <w:r>
          <w:rPr>
            <w:rStyle w:val="Hyperlink"/>
          </w:rPr>
          <w:t xml:space="preserve">How to make an even better poster</w:t>
        </w:r>
      </w:hyperlink>
    </w:p>
    <w:bookmarkEnd w:id="966"/>
    <w:bookmarkStart w:id="969" w:name="professional-advice"/>
    <w:p>
      <w:pPr>
        <w:pStyle w:val="Heading2"/>
      </w:pPr>
      <w:r>
        <w:t xml:space="preserve">21.8 Professional advice</w:t>
      </w:r>
    </w:p>
    <w:p>
      <w:pPr>
        <w:pStyle w:val="Compact"/>
        <w:numPr>
          <w:ilvl w:val="0"/>
          <w:numId w:val="1272"/>
        </w:numPr>
      </w:pPr>
      <w:hyperlink r:id="rId967">
        <w:r>
          <w:rPr>
            <w:rStyle w:val="Hyperlink"/>
          </w:rPr>
          <w:t xml:space="preserve">Professional advice, especially for your first job</w:t>
        </w:r>
      </w:hyperlink>
    </w:p>
    <w:p>
      <w:pPr>
        <w:pStyle w:val="Compact"/>
        <w:numPr>
          <w:ilvl w:val="0"/>
          <w:numId w:val="1272"/>
        </w:numPr>
      </w:pPr>
      <w:hyperlink r:id="rId968">
        <w:r>
          <w:rPr>
            <w:rStyle w:val="Hyperlink"/>
          </w:rPr>
          <w:t xml:space="preserve">Team Public Health Substack</w:t>
        </w:r>
      </w:hyperlink>
    </w:p>
    <w:bookmarkEnd w:id="969"/>
    <w:bookmarkStart w:id="972" w:name="funding"/>
    <w:p>
      <w:pPr>
        <w:pStyle w:val="Heading2"/>
      </w:pPr>
      <w:r>
        <w:t xml:space="preserve">21.9 Funding</w:t>
      </w:r>
    </w:p>
    <w:p>
      <w:pPr>
        <w:pStyle w:val="Compact"/>
        <w:numPr>
          <w:ilvl w:val="0"/>
          <w:numId w:val="1273"/>
        </w:numPr>
      </w:pPr>
      <w:hyperlink r:id="rId970">
        <w:r>
          <w:rPr>
            <w:rStyle w:val="Hyperlink"/>
          </w:rPr>
          <w:t xml:space="preserve">Building Your Funding Train</w:t>
        </w:r>
      </w:hyperlink>
    </w:p>
    <w:p>
      <w:pPr>
        <w:pStyle w:val="Compact"/>
        <w:numPr>
          <w:ilvl w:val="0"/>
          <w:numId w:val="1273"/>
        </w:numPr>
      </w:pPr>
      <w:hyperlink r:id="rId971">
        <w:r>
          <w:rPr>
            <w:rStyle w:val="Hyperlink"/>
          </w:rPr>
          <w:t xml:space="preserve">NIH Grant Writing Resources</w:t>
        </w:r>
      </w:hyperlink>
    </w:p>
    <w:bookmarkEnd w:id="972"/>
    <w:bookmarkStart w:id="975" w:name="ethics-and-global-health-research"/>
    <w:p>
      <w:pPr>
        <w:pStyle w:val="Heading2"/>
      </w:pPr>
      <w:r>
        <w:t xml:space="preserve">21.10 Ethics and global health research</w:t>
      </w:r>
    </w:p>
    <w:p>
      <w:pPr>
        <w:pStyle w:val="Compact"/>
        <w:numPr>
          <w:ilvl w:val="0"/>
          <w:numId w:val="1274"/>
        </w:numPr>
      </w:pPr>
      <w:hyperlink r:id="rId973">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4">
        <w:r>
          <w:rPr>
            <w:rStyle w:val="Hyperlink"/>
          </w:rPr>
          <w:t xml:space="preserve">Transforming Global Health Partnerships</w:t>
        </w:r>
      </w:hyperlink>
    </w:p>
    <w:p>
      <w:r>
        <w:br w:type="page"/>
      </w:r>
    </w:p>
    <w:bookmarkEnd w:id="975"/>
    <w:bookmarkEnd w:id="976"/>
    <w:bookmarkStart w:id="1004" w:name="professional-development"/>
    <w:p>
      <w:pPr>
        <w:pStyle w:val="Heading1"/>
      </w:pPr>
      <w:r>
        <w:t xml:space="preserve">22. Professional Development</w:t>
      </w:r>
    </w:p>
    <w:bookmarkStart w:id="97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7"/>
    <w:bookmarkStart w:id="98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8">
        <w:r>
          <w:rPr>
            <w:rStyle w:val="Hyperlink"/>
          </w:rPr>
          <w:t xml:space="preserve">myIDP - Individual Development Plan tool</w:t>
        </w:r>
      </w:hyperlink>
    </w:p>
    <w:p>
      <w:pPr>
        <w:pStyle w:val="Compact"/>
        <w:numPr>
          <w:ilvl w:val="0"/>
          <w:numId w:val="1277"/>
        </w:numPr>
      </w:pPr>
      <w:hyperlink r:id="rId979">
        <w:r>
          <w:rPr>
            <w:rStyle w:val="Hyperlink"/>
          </w:rPr>
          <w:t xml:space="preserve">NIH OITE Career Resources</w:t>
        </w:r>
      </w:hyperlink>
    </w:p>
    <w:bookmarkEnd w:id="980"/>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Prioritize clear visuals over text-dense slides following our</w:t>
      </w:r>
      <w:r>
        <w:t xml:space="preserve"> </w:t>
      </w:r>
      <w:hyperlink r:id="rId981">
        <w:r>
          <w:rPr>
            <w:rStyle w:val="Hyperlink"/>
          </w:rPr>
          <w:t xml:space="preserve">Show, Don’t Tell</w:t>
        </w:r>
      </w:hyperlink>
      <w:r>
        <w:t xml:space="preserve"> </w:t>
      </w:r>
      <w:r>
        <w:t xml:space="preserve">principle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2">
        <w:r>
          <w:rPr>
            <w:rStyle w:val="Hyperlink"/>
          </w:rPr>
          <w:t xml:space="preserve">How to tell a compelling story in scientific presentations</w:t>
        </w:r>
      </w:hyperlink>
    </w:p>
    <w:p>
      <w:pPr>
        <w:pStyle w:val="Compact"/>
        <w:numPr>
          <w:ilvl w:val="0"/>
          <w:numId w:val="1279"/>
        </w:numPr>
      </w:pPr>
      <w:hyperlink r:id="rId963">
        <w:r>
          <w:rPr>
            <w:rStyle w:val="Hyperlink"/>
          </w:rPr>
          <w:t xml:space="preserve">How to give a killer narratively-driven scientific talk</w:t>
        </w:r>
      </w:hyperlink>
    </w:p>
    <w:p>
      <w:pPr>
        <w:pStyle w:val="Compact"/>
        <w:numPr>
          <w:ilvl w:val="0"/>
          <w:numId w:val="1279"/>
        </w:numPr>
      </w:pPr>
      <w:hyperlink r:id="rId983">
        <w:r>
          <w:rPr>
            <w:rStyle w:val="Hyperlink"/>
          </w:rPr>
          <w:t xml:space="preserve">How to make a better poster</w:t>
        </w:r>
      </w:hyperlink>
    </w:p>
    <w:p>
      <w:pPr>
        <w:pStyle w:val="Compact"/>
        <w:numPr>
          <w:ilvl w:val="0"/>
          <w:numId w:val="1279"/>
        </w:numPr>
      </w:pPr>
      <w:hyperlink r:id="rId965">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0">
        <w:r>
          <w:rPr>
            <w:rStyle w:val="Hyperlink"/>
          </w:rPr>
          <w:t xml:space="preserve">Building Your Funding Train</w:t>
        </w:r>
      </w:hyperlink>
    </w:p>
    <w:p>
      <w:pPr>
        <w:pStyle w:val="Compact"/>
        <w:numPr>
          <w:ilvl w:val="0"/>
          <w:numId w:val="1283"/>
        </w:numPr>
      </w:pPr>
      <w:hyperlink r:id="rId989">
        <w:r>
          <w:rPr>
            <w:rStyle w:val="Hyperlink"/>
          </w:rPr>
          <w:t xml:space="preserve">NIH Funding Opportunities</w:t>
        </w:r>
      </w:hyperlink>
    </w:p>
    <w:p>
      <w:pPr>
        <w:pStyle w:val="Compact"/>
        <w:numPr>
          <w:ilvl w:val="0"/>
          <w:numId w:val="1283"/>
        </w:numPr>
      </w:pPr>
      <w:hyperlink r:id="rId971">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3"/>
    <w:bookmarkEnd w:id="1004"/>
    <w:bookmarkStart w:id="1012"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08"/>
    <w:bookmarkStart w:id="1011"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09" w:name="in-scientific-manuscripts-and-reports"/>
    <w:p>
      <w:pPr>
        <w:pStyle w:val="Heading3"/>
      </w:pPr>
      <w:r>
        <w:t xml:space="preserve">23.4.1 In scientific manuscripts and reports</w:t>
      </w:r>
    </w:p>
    <w:p>
      <w:pPr>
        <w:pStyle w:val="Compact"/>
        <w:numPr>
          <w:ilvl w:val="0"/>
          <w:numId w:val="1294"/>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294"/>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294"/>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09"/>
    <w:bookmarkStart w:id="1010" w:name="in-conference-and-lab-presentations"/>
    <w:p>
      <w:pPr>
        <w:pStyle w:val="Heading3"/>
      </w:pPr>
      <w:r>
        <w:t xml:space="preserve">23.4.2 In conference and lab presentations</w:t>
      </w:r>
    </w:p>
    <w:p>
      <w:pPr>
        <w:pStyle w:val="Compact"/>
        <w:numPr>
          <w:ilvl w:val="0"/>
          <w:numId w:val="1295"/>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295"/>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295"/>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10"/>
    <w:bookmarkEnd w:id="1011"/>
    <w:bookmarkEnd w:id="1012"/>
    <w:bookmarkStart w:id="1028" w:name="manuscript-preparation-and-publication"/>
    <w:p>
      <w:pPr>
        <w:pStyle w:val="Heading1"/>
      </w:pPr>
      <w:r>
        <w:t xml:space="preserve">24. Manuscript Preparation and Publication</w:t>
      </w:r>
    </w:p>
    <w:bookmarkStart w:id="101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6"/>
        </w:numPr>
      </w:pPr>
      <w:r>
        <w:rPr>
          <w:b/>
          <w:bCs/>
        </w:rPr>
        <w:t xml:space="preserve">Planning</w:t>
      </w:r>
      <w:r>
        <w:t xml:space="preserve">: Discuss target journals, outline, and timeline with PIs</w:t>
      </w:r>
    </w:p>
    <w:p>
      <w:pPr>
        <w:pStyle w:val="Compact"/>
        <w:numPr>
          <w:ilvl w:val="0"/>
          <w:numId w:val="1296"/>
        </w:numPr>
      </w:pPr>
      <w:r>
        <w:rPr>
          <w:b/>
          <w:bCs/>
        </w:rPr>
        <w:t xml:space="preserve">Drafting</w:t>
      </w:r>
      <w:r>
        <w:t xml:space="preserve">: Lead author prepares initial draft</w:t>
      </w:r>
    </w:p>
    <w:p>
      <w:pPr>
        <w:pStyle w:val="Compact"/>
        <w:numPr>
          <w:ilvl w:val="0"/>
          <w:numId w:val="1296"/>
        </w:numPr>
      </w:pPr>
      <w:r>
        <w:rPr>
          <w:b/>
          <w:bCs/>
        </w:rPr>
        <w:t xml:space="preserve">Internal review</w:t>
      </w:r>
      <w:r>
        <w:t xml:space="preserve">: Co-authors review and provide feedback</w:t>
      </w:r>
    </w:p>
    <w:p>
      <w:pPr>
        <w:pStyle w:val="Compact"/>
        <w:numPr>
          <w:ilvl w:val="0"/>
          <w:numId w:val="1296"/>
        </w:numPr>
      </w:pPr>
      <w:r>
        <w:rPr>
          <w:b/>
          <w:bCs/>
        </w:rPr>
        <w:t xml:space="preserve">Revision</w:t>
      </w:r>
      <w:r>
        <w:t xml:space="preserve">: Lead author incorporates feedback iteratively</w:t>
      </w:r>
    </w:p>
    <w:p>
      <w:pPr>
        <w:pStyle w:val="Compact"/>
        <w:numPr>
          <w:ilvl w:val="0"/>
          <w:numId w:val="1296"/>
        </w:numPr>
      </w:pPr>
      <w:r>
        <w:rPr>
          <w:b/>
          <w:bCs/>
        </w:rPr>
        <w:t xml:space="preserve">PI approval</w:t>
      </w:r>
      <w:r>
        <w:t xml:space="preserve">: Obtain final approval from PIs before submission</w:t>
      </w:r>
    </w:p>
    <w:p>
      <w:pPr>
        <w:pStyle w:val="Compact"/>
        <w:numPr>
          <w:ilvl w:val="0"/>
          <w:numId w:val="1296"/>
        </w:numPr>
      </w:pPr>
      <w:r>
        <w:rPr>
          <w:b/>
          <w:bCs/>
        </w:rPr>
        <w:t xml:space="preserve">Submission</w:t>
      </w:r>
      <w:r>
        <w:t xml:space="preserve">: Submit to journal</w:t>
      </w:r>
    </w:p>
    <w:p>
      <w:pPr>
        <w:pStyle w:val="Compact"/>
        <w:numPr>
          <w:ilvl w:val="0"/>
          <w:numId w:val="1296"/>
        </w:numPr>
      </w:pPr>
      <w:r>
        <w:rPr>
          <w:b/>
          <w:bCs/>
        </w:rPr>
        <w:t xml:space="preserve">Revisions</w:t>
      </w:r>
      <w:r>
        <w:t xml:space="preserve">: Lead author coordinates response to peer reviewers</w:t>
      </w:r>
    </w:p>
    <w:p>
      <w:pPr>
        <w:pStyle w:val="Compact"/>
        <w:numPr>
          <w:ilvl w:val="0"/>
          <w:numId w:val="1296"/>
        </w:numPr>
      </w:pPr>
      <w:r>
        <w:rPr>
          <w:b/>
          <w:bCs/>
        </w:rPr>
        <w:t xml:space="preserve">Publication</w:t>
      </w:r>
      <w:r>
        <w:t xml:space="preserve">: Celebrate and share!</w:t>
      </w:r>
    </w:p>
    <w:bookmarkEnd w:id="1013"/>
    <w:bookmarkStart w:id="101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5">
        <w:r>
          <w:rPr>
            <w:rStyle w:val="Hyperlink"/>
          </w:rPr>
          <w:t xml:space="preserve">implicature</w:t>
        </w:r>
      </w:hyperlink>
      <w:r>
        <w:t xml:space="preserve">.</w:t>
      </w:r>
    </w:p>
    <w:p>
      <w:pPr>
        <w:pStyle w:val="BodyText"/>
      </w:pPr>
      <w:r>
        <w:rPr>
          <w:b/>
          <w:bCs/>
        </w:rPr>
        <w:t xml:space="preserve">Additional tips:</w:t>
      </w:r>
    </w:p>
    <w:p>
      <w:pPr>
        <w:pStyle w:val="Compact"/>
        <w:numPr>
          <w:ilvl w:val="0"/>
          <w:numId w:val="1297"/>
        </w:numPr>
      </w:pPr>
      <w:r>
        <w:t xml:space="preserve">Always thank reviewers for their time and feedback</w:t>
      </w:r>
    </w:p>
    <w:p>
      <w:pPr>
        <w:pStyle w:val="Compact"/>
        <w:numPr>
          <w:ilvl w:val="0"/>
          <w:numId w:val="1297"/>
        </w:numPr>
      </w:pPr>
      <w:r>
        <w:t xml:space="preserve">Quote page numbers from the revised manuscript</w:t>
      </w:r>
    </w:p>
    <w:p>
      <w:pPr>
        <w:pStyle w:val="Compact"/>
        <w:numPr>
          <w:ilvl w:val="0"/>
          <w:numId w:val="1297"/>
        </w:numPr>
      </w:pPr>
      <w:r>
        <w:t xml:space="preserve">Use direct quotes from your revised text when possible</w:t>
      </w:r>
    </w:p>
    <w:p>
      <w:pPr>
        <w:pStyle w:val="Compact"/>
        <w:numPr>
          <w:ilvl w:val="0"/>
          <w:numId w:val="1297"/>
        </w:numPr>
      </w:pPr>
      <w:r>
        <w:t xml:space="preserve">Maintain a respectful and collaborative tone throughout</w:t>
      </w:r>
    </w:p>
    <w:p>
      <w:pPr>
        <w:pStyle w:val="Compact"/>
        <w:numPr>
          <w:ilvl w:val="0"/>
          <w:numId w:val="1297"/>
        </w:numPr>
      </w:pPr>
      <w:r>
        <w:t xml:space="preserve">If you make changes beyond what the reviewer requested, mention them briefly</w:t>
      </w:r>
    </w:p>
    <w:bookmarkEnd w:id="1016"/>
    <w:bookmarkStart w:id="1019" w:name="preprints-and-open-access"/>
    <w:p>
      <w:pPr>
        <w:pStyle w:val="Heading2"/>
      </w:pPr>
      <w:r>
        <w:t xml:space="preserve">24.3 Preprints and Open Access</w:t>
      </w:r>
    </w:p>
    <w:p>
      <w:pPr>
        <w:pStyle w:val="Compact"/>
        <w:numPr>
          <w:ilvl w:val="0"/>
          <w:numId w:val="1298"/>
        </w:numPr>
      </w:pPr>
      <w:r>
        <w:t xml:space="preserve">We encourage posting preprints prior to or during peer review on platforms like</w:t>
      </w:r>
      <w:r>
        <w:t xml:space="preserve"> </w:t>
      </w:r>
      <w:hyperlink r:id="rId1017">
        <w:r>
          <w:rPr>
            <w:rStyle w:val="Hyperlink"/>
          </w:rPr>
          <w:t xml:space="preserve">medRxiv</w:t>
        </w:r>
      </w:hyperlink>
      <w:r>
        <w:t xml:space="preserve"> </w:t>
      </w:r>
      <w:r>
        <w:t xml:space="preserve">or</w:t>
      </w:r>
      <w:r>
        <w:t xml:space="preserve"> </w:t>
      </w:r>
      <w:hyperlink r:id="rId1018">
        <w:r>
          <w:rPr>
            <w:rStyle w:val="Hyperlink"/>
          </w:rPr>
          <w:t xml:space="preserve">bioRxiv</w:t>
        </w:r>
      </w:hyperlink>
    </w:p>
    <w:p>
      <w:pPr>
        <w:pStyle w:val="Compact"/>
        <w:numPr>
          <w:ilvl w:val="0"/>
          <w:numId w:val="1298"/>
        </w:numPr>
      </w:pPr>
      <w:r>
        <w:t xml:space="preserve">Preprints allow rapid dissemination of findings and can be cited in grant applications</w:t>
      </w:r>
    </w:p>
    <w:p>
      <w:pPr>
        <w:pStyle w:val="Compact"/>
        <w:numPr>
          <w:ilvl w:val="0"/>
          <w:numId w:val="1298"/>
        </w:numPr>
      </w:pPr>
      <w:r>
        <w:t xml:space="preserve">We support publishing in open access journals when possible to maximize accessibility</w:t>
      </w:r>
    </w:p>
    <w:p>
      <w:pPr>
        <w:pStyle w:val="Compact"/>
        <w:numPr>
          <w:ilvl w:val="0"/>
          <w:numId w:val="12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7">
        <w:r>
          <w:rPr>
            <w:rStyle w:val="Hyperlink"/>
          </w:rPr>
          <w:t xml:space="preserve">medRxiv</w:t>
        </w:r>
      </w:hyperlink>
      <w:r>
        <w:t xml:space="preserve">.</w:t>
      </w:r>
    </w:p>
    <w:bookmarkEnd w:id="1019"/>
    <w:bookmarkStart w:id="102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9"/>
        </w:numPr>
      </w:pPr>
      <w:r>
        <w:t xml:space="preserve">CONSORT for randomized trials</w:t>
      </w:r>
    </w:p>
    <w:p>
      <w:pPr>
        <w:pStyle w:val="Compact"/>
        <w:numPr>
          <w:ilvl w:val="0"/>
          <w:numId w:val="1299"/>
        </w:numPr>
      </w:pPr>
      <w:r>
        <w:t xml:space="preserve">STROBE for observational studies</w:t>
      </w:r>
    </w:p>
    <w:p>
      <w:pPr>
        <w:pStyle w:val="Compact"/>
        <w:numPr>
          <w:ilvl w:val="0"/>
          <w:numId w:val="1299"/>
        </w:numPr>
      </w:pPr>
      <w:r>
        <w:t xml:space="preserve">PRISMA for systematic reviews</w:t>
      </w:r>
    </w:p>
    <w:p>
      <w:pPr>
        <w:pStyle w:val="Compact"/>
        <w:numPr>
          <w:ilvl w:val="0"/>
          <w:numId w:val="1299"/>
        </w:numPr>
      </w:pPr>
      <w:r>
        <w:t xml:space="preserve">Others as appropriate (see</w:t>
      </w:r>
      <w:r>
        <w:t xml:space="preserve"> </w:t>
      </w:r>
      <w:hyperlink r:id="rId46">
        <w:r>
          <w:rPr>
            <w:rStyle w:val="Hyperlink"/>
          </w:rPr>
          <w:t xml:space="preserve">EQUATOR Network</w:t>
        </w:r>
      </w:hyperlink>
      <w:r>
        <w:t xml:space="preserve">)</w:t>
      </w:r>
    </w:p>
    <w:bookmarkEnd w:id="1020"/>
    <w:bookmarkStart w:id="1021" w:name="manuscript-checklist-1"/>
    <w:p>
      <w:pPr>
        <w:pStyle w:val="Heading2"/>
      </w:pPr>
      <w:r>
        <w:t xml:space="preserve">24.5 Manuscript Checklist</w:t>
      </w:r>
    </w:p>
    <w:p>
      <w:pPr>
        <w:pStyle w:val="FirstParagraph"/>
      </w:pPr>
      <w:r>
        <w:t xml:space="preserve">Before submitting a manuscript:</w:t>
      </w:r>
    </w:p>
    <w:p>
      <w:pPr>
        <w:pStyle w:val="Compact"/>
        <w:numPr>
          <w:ilvl w:val="0"/>
          <w:numId w:val="1300"/>
        </w:numPr>
      </w:pPr>
      <w:r>
        <w:t xml:space="preserve">Completed relevant reporting checklist</w:t>
      </w:r>
    </w:p>
    <w:p>
      <w:pPr>
        <w:pStyle w:val="Compact"/>
        <w:numPr>
          <w:ilvl w:val="0"/>
          <w:numId w:val="1301"/>
        </w:numPr>
      </w:pPr>
      <w:r>
        <w:t xml:space="preserve">Results are reproducible (rerunning code replicates tables/figures exactly)</w:t>
      </w:r>
    </w:p>
    <w:p>
      <w:pPr>
        <w:pStyle w:val="Compact"/>
        <w:numPr>
          <w:ilvl w:val="0"/>
          <w:numId w:val="1302"/>
        </w:numPr>
      </w:pPr>
      <w:r>
        <w:t xml:space="preserve">Target journal selected</w:t>
      </w:r>
    </w:p>
    <w:p>
      <w:pPr>
        <w:pStyle w:val="Compact"/>
        <w:numPr>
          <w:ilvl w:val="0"/>
          <w:numId w:val="1303"/>
        </w:numPr>
      </w:pPr>
      <w:r>
        <w:t xml:space="preserve">Title is declarative and states findings clearly</w:t>
      </w:r>
    </w:p>
    <w:p>
      <w:pPr>
        <w:pStyle w:val="Compact"/>
        <w:numPr>
          <w:ilvl w:val="0"/>
          <w:numId w:val="1304"/>
        </w:numPr>
      </w:pPr>
      <w:r>
        <w:t xml:space="preserve">Word count meets journal requirements</w:t>
      </w:r>
    </w:p>
    <w:p>
      <w:pPr>
        <w:pStyle w:val="Compact"/>
        <w:numPr>
          <w:ilvl w:val="0"/>
          <w:numId w:val="1305"/>
        </w:numPr>
      </w:pPr>
      <w:r>
        <w:t xml:space="preserve">Manuscript follows journal formatting guidelines</w:t>
      </w:r>
    </w:p>
    <w:p>
      <w:pPr>
        <w:pStyle w:val="Compact"/>
        <w:numPr>
          <w:ilvl w:val="0"/>
          <w:numId w:val="1306"/>
        </w:numPr>
      </w:pPr>
      <w:r>
        <w:t xml:space="preserve">Consistent voice throughout (typically active voice)</w:t>
      </w:r>
    </w:p>
    <w:p>
      <w:pPr>
        <w:pStyle w:val="Compact"/>
        <w:numPr>
          <w:ilvl w:val="0"/>
          <w:numId w:val="1307"/>
        </w:numPr>
      </w:pPr>
      <w:r>
        <w:t xml:space="preserve">All figures and tables referenced in main text</w:t>
      </w:r>
    </w:p>
    <w:p>
      <w:pPr>
        <w:pStyle w:val="Compact"/>
        <w:numPr>
          <w:ilvl w:val="0"/>
          <w:numId w:val="1308"/>
        </w:numPr>
      </w:pPr>
      <w:r>
        <w:t xml:space="preserve">Captions for all figures and tables</w:t>
      </w:r>
    </w:p>
    <w:p>
      <w:pPr>
        <w:pStyle w:val="Compact"/>
        <w:numPr>
          <w:ilvl w:val="0"/>
          <w:numId w:val="1309"/>
        </w:numPr>
      </w:pPr>
      <w:r>
        <w:t xml:space="preserve">Tables/figures numbered by order of appearance</w:t>
      </w:r>
    </w:p>
    <w:p>
      <w:pPr>
        <w:pStyle w:val="Compact"/>
        <w:numPr>
          <w:ilvl w:val="0"/>
          <w:numId w:val="1310"/>
        </w:numPr>
      </w:pPr>
      <w:r>
        <w:t xml:space="preserve">Abbreviations defined at first use and used sparingly</w:t>
      </w:r>
    </w:p>
    <w:p>
      <w:pPr>
        <w:pStyle w:val="Compact"/>
        <w:numPr>
          <w:ilvl w:val="0"/>
          <w:numId w:val="13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2"/>
        </w:numPr>
      </w:pPr>
      <w:r>
        <w:t xml:space="preserve">Avoid directionless statements (specify direction of associations)</w:t>
      </w:r>
    </w:p>
    <w:p>
      <w:pPr>
        <w:pStyle w:val="Compact"/>
        <w:numPr>
          <w:ilvl w:val="0"/>
          <w:numId w:val="1313"/>
        </w:numPr>
      </w:pPr>
      <w:r>
        <w:t xml:space="preserve">Causal language only when supported by study design</w:t>
      </w:r>
    </w:p>
    <w:p>
      <w:pPr>
        <w:pStyle w:val="Compact"/>
        <w:numPr>
          <w:ilvl w:val="0"/>
          <w:numId w:val="13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5"/>
        </w:numPr>
      </w:pPr>
      <w:r>
        <w:t xml:space="preserve">Author contributions drafted using CRediT Taxonomy</w:t>
      </w:r>
    </w:p>
    <w:bookmarkEnd w:id="1021"/>
    <w:bookmarkStart w:id="102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5"/>
    <w:bookmarkStart w:id="102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7"/>
        </w:numPr>
      </w:pPr>
      <w:r>
        <w:rPr>
          <w:b/>
          <w:bCs/>
        </w:rPr>
        <w:t xml:space="preserve">Cite primary sources</w:t>
      </w:r>
      <w:r>
        <w:t xml:space="preserve"> </w:t>
      </w:r>
      <w:r>
        <w:t xml:space="preserve">for factual statements about established knowledge, methods, or findings</w:t>
      </w:r>
    </w:p>
    <w:p>
      <w:pPr>
        <w:pStyle w:val="Compact"/>
        <w:numPr>
          <w:ilvl w:val="0"/>
          <w:numId w:val="1317"/>
        </w:numPr>
      </w:pPr>
      <w:r>
        <w:rPr>
          <w:b/>
          <w:bCs/>
        </w:rPr>
        <w:t xml:space="preserve">Cite official documentation</w:t>
      </w:r>
      <w:r>
        <w:t xml:space="preserve"> </w:t>
      </w:r>
      <w:r>
        <w:t xml:space="preserve">when describing how software, tools, or systems work</w:t>
      </w:r>
    </w:p>
    <w:p>
      <w:pPr>
        <w:pStyle w:val="Compact"/>
        <w:numPr>
          <w:ilvl w:val="0"/>
          <w:numId w:val="13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8"/>
        </w:numPr>
      </w:pPr>
      <w:r>
        <w:rPr>
          <w:b/>
          <w:bCs/>
        </w:rPr>
        <w:t xml:space="preserve">Demonstrate directly</w:t>
      </w:r>
      <w:r>
        <w:t xml:space="preserve">: Show the behavior through experiments, data, or explicit examples</w:t>
      </w:r>
    </w:p>
    <w:p>
      <w:pPr>
        <w:pStyle w:val="Compact"/>
        <w:numPr>
          <w:ilvl w:val="0"/>
          <w:numId w:val="13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9"/>
        </w:numPr>
      </w:pPr>
      <w:r>
        <w:t xml:space="preserve">Builds reader trust and credibility</w:t>
      </w:r>
    </w:p>
    <w:p>
      <w:pPr>
        <w:pStyle w:val="Compact"/>
        <w:numPr>
          <w:ilvl w:val="0"/>
          <w:numId w:val="1319"/>
        </w:numPr>
      </w:pPr>
      <w:r>
        <w:t xml:space="preserve">Enables readers to verify information independently</w:t>
      </w:r>
    </w:p>
    <w:p>
      <w:pPr>
        <w:pStyle w:val="Compact"/>
        <w:numPr>
          <w:ilvl w:val="0"/>
          <w:numId w:val="1319"/>
        </w:numPr>
      </w:pPr>
      <w:r>
        <w:t xml:space="preserve">Maintains scientific rigor in all communications</w:t>
      </w:r>
    </w:p>
    <w:p>
      <w:pPr>
        <w:pStyle w:val="Compact"/>
        <w:numPr>
          <w:ilvl w:val="0"/>
          <w:numId w:val="13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7"/>
    <w:bookmarkEnd w:id="1028"/>
    <w:bookmarkStart w:id="1111" w:name="references"/>
    <w:p>
      <w:pPr>
        <w:pStyle w:val="Heading1"/>
      </w:pPr>
      <w:r>
        <w:t xml:space="preserve">References</w:t>
      </w:r>
    </w:p>
    <w:bookmarkStart w:id="1110" w:name="refs"/>
    <w:bookmarkStart w:id="103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9">
        <w:r>
          <w:rPr>
            <w:rStyle w:val="Hyperlink"/>
          </w:rPr>
          <w:t xml:space="preserve">https://doi.org/10.1371/journal.pgph.0002269</w:t>
        </w:r>
      </w:hyperlink>
      <w:r>
        <w:t xml:space="preserve">.</w:t>
      </w:r>
    </w:p>
    <w:bookmarkEnd w:id="1030"/>
    <w:bookmarkStart w:id="10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1">
        <w:r>
          <w:rPr>
            <w:rStyle w:val="Hyperlink"/>
          </w:rPr>
          <w:t xml:space="preserve">https://doi.org/10.1038/d41586-019-01431-z</w:t>
        </w:r>
      </w:hyperlink>
      <w:r>
        <w:t xml:space="preserve">.</w:t>
      </w:r>
    </w:p>
    <w:bookmarkEnd w:id="1032"/>
    <w:bookmarkStart w:id="10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3">
        <w:r>
          <w:rPr>
            <w:rStyle w:val="Hyperlink"/>
          </w:rPr>
          <w:t xml:space="preserve">https://jadebc.github.io/lab-manual/</w:t>
        </w:r>
      </w:hyperlink>
      <w:r>
        <w:t xml:space="preserve">.</w:t>
      </w:r>
    </w:p>
    <w:bookmarkEnd w:id="1034"/>
    <w:bookmarkStart w:id="10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5">
        <w:r>
          <w:rPr>
            <w:rStyle w:val="Hyperlink"/>
          </w:rPr>
          <w:t xml:space="preserve">https://happygitwithr.com/</w:t>
        </w:r>
      </w:hyperlink>
      <w:r>
        <w:t xml:space="preserve">.</w:t>
      </w:r>
    </w:p>
    <w:bookmarkEnd w:id="1036"/>
    <w:bookmarkStart w:id="10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7"/>
    <w:bookmarkStart w:id="10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8">
        <w:r>
          <w:rPr>
            <w:rStyle w:val="Hyperlink"/>
          </w:rPr>
          <w:t xml:space="preserve">https://doi.org/10.1038/s41467-020-19160-7</w:t>
        </w:r>
      </w:hyperlink>
      <w:r>
        <w:t xml:space="preserve">.</w:t>
      </w:r>
    </w:p>
    <w:bookmarkEnd w:id="1039"/>
    <w:bookmarkStart w:id="10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0">
        <w:r>
          <w:rPr>
            <w:rStyle w:val="Hyperlink"/>
          </w:rPr>
          <w:t xml:space="preserve">http://creativecommons.org/licenses/by-nc/4.0/</w:t>
        </w:r>
      </w:hyperlink>
      <w:r>
        <w:t xml:space="preserve">.</w:t>
      </w:r>
    </w:p>
    <w:bookmarkEnd w:id="1041"/>
    <w:bookmarkStart w:id="1043" w:name="ref-credit"/>
    <w:p>
      <w:pPr>
        <w:pStyle w:val="Bibliography"/>
      </w:pPr>
      <w:r>
        <w:t xml:space="preserve">“CRediT: Contributor Roles Taxonomy.”</w:t>
      </w:r>
      <w:r>
        <w:t xml:space="preserve"> </w:t>
      </w:r>
      <w:r>
        <w:t xml:space="preserve">n.d. PLOS ONE.</w:t>
      </w:r>
      <w:r>
        <w:t xml:space="preserve"> </w:t>
      </w:r>
      <w:hyperlink r:id="rId1042">
        <w:r>
          <w:rPr>
            <w:rStyle w:val="Hyperlink"/>
          </w:rPr>
          <w:t xml:space="preserve">https://journals.plos.org/plosone/s/authorship</w:t>
        </w:r>
      </w:hyperlink>
      <w:r>
        <w:t xml:space="preserve">.</w:t>
      </w:r>
    </w:p>
    <w:bookmarkEnd w:id="1043"/>
    <w:bookmarkStart w:id="1045" w:name="ref-dryad"/>
    <w:p>
      <w:pPr>
        <w:pStyle w:val="Bibliography"/>
      </w:pPr>
      <w:r>
        <w:t xml:space="preserve">“Dryad Digital Repository.”</w:t>
      </w:r>
      <w:r>
        <w:t xml:space="preserve"> </w:t>
      </w:r>
      <w:r>
        <w:t xml:space="preserve">n.d. Dryad.</w:t>
      </w:r>
      <w:r>
        <w:t xml:space="preserve"> </w:t>
      </w:r>
      <w:hyperlink r:id="rId1044">
        <w:r>
          <w:rPr>
            <w:rStyle w:val="Hyperlink"/>
          </w:rPr>
          <w:t xml:space="preserve">https://datadryad.org/</w:t>
        </w:r>
      </w:hyperlink>
      <w:r>
        <w:t xml:space="preserve">.</w:t>
      </w:r>
    </w:p>
    <w:bookmarkEnd w:id="1045"/>
    <w:bookmarkStart w:id="10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6"/>
    <w:bookmarkStart w:id="10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7">
        <w:r>
          <w:rPr>
            <w:rStyle w:val="Hyperlink"/>
          </w:rPr>
          <w:t xml:space="preserve">https://doi.org/10.1201/9781003029878</w:t>
        </w:r>
      </w:hyperlink>
      <w:r>
        <w:t xml:space="preserve">.</w:t>
      </w:r>
    </w:p>
    <w:bookmarkEnd w:id="1048"/>
    <w:bookmarkStart w:id="104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9"/>
    <w:bookmarkStart w:id="1051" w:name="ref-githubdesktop"/>
    <w:p>
      <w:pPr>
        <w:pStyle w:val="Bibliography"/>
      </w:pPr>
      <w:r>
        <w:t xml:space="preserve">“GitHub Desktop.”</w:t>
      </w:r>
      <w:r>
        <w:t xml:space="preserve"> </w:t>
      </w:r>
      <w:r>
        <w:t xml:space="preserve">n.d. GitHub.</w:t>
      </w:r>
      <w:r>
        <w:t xml:space="preserve"> </w:t>
      </w:r>
      <w:hyperlink r:id="rId1050">
        <w:r>
          <w:rPr>
            <w:rStyle w:val="Hyperlink"/>
          </w:rPr>
          <w:t xml:space="preserve">https://desktop.github.com/</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7">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0"/>
        </w:numPr>
      </w:pPr>
      <w:r>
        <w:rPr>
          <w:b/>
          <w:bCs/>
        </w:rPr>
        <w:t xml:space="preserve">Branch:</w:t>
      </w:r>
      <w:r>
        <w:t xml:space="preserve"> </w:t>
      </w:r>
      <w:r>
        <w:t xml:space="preserve">main</w:t>
      </w:r>
    </w:p>
    <w:p>
      <w:pPr>
        <w:pStyle w:val="Compact"/>
        <w:numPr>
          <w:ilvl w:val="0"/>
          <w:numId w:val="1320"/>
        </w:numPr>
      </w:pPr>
      <w:r>
        <w:rPr>
          <w:b/>
          <w:bCs/>
        </w:rPr>
        <w:t xml:space="preserve">Commit:</w:t>
      </w:r>
      <w:r>
        <w:t xml:space="preserve"> </w:t>
      </w:r>
      <w:r>
        <w:t xml:space="preserve">9db6069</w:t>
      </w:r>
    </w:p>
    <w:p>
      <w:pPr>
        <w:pStyle w:val="Compact"/>
        <w:numPr>
          <w:ilvl w:val="0"/>
          <w:numId w:val="1320"/>
        </w:numPr>
      </w:pPr>
      <w:r>
        <w:rPr>
          <w:b/>
          <w:bCs/>
        </w:rPr>
        <w:t xml:space="preserve">Full commit hash:</w:t>
      </w:r>
      <w:r>
        <w:t xml:space="preserve"> </w:t>
      </w:r>
      <w:r>
        <w:t xml:space="preserve">9db6069726b8a754698d9fc7852448df65cfe54e</w:t>
      </w:r>
    </w:p>
    <w:p>
      <w:pPr>
        <w:pStyle w:val="Compact"/>
        <w:numPr>
          <w:ilvl w:val="0"/>
          <w:numId w:val="1320"/>
        </w:numPr>
      </w:pPr>
      <w:r>
        <w:rPr>
          <w:b/>
          <w:bCs/>
        </w:rPr>
        <w:t xml:space="preserve">Commit date:</w:t>
      </w:r>
      <w:r>
        <w:t xml:space="preserve"> </w:t>
      </w:r>
      <w:r>
        <w:t xml:space="preserve">2026-09-01 16:42:42 -0700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1"/>
  </w:num>
  <w:num w:numId="1317">
    <w:abstractNumId w:val="991"/>
  </w:num>
  <w:num w:numId="1318">
    <w:abstractNumId w:val="991"/>
  </w:num>
  <w:num w:numId="1319">
    <w:abstractNumId w:val="991"/>
  </w:num>
  <w:num w:numId="13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981" Target="@sec-show-dont-tell"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39" Target="https://rstudio.github.io/cheatsheets/html/data-transformation.html" TargetMode="External" /><Relationship Type="http://schemas.openxmlformats.org/officeDocument/2006/relationships/hyperlink" Id="rId941" Target="https://rstudio.github.io/cheatsheets/html/data-visualization.html" TargetMode="External" /><Relationship Type="http://schemas.openxmlformats.org/officeDocument/2006/relationships/hyperlink" Id="rId943" Target="https://rstudio.github.io/cheatsheets/html/rmarkdown.html" TargetMode="External" /><Relationship Type="http://schemas.openxmlformats.org/officeDocument/2006/relationships/hyperlink" Id="rId940" Target="https://rstudio.github.io/cheatsheets/html/tidyr.html"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981" Target="@sec-show-dont-tell"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39" Target="https://rstudio.github.io/cheatsheets/html/data-transformation.html" TargetMode="External" /><Relationship Type="http://schemas.openxmlformats.org/officeDocument/2006/relationships/hyperlink" Id="rId941" Target="https://rstudio.github.io/cheatsheets/html/data-visualization.html" TargetMode="External" /><Relationship Type="http://schemas.openxmlformats.org/officeDocument/2006/relationships/hyperlink" Id="rId943" Target="https://rstudio.github.io/cheatsheets/html/rmarkdown.html" TargetMode="External" /><Relationship Type="http://schemas.openxmlformats.org/officeDocument/2006/relationships/hyperlink" Id="rId940" Target="https://rstudio.github.io/cheatsheets/html/tidyr.html"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2026-09-01T23:45:44Z</dcterms:created>
  <dcterms:modified xsi:type="dcterms:W3CDTF">2026-09-01T23:45:44Z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