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6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6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9" w:name="X78fbabd99b8c6584bf57dbedde34a645253b1d9"/>
    <w:p>
      <w:pPr>
        <w:pStyle w:val="Heading3"/>
      </w:pPr>
      <w:ins w:id="1355" w:author="PR Preview" w:date="2024-01-01T00:00:00Z">
        <w:r>
          <w:t xml:space="preserve">17.4.4 Addressing Failing GitHub Actions Workflows</w:t>
        </w:r>
      </w:ins>
    </w:p>
    <w:p>
      <w:pPr>
        <w:pStyle w:val="FirstParagraph"/>
      </w:pPr>
      <w:ins w:id="1356" w:author="PR Preview" w:date="2024-01-01T00:00:00Z">
        <w:r>
          <w:t xml:space="preserve">When GitHub Actions workflows fail,</w:t>
        </w:r>
      </w:ins>
      <w:ins w:id="1356" w:author="PR Preview" w:date="2024-01-01T00:00:00Z">
        <w:r>
          <w:t xml:space="preserve"> </w:t>
        </w:r>
      </w:ins>
      <w:ins w:id="1356" w:author="PR Preview" w:date="2024-01-01T00:00:00Z">
        <w:r>
          <w:t xml:space="preserve">you can use Copilot to help diagnose and fix the issues.</w:t>
        </w:r>
      </w:ins>
      <w:ins w:id="1356" w:author="PR Preview" w:date="2024-01-01T00:00:00Z">
        <w:r>
          <w:t xml:space="preserve"> </w:t>
        </w:r>
      </w:ins>
      <w:ins w:id="1356" w:author="PR Preview" w:date="2024-01-01T00:00:00Z">
        <w:r>
          <w:t xml:space="preserve">However,</w:t>
        </w:r>
      </w:ins>
      <w:ins w:id="1356" w:author="PR Preview" w:date="2024-01-01T00:00:00Z">
        <w:r>
          <w:t xml:space="preserve"> </w:t>
        </w:r>
      </w:ins>
      <w:ins w:id="1356" w:author="PR Preview" w:date="2024-01-01T00:00:00Z">
        <w:r>
          <w:t xml:space="preserve">it’s important to use the right prompts</w:t>
        </w:r>
      </w:ins>
      <w:ins w:id="1356" w:author="PR Preview" w:date="2024-01-01T00:00:00Z">
        <w:r>
          <w:t xml:space="preserve"> </w:t>
        </w:r>
      </w:ins>
      <w:ins w:id="1356" w:author="PR Preview" w:date="2024-01-01T00:00:00Z">
        <w:r>
          <w:t xml:space="preserve">depending on whether the problem is in your code</w:t>
        </w:r>
      </w:ins>
      <w:ins w:id="1356" w:author="PR Preview" w:date="2024-01-01T00:00:00Z">
        <w:r>
          <w:t xml:space="preserve"> </w:t>
        </w:r>
      </w:ins>
      <w:ins w:id="1356" w:author="PR Preview" w:date="2024-01-01T00:00:00Z">
        <w:r>
          <w:t xml:space="preserve">or in the workflow configuration itself.</w:t>
        </w:r>
      </w:ins>
    </w:p>
    <w:bookmarkStart w:id="421" w:name="X16724e8c4d0535f38e98d560729d113d43f9447"/>
    <w:p>
      <w:pPr>
        <w:pStyle w:val="Heading4"/>
      </w:pPr>
      <w:ins w:id="1357" w:author="PR Preview" w:date="2024-01-01T00:00:00Z">
        <w:r>
          <w:t xml:space="preserve">17.4.4.1 Scenario 1: Code Issues Found by Workflows (Most Common)</w:t>
        </w:r>
      </w:ins>
    </w:p>
    <w:p>
      <w:pPr>
        <w:pStyle w:val="FirstParagraph"/>
      </w:pPr>
      <w:ins w:id="1358" w:author="PR Preview" w:date="2024-01-01T00:00:00Z">
        <w:r>
          <w:rPr>
            <w:b/>
            <w:bCs/>
          </w:rPr>
          <w:t xml:space="preserve">When to use:</w:t>
        </w:r>
      </w:ins>
      <w:ins w:id="1358" w:author="PR Preview" w:date="2024-01-01T00:00:00Z">
        <w:r>
          <w:t xml:space="preserve"> </w:t>
        </w:r>
      </w:ins>
      <w:ins w:id="1358" w:author="PR Preview" w:date="2024-01-01T00:00:00Z">
        <w:r>
          <w:t xml:space="preserve">The workflow is functioning correctly,</w:t>
        </w:r>
      </w:ins>
      <w:ins w:id="1358" w:author="PR Preview" w:date="2024-01-01T00:00:00Z">
        <w:r>
          <w:t xml:space="preserve"> </w:t>
        </w:r>
      </w:ins>
      <w:ins w:id="1358" w:author="PR Preview" w:date="2024-01-01T00:00:00Z">
        <w:r>
          <w:t xml:space="preserve">but it’s detecting problems in your code</w:t>
        </w:r>
      </w:ins>
      <w:ins w:id="1358" w:author="PR Preview" w:date="2024-01-01T00:00:00Z">
        <w:r>
          <w:t xml:space="preserve"> </w:t>
        </w:r>
      </w:ins>
      <w:ins w:id="1358" w:author="PR Preview" w:date="2024-01-01T00:00:00Z">
        <w:r>
          <w:t xml:space="preserve">(e.g., failing tests, linting errors, build failures).</w:t>
        </w:r>
      </w:ins>
    </w:p>
    <w:p>
      <w:pPr>
        <w:pStyle w:val="BodyText"/>
      </w:pPr>
      <w:ins w:id="1359" w:author="PR Preview" w:date="2024-01-01T00:00:00Z">
        <w:r>
          <w:rPr>
            <w:b/>
            <w:bCs/>
          </w:rPr>
          <w:t xml:space="preserve">What you want:</w:t>
        </w:r>
      </w:ins>
      <w:ins w:id="1359" w:author="PR Preview" w:date="2024-01-01T00:00:00Z">
        <w:r>
          <w:t xml:space="preserve"> </w:t>
        </w:r>
      </w:ins>
      <w:ins w:id="1359" w:author="PR Preview" w:date="2024-01-01T00:00:00Z">
        <w:r>
          <w:t xml:space="preserve">Fix the code issues without modifying the workflow files themselves.</w:t>
        </w:r>
      </w:ins>
    </w:p>
    <w:p>
      <w:pPr>
        <w:pStyle w:val="BodyText"/>
      </w:pPr>
      <w:ins w:id="1360" w:author="PR Preview" w:date="2024-01-01T00:00:00Z">
        <w:r>
          <w:rPr>
            <w:b/>
            <w:bCs/>
          </w:rPr>
          <w:t xml:space="preserve">Recommended prompts:</w:t>
        </w:r>
      </w:ins>
    </w:p>
    <w:p>
      <w:pPr>
        <w:pStyle w:val="Compact"/>
        <w:numPr>
          <w:ilvl w:val="0"/>
          <w:numId w:val="1133"/>
        </w:numPr>
      </w:pPr>
      <w:ins w:id="1361" w:author="PR Preview" w:date="2024-01-01T00:00:00Z">
        <w:r>
          <w:t xml:space="preserve">“fix the code issues found by the failing workflows”</w:t>
        </w:r>
      </w:ins>
    </w:p>
    <w:p>
      <w:pPr>
        <w:pStyle w:val="Compact"/>
        <w:numPr>
          <w:ilvl w:val="0"/>
          <w:numId w:val="1133"/>
        </w:numPr>
      </w:pPr>
      <w:ins w:id="1362" w:author="PR Preview" w:date="2024-01-01T00:00:00Z">
        <w:r>
          <w:t xml:space="preserve">“address the linting errors reported in the GitHub Actions checks”</w:t>
        </w:r>
      </w:ins>
    </w:p>
    <w:p>
      <w:pPr>
        <w:pStyle w:val="Compact"/>
        <w:numPr>
          <w:ilvl w:val="0"/>
          <w:numId w:val="1133"/>
        </w:numPr>
      </w:pPr>
      <w:ins w:id="1363" w:author="PR Preview" w:date="2024-01-01T00:00:00Z">
        <w:r>
          <w:t xml:space="preserve">“fix the test failures in the CI pipeline”</w:t>
        </w:r>
      </w:ins>
    </w:p>
    <w:p>
      <w:pPr>
        <w:pStyle w:val="Compact"/>
        <w:numPr>
          <w:ilvl w:val="0"/>
          <w:numId w:val="1133"/>
        </w:numPr>
      </w:pPr>
      <w:ins w:id="1364" w:author="PR Preview" w:date="2024-01-01T00:00:00Z">
        <w:r>
          <w:t xml:space="preserve">“resolve the build errors shown in the workflow logs”</w:t>
        </w:r>
      </w:ins>
    </w:p>
    <w:p>
      <w:pPr>
        <w:pStyle w:val="FirstParagraph"/>
      </w:pPr>
      <w:ins w:id="1365" w:author="PR Preview" w:date="2024-01-01T00:00:00Z">
        <w:r>
          <w:rPr>
            <w:b/>
            <w:bCs/>
          </w:rPr>
          <w:t xml:space="preserve">Example:</w:t>
        </w:r>
      </w:ins>
      <w:ins w:id="1365" w:author="PR Preview" w:date="2024-01-01T00:00:00Z">
        <w:r>
          <w:t xml:space="preserve"> </w:t>
        </w:r>
      </w:ins>
      <w:ins w:id="1365" w:author="PR Preview" w:date="2024-01-01T00:00:00Z">
        <w:r>
          <w:t xml:space="preserve">If your R package has failing tests detected by</w:t>
        </w:r>
      </w:ins>
      <w:ins w:id="1365" w:author="PR Preview" w:date="2024-01-01T00:00:00Z">
        <w:r>
          <w:t xml:space="preserve"> </w:t>
        </w:r>
      </w:ins>
      <w:ins w:id="1365" w:author="PR Preview" w:date="2024-01-01T00:00:00Z">
        <w:r>
          <w:rPr>
            <w:rStyle w:val="VerbatimChar"/>
          </w:rPr>
          <w:t xml:space="preserve">usethis::use_github_action("check-standard")</w:t>
        </w:r>
      </w:ins>
      <w:ins w:id="1365" w:author="PR Preview" w:date="2024-01-01T00:00:00Z">
        <w:r>
          <w:t xml:space="preserve">,</w:t>
        </w:r>
      </w:ins>
      <w:ins w:id="1365" w:author="PR Preview" w:date="2024-01-01T00:00:00Z">
        <w:r>
          <w:t xml:space="preserve"> </w:t>
        </w:r>
      </w:ins>
      <w:ins w:id="1365" w:author="PR Preview" w:date="2024-01-01T00:00:00Z">
        <w:r>
          <w:t xml:space="preserve">you want Copilot to fix the test failures in your R code,</w:t>
        </w:r>
      </w:ins>
      <w:ins w:id="1365" w:author="PR Preview" w:date="2024-01-01T00:00:00Z">
        <w:r>
          <w:t xml:space="preserve"> </w:t>
        </w:r>
      </w:ins>
      <w:ins w:id="1365" w:author="PR Preview" w:date="2024-01-01T00:00:00Z">
        <w:r>
          <w:t xml:space="preserve">not modify the workflow YAML file.</w:t>
        </w:r>
      </w:ins>
    </w:p>
    <w:p>
      <w:pPr>
        <w:pStyle w:val="BodyText"/>
      </w:pPr>
      <w:ins w:id="1366" w:author="PR Preview" w:date="2024-01-01T00:00:00Z">
        <w:r>
          <w:rPr>
            <w:b/>
            <w:bCs/>
          </w:rPr>
          <w:t xml:space="preserve">Why this matters:</w:t>
        </w:r>
      </w:ins>
      <w:ins w:id="1366" w:author="PR Preview" w:date="2024-01-01T00:00:00Z">
        <w:r>
          <w:t xml:space="preserve"> </w:t>
        </w:r>
      </w:ins>
      <w:ins w:id="1366" w:author="PR Preview" w:date="2024-01-01T00:00:00Z">
        <w:r>
          <w:t xml:space="preserve">These prompts make it clear that you want code changes,</w:t>
        </w:r>
      </w:ins>
      <w:ins w:id="1366" w:author="PR Preview" w:date="2024-01-01T00:00:00Z">
        <w:r>
          <w:t xml:space="preserve"> </w:t>
        </w:r>
      </w:ins>
      <w:ins w:id="1366" w:author="PR Preview" w:date="2024-01-01T00:00:00Z">
        <w:r>
          <w:t xml:space="preserve">not workflow changes.</w:t>
        </w:r>
      </w:ins>
      <w:ins w:id="1366" w:author="PR Preview" w:date="2024-01-01T00:00:00Z">
        <w:r>
          <w:t xml:space="preserve"> </w:t>
        </w:r>
      </w:ins>
      <w:ins w:id="1366" w:author="PR Preview" w:date="2024-01-01T00:00:00Z">
        <w:r>
          <w:t xml:space="preserve">This helps prevent the agent from unnecessarily modifying</w:t>
        </w:r>
      </w:ins>
      <w:ins w:id="1366" w:author="PR Preview" w:date="2024-01-01T00:00:00Z">
        <w:r>
          <w:t xml:space="preserve"> </w:t>
        </w:r>
      </w:ins>
      <w:ins w:id="1366" w:author="PR Preview" w:date="2024-01-01T00:00:00Z">
        <w:r>
          <w:t xml:space="preserve">your carefully-configured CI/CD pipeline.</w:t>
        </w:r>
      </w:ins>
    </w:p>
    <w:bookmarkEnd w:id="421"/>
    <w:bookmarkStart w:id="425" w:name="X609a80533191ba40baf6d2372d9b8d862b0620d"/>
    <w:p>
      <w:pPr>
        <w:pStyle w:val="Heading4"/>
      </w:pPr>
      <w:ins w:id="1367" w:author="PR Preview" w:date="2024-01-01T00:00:00Z">
        <w:r>
          <w:t xml:space="preserve">17.4.4.2 Scenario 2: Issues with Workflow Files Themselves</w:t>
        </w:r>
      </w:ins>
    </w:p>
    <w:p>
      <w:pPr>
        <w:pStyle w:val="FirstParagraph"/>
      </w:pPr>
      <w:ins w:id="1368" w:author="PR Preview" w:date="2024-01-01T00:00:00Z">
        <w:r>
          <w:rPr>
            <w:b/>
            <w:bCs/>
          </w:rPr>
          <w:t xml:space="preserve">When to use:</w:t>
        </w:r>
      </w:ins>
      <w:ins w:id="1368" w:author="PR Preview" w:date="2024-01-01T00:00:00Z">
        <w:r>
          <w:t xml:space="preserve"> </w:t>
        </w:r>
      </w:ins>
      <w:ins w:id="1368" w:author="PR Preview" w:date="2024-01-01T00:00:00Z">
        <w:r>
          <w:t xml:space="preserve">The workflow configuration itself has problems</w:t>
        </w:r>
      </w:ins>
      <w:ins w:id="1368" w:author="PR Preview" w:date="2024-01-01T00:00:00Z">
        <w:r>
          <w:t xml:space="preserve"> </w:t>
        </w:r>
      </w:ins>
      <w:ins w:id="1368" w:author="PR Preview" w:date="2024-01-01T00:00:00Z">
        <w:r>
          <w:t xml:space="preserve">(e.g., syntax errors in YAML, incorrect job definitions, outdated actions).</w:t>
        </w:r>
      </w:ins>
    </w:p>
    <w:p>
      <w:pPr>
        <w:pStyle w:val="BodyText"/>
      </w:pPr>
      <w:ins w:id="1369" w:author="PR Preview" w:date="2024-01-01T00:00:00Z">
        <w:r>
          <w:rPr>
            <w:b/>
            <w:bCs/>
          </w:rPr>
          <w:t xml:space="preserve">What you want:</w:t>
        </w:r>
      </w:ins>
      <w:ins w:id="1369" w:author="PR Preview" w:date="2024-01-01T00:00:00Z">
        <w:r>
          <w:t xml:space="preserve"> </w:t>
        </w:r>
      </w:ins>
      <w:ins w:id="1369" w:author="PR Preview" w:date="2024-01-01T00:00:00Z">
        <w:r>
          <w:t xml:space="preserve">Fix the workflow files,</w:t>
        </w:r>
      </w:ins>
      <w:ins w:id="1369" w:author="PR Preview" w:date="2024-01-01T00:00:00Z">
        <w:r>
          <w:t xml:space="preserve"> </w:t>
        </w:r>
      </w:ins>
      <w:ins w:id="1369" w:author="PR Preview" w:date="2024-01-01T00:00:00Z">
        <w:r>
          <w:t xml:space="preserve">but with extreme caution due to security implications.</w:t>
        </w:r>
      </w:ins>
    </w:p>
    <w:p>
      <w:pPr>
        <w:pStyle w:val="BodyText"/>
      </w:pPr>
      <w:ins w:id="1370" w:author="PR Preview" w:date="2024-01-01T00:00:00Z">
        <w:r>
          <w:rPr>
            <w:b/>
            <w:bCs/>
          </w:rPr>
          <w:t xml:space="preserve">Recommended prompts:</w:t>
        </w:r>
      </w:ins>
    </w:p>
    <w:p>
      <w:pPr>
        <w:pStyle w:val="Compact"/>
        <w:numPr>
          <w:ilvl w:val="0"/>
          <w:numId w:val="1134"/>
        </w:numPr>
      </w:pPr>
      <w:ins w:id="1371" w:author="PR Preview" w:date="2024-01-01T00:00:00Z">
        <w:r>
          <w:t xml:space="preserve">“fix the syntax error in the GitHub Actions workflow file at line X”</w:t>
        </w:r>
      </w:ins>
    </w:p>
    <w:p>
      <w:pPr>
        <w:pStyle w:val="Compact"/>
        <w:numPr>
          <w:ilvl w:val="0"/>
          <w:numId w:val="1134"/>
        </w:numPr>
      </w:pPr>
      <w:ins w:id="1372" w:author="PR Preview" w:date="2024-01-01T00:00:00Z">
        <w:r>
          <w:t xml:space="preserve">“update the workflow to use the latest version of action Y”</w:t>
        </w:r>
      </w:ins>
    </w:p>
    <w:p>
      <w:pPr>
        <w:pStyle w:val="Compact"/>
        <w:numPr>
          <w:ilvl w:val="0"/>
          <w:numId w:val="1134"/>
        </w:numPr>
      </w:pPr>
      <w:ins w:id="1373" w:author="PR Preview" w:date="2024-01-01T00:00:00Z">
        <w:r>
          <w:t xml:space="preserve">“correct the job configuration in .github/workflows/check-standard.yaml”</w:t>
        </w:r>
      </w:ins>
    </w:p>
    <w:p>
      <w:pPr>
        <w:pStyle w:val="FirstParagraph"/>
      </w:pPr>
      <w:ins w:id="1374" w:author="PR Preview" w:date="2024-01-01T00:00:00Z">
        <w:r>
          <w:rPr>
            <w:b/>
            <w:bCs/>
          </w:rPr>
          <w:t xml:space="preserve">Important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warning.png" id="424"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5"/>
              </w:numPr>
            </w:pPr>
            <w:r>
              <w:rPr>
                <w:b/>
                <w:bCs/>
              </w:rPr>
              <w:t xml:space="preserve">Review every line</w:t>
            </w:r>
            <w:r>
              <w:t xml:space="preserve"> </w:t>
            </w:r>
            <w:r>
              <w:t xml:space="preserve">of the proposed changes</w:t>
            </w:r>
          </w:p>
          <w:p>
            <w:pPr>
              <w:pStyle w:val="Compact"/>
              <w:numPr>
                <w:ilvl w:val="0"/>
                <w:numId w:val="1135"/>
              </w:numPr>
            </w:pPr>
            <w:r>
              <w:rPr>
                <w:b/>
                <w:bCs/>
              </w:rPr>
              <w:t xml:space="preserve">Verify</w:t>
            </w:r>
            <w:r>
              <w:t xml:space="preserve"> </w:t>
            </w:r>
            <w:r>
              <w:t xml:space="preserve">the changes only address the specific issue</w:t>
            </w:r>
          </w:p>
          <w:p>
            <w:pPr>
              <w:pStyle w:val="Compact"/>
              <w:numPr>
                <w:ilvl w:val="0"/>
                <w:numId w:val="1135"/>
              </w:numPr>
            </w:pPr>
            <w:r>
              <w:rPr>
                <w:b/>
                <w:bCs/>
              </w:rPr>
              <w:t xml:space="preserve">Check</w:t>
            </w:r>
            <w:r>
              <w:t xml:space="preserve"> </w:t>
            </w:r>
            <w:r>
              <w:t xml:space="preserve">that no new secret access or command execution has been added</w:t>
            </w:r>
          </w:p>
          <w:p>
            <w:pPr>
              <w:pStyle w:val="Compact"/>
              <w:numPr>
                <w:ilvl w:val="0"/>
                <w:numId w:val="1135"/>
              </w:numPr>
            </w:pPr>
            <w:r>
              <w:rPr>
                <w:b/>
                <w:bCs/>
              </w:rPr>
              <w:t xml:space="preserve">Test</w:t>
            </w:r>
            <w:r>
              <w:t xml:space="preserve"> </w:t>
            </w:r>
            <w:r>
              <w:t xml:space="preserve">in a safe environment if possible</w:t>
            </w:r>
          </w:p>
          <w:p>
            <w:pPr>
              <w:pStyle w:val="FirstParagraph"/>
            </w:pPr>
            <w:pPr>
              <w:spacing w:after="16"/>
            </w:pPr>
            <w:r>
              <w:t xml:space="preserve">See the</w:t>
            </w:r>
            <w:r>
              <w:t xml:space="preserve"> </w:t>
            </w:r>
            <w:r>
              <w:t xml:space="preserve">“Best Practices”</w:t>
            </w:r>
            <w:r>
              <w:t xml:space="preserve"> </w:t>
            </w:r>
            <w:r>
              <w:t xml:space="preserve">section above for more details on workflow file security.</w:t>
            </w:r>
          </w:p>
          <w:p/>
        </w:tc>
      </w:tr>
    </w:tbl>
    <w:p>
      <w:pPr>
        <w:pStyle w:val="BodyText"/>
      </w:pPr>
      <w:ins w:id="1375" w:author="PR Preview" w:date="2024-01-01T00:00:00Z">
        <w:r>
          <w:rPr>
            <w:b/>
            <w:bCs/>
          </w:rPr>
          <w:t xml:space="preserve">When to do it yourself:</w:t>
        </w:r>
      </w:ins>
      <w:ins w:id="1375" w:author="PR Preview" w:date="2024-01-01T00:00:00Z">
        <w:r>
          <w:t xml:space="preserve"> </w:t>
        </w:r>
      </w:ins>
      <w:ins w:id="1375" w:author="PR Preview" w:date="2024-01-01T00:00:00Z">
        <w:r>
          <w:t xml:space="preserve">Workflow syntax errors and configuration issues</w:t>
        </w:r>
      </w:ins>
      <w:ins w:id="1375" w:author="PR Preview" w:date="2024-01-01T00:00:00Z">
        <w:r>
          <w:t xml:space="preserve"> </w:t>
        </w:r>
      </w:ins>
      <w:ins w:id="1375" w:author="PR Preview" w:date="2024-01-01T00:00:00Z">
        <w:r>
          <w:t xml:space="preserve">are often faster to fix manually than with Copilot,</w:t>
        </w:r>
      </w:ins>
      <w:ins w:id="1375" w:author="PR Preview" w:date="2024-01-01T00:00:00Z">
        <w:r>
          <w:t xml:space="preserve"> </w:t>
        </w:r>
      </w:ins>
      <w:ins w:id="1375" w:author="PR Preview" w:date="2024-01-01T00:00:00Z">
        <w:r>
          <w:t xml:space="preserve">especially if you’re familiar with GitHub Actions.</w:t>
        </w:r>
      </w:ins>
      <w:ins w:id="1375" w:author="PR Preview" w:date="2024-01-01T00:00:00Z">
        <w:r>
          <w:t xml:space="preserve"> </w:t>
        </w:r>
      </w:ins>
      <w:ins w:id="1375" w:author="PR Preview" w:date="2024-01-01T00:00:00Z">
        <w:r>
          <w:t xml:space="preserve">See the</w:t>
        </w:r>
      </w:ins>
      <w:ins w:id="1375" w:author="PR Preview" w:date="2024-01-01T00:00:00Z">
        <w:r>
          <w:t xml:space="preserve"> </w:t>
        </w:r>
      </w:ins>
      <w:ins w:id="1375" w:author="PR Preview" w:date="2024-01-01T00:00:00Z">
        <w:r>
          <w:t xml:space="preserve">“When to use a coding agent”</w:t>
        </w:r>
      </w:ins>
      <w:ins w:id="1375" w:author="PR Preview" w:date="2024-01-01T00:00:00Z">
        <w:r>
          <w:t xml:space="preserve"> </w:t>
        </w:r>
      </w:ins>
      <w:ins w:id="1375" w:author="PR Preview" w:date="2024-01-01T00:00:00Z">
        <w:r>
          <w:t xml:space="preserve">section above for more guidance.</w:t>
        </w:r>
      </w:ins>
    </w:p>
    <w:bookmarkEnd w:id="425"/>
    <w:bookmarkStart w:id="426" w:name="X73d86ac2fd20fdb79b2a5c7f2662f883788810e"/>
    <w:p>
      <w:pPr>
        <w:pStyle w:val="Heading4"/>
      </w:pPr>
      <w:ins w:id="1376" w:author="PR Preview" w:date="2024-01-01T00:00:00Z">
        <w:r>
          <w:t xml:space="preserve">17.4.4.3 Scenario 3: Uncertain Which Scenario Applies</w:t>
        </w:r>
      </w:ins>
    </w:p>
    <w:p>
      <w:pPr>
        <w:pStyle w:val="FirstParagraph"/>
      </w:pPr>
      <w:ins w:id="1377" w:author="PR Preview" w:date="2024-01-01T00:00:00Z">
        <w:r>
          <w:rPr>
            <w:b/>
            <w:bCs/>
          </w:rPr>
          <w:t xml:space="preserve">When to use:</w:t>
        </w:r>
      </w:ins>
      <w:ins w:id="1377" w:author="PR Preview" w:date="2024-01-01T00:00:00Z">
        <w:r>
          <w:t xml:space="preserve"> </w:t>
        </w:r>
      </w:ins>
      <w:ins w:id="1377" w:author="PR Preview" w:date="2024-01-01T00:00:00Z">
        <w:r>
          <w:t xml:space="preserve">You’re not sure whether the failure is due to code issues</w:t>
        </w:r>
      </w:ins>
      <w:ins w:id="1377" w:author="PR Preview" w:date="2024-01-01T00:00:00Z">
        <w:r>
          <w:t xml:space="preserve"> </w:t>
        </w:r>
      </w:ins>
      <w:ins w:id="1377" w:author="PR Preview" w:date="2024-01-01T00:00:00Z">
        <w:r>
          <w:t xml:space="preserve">or workflow configuration problems.</w:t>
        </w:r>
      </w:ins>
    </w:p>
    <w:p>
      <w:pPr>
        <w:pStyle w:val="BodyText"/>
      </w:pPr>
      <w:ins w:id="1378" w:author="PR Preview" w:date="2024-01-01T00:00:00Z">
        <w:r>
          <w:rPr>
            <w:b/>
            <w:bCs/>
          </w:rPr>
          <w:t xml:space="preserve">Recommended approach:</w:t>
        </w:r>
      </w:ins>
    </w:p>
    <w:p>
      <w:pPr>
        <w:pStyle w:val="Compact"/>
        <w:numPr>
          <w:ilvl w:val="0"/>
          <w:numId w:val="1136"/>
        </w:numPr>
      </w:pPr>
      <w:ins w:id="1379" w:author="PR Preview" w:date="2024-01-01T00:00:00Z">
        <w:r>
          <w:rPr>
            <w:b/>
            <w:bCs/>
          </w:rPr>
          <w:t xml:space="preserve">First, examine the workflow logs</w:t>
        </w:r>
      </w:ins>
      <w:ins w:id="1379" w:author="PR Preview" w:date="2024-01-01T00:00:00Z">
        <w:r>
          <w:t xml:space="preserve">:</w:t>
        </w:r>
      </w:ins>
    </w:p>
    <w:p>
      <w:pPr>
        <w:pStyle w:val="Compact"/>
        <w:numPr>
          <w:ilvl w:val="1"/>
          <w:numId w:val="1137"/>
        </w:numPr>
      </w:pPr>
      <w:ins w:id="1380" w:author="PR Preview" w:date="2024-01-01T00:00:00Z">
        <w:r>
          <w:t xml:space="preserve">Look at the error messages in the GitHub Actions tab</w:t>
        </w:r>
      </w:ins>
    </w:p>
    <w:p>
      <w:pPr>
        <w:pStyle w:val="Compact"/>
        <w:numPr>
          <w:ilvl w:val="1"/>
          <w:numId w:val="1137"/>
        </w:numPr>
      </w:pPr>
      <w:ins w:id="1381" w:author="PR Preview" w:date="2024-01-01T00:00:00Z">
        <w:r>
          <w:t xml:space="preserve">Identify whether the error is in your code or the workflow itself</w:t>
        </w:r>
      </w:ins>
    </w:p>
    <w:p>
      <w:pPr>
        <w:pStyle w:val="Compact"/>
        <w:numPr>
          <w:ilvl w:val="1"/>
          <w:numId w:val="1137"/>
        </w:numPr>
      </w:pPr>
      <w:ins w:id="1382" w:author="PR Preview" w:date="2024-01-01T00:00:00Z">
        <w:r>
          <w:t xml:space="preserve">Common code issues: test failures, linting errors, compilation errors</w:t>
        </w:r>
      </w:ins>
    </w:p>
    <w:p>
      <w:pPr>
        <w:pStyle w:val="Compact"/>
        <w:numPr>
          <w:ilvl w:val="1"/>
          <w:numId w:val="1137"/>
        </w:numPr>
      </w:pPr>
      <w:ins w:id="1383" w:author="PR Preview" w:date="2024-01-01T00:00:00Z">
        <w:r>
          <w:t xml:space="preserve">Common workflow issues: YAML syntax errors, missing actions, permission errors</w:t>
        </w:r>
      </w:ins>
    </w:p>
    <w:p>
      <w:pPr>
        <w:pStyle w:val="Compact"/>
        <w:numPr>
          <w:ilvl w:val="0"/>
          <w:numId w:val="1136"/>
        </w:numPr>
      </w:pPr>
      <w:ins w:id="1384" w:author="PR Preview" w:date="2024-01-01T00:00:00Z">
        <w:r>
          <w:rPr>
            <w:b/>
            <w:bCs/>
          </w:rPr>
          <w:t xml:space="preserve">Use a diagnostic prompt</w:t>
        </w:r>
      </w:ins>
      <w:ins w:id="1384" w:author="PR Preview" w:date="2024-01-01T00:00:00Z">
        <w:r>
          <w:t xml:space="preserve">:</w:t>
        </w:r>
      </w:ins>
    </w:p>
    <w:p>
      <w:pPr>
        <w:pStyle w:val="Compact"/>
        <w:numPr>
          <w:ilvl w:val="1"/>
          <w:numId w:val="1138"/>
        </w:numPr>
      </w:pPr>
      <w:ins w:id="1385" w:author="PR Preview" w:date="2024-01-01T00:00:00Z">
        <w:r>
          <w:t xml:space="preserve">“examine the failing workflow logs and identify whether the issue is in the code or the workflow configuration”</w:t>
        </w:r>
      </w:ins>
    </w:p>
    <w:p>
      <w:pPr>
        <w:pStyle w:val="Compact"/>
        <w:numPr>
          <w:ilvl w:val="1"/>
          <w:numId w:val="1138"/>
        </w:numPr>
      </w:pPr>
      <w:ins w:id="1386" w:author="PR Preview" w:date="2024-01-01T00:00:00Z">
        <w:r>
          <w:t xml:space="preserve">“diagnose the root cause of the workflow failure”</w:t>
        </w:r>
      </w:ins>
    </w:p>
    <w:p>
      <w:pPr>
        <w:pStyle w:val="Compact"/>
        <w:numPr>
          <w:ilvl w:val="0"/>
          <w:numId w:val="1136"/>
        </w:numPr>
      </w:pPr>
      <w:ins w:id="1387" w:author="PR Preview" w:date="2024-01-01T00:00:00Z">
        <w:r>
          <w:rPr>
            <w:b/>
            <w:bCs/>
          </w:rPr>
          <w:t xml:space="preserve">Then use the appropriate scenario above</w:t>
        </w:r>
      </w:ins>
      <w:ins w:id="1387" w:author="PR Preview" w:date="2024-01-01T00:00:00Z">
        <w:r>
          <w:t xml:space="preserve">:</w:t>
        </w:r>
      </w:ins>
      <w:ins w:id="1387" w:author="PR Preview" w:date="2024-01-01T00:00:00Z">
        <w:r>
          <w:t xml:space="preserve"> </w:t>
        </w:r>
      </w:ins>
      <w:ins w:id="1387" w:author="PR Preview" w:date="2024-01-01T00:00:00Z">
        <w:r>
          <w:t xml:space="preserve">Once you understand the issue,</w:t>
        </w:r>
      </w:ins>
      <w:ins w:id="1387" w:author="PR Preview" w:date="2024-01-01T00:00:00Z">
        <w:r>
          <w:t xml:space="preserve"> </w:t>
        </w:r>
      </w:ins>
      <w:ins w:id="1387" w:author="PR Preview" w:date="2024-01-01T00:00:00Z">
        <w:r>
          <w:t xml:space="preserve">use the specific prompts from Scenario 1 or 2.</w:t>
        </w:r>
      </w:ins>
    </w:p>
    <w:p>
      <w:pPr>
        <w:pStyle w:val="FirstParagraph"/>
      </w:pPr>
      <w:ins w:id="1388" w:author="PR Preview" w:date="2024-01-01T00:00:00Z">
        <w:r>
          <w:rPr>
            <w:b/>
            <w:bCs/>
          </w:rPr>
          <w:t xml:space="preserve">Example workflow:</w:t>
        </w:r>
      </w:ins>
    </w:p>
    <w:p>
      <w:pPr>
        <w:pStyle w:val="SourceCode"/>
      </w:pPr>
      <w:ins w:id="1389" w:author="PR Preview" w:date="2024-01-01T00:00:00Z">
        <w:r>
          <w:rPr>
            <w:rStyle w:val="VerbatimChar"/>
          </w:rPr>
          <w:t xml:space="preserve">1. Prompt: "examine the failing workflow logs and identify the issue"</w:t>
        </w:r>
      </w:ins>
      <w:ins w:id="1389" w:author="PR Preview" w:date="2024-01-01T00:00:00Z">
        <w:r>
          <w:br/>
        </w:r>
      </w:ins>
      <w:ins w:id="1389" w:author="PR Preview" w:date="2024-01-01T00:00:00Z">
        <w:r>
          <w:rPr>
            <w:rStyle w:val="VerbatimChar"/>
          </w:rPr>
          <w:t xml:space="preserve">2. Copilot responds: "The workflow is failing because of linting errors</w:t>
        </w:r>
      </w:ins>
      <w:ins w:id="1389" w:author="PR Preview" w:date="2024-01-01T00:00:00Z">
        <w:r>
          <w:br/>
        </w:r>
      </w:ins>
      <w:ins w:id="1389" w:author="PR Preview" w:date="2024-01-01T00:00:00Z">
        <w:r>
          <w:rPr>
            <w:rStyle w:val="VerbatimChar"/>
          </w:rPr>
          <w:t xml:space="preserve">   in src/analysis.R"</w:t>
        </w:r>
      </w:ins>
      <w:ins w:id="1389" w:author="PR Preview" w:date="2024-01-01T00:00:00Z">
        <w:r>
          <w:br/>
        </w:r>
      </w:ins>
      <w:ins w:id="1389" w:author="PR Preview" w:date="2024-01-01T00:00:00Z">
        <w:r>
          <w:rPr>
            <w:rStyle w:val="VerbatimChar"/>
          </w:rPr>
          <w:t xml:space="preserve">3. Prompt: "fix the linting errors in src/analysis.R"</w:t>
        </w:r>
      </w:ins>
    </w:p>
    <w:bookmarkEnd w:id="426"/>
    <w:bookmarkStart w:id="428" w:name="additional-resources-1"/>
    <w:p>
      <w:pPr>
        <w:pStyle w:val="Heading4"/>
      </w:pPr>
      <w:ins w:id="1390" w:author="PR Preview" w:date="2024-01-01T00:00:00Z">
        <w:r>
          <w:t xml:space="preserve">17.4.4.4 Additional Resources</w:t>
        </w:r>
      </w:ins>
    </w:p>
    <w:p>
      <w:pPr>
        <w:pStyle w:val="Compact"/>
        <w:numPr>
          <w:ilvl w:val="0"/>
          <w:numId w:val="1139"/>
        </w:numPr>
      </w:pPr>
      <w:ins w:id="1391" w:author="PR Preview" w:date="2024-01-01T00:00:00Z">
        <w:r>
          <w:t xml:space="preserve">See the</w:t>
        </w:r>
      </w:ins>
      <w:ins w:id="1391" w:author="PR Preview" w:date="2024-01-01T00:00:00Z">
        <w:r>
          <w:t xml:space="preserve"> </w:t>
        </w:r>
      </w:ins>
      <w:hyperlink w:anchor="sec-r-ci">
        <w:r>
          <w:rPr>
            <w:rStyle w:val="Hyperlink"/>
          </w:rPr>
          <w:t xml:space="preserve">Continuous Integration</w:t>
        </w:r>
      </w:hyperlink>
      <w:ins w:id="1391" w:author="PR Preview" w:date="2024-01-01T00:00:00Z">
        <w:r>
          <w:t xml:space="preserve"> </w:t>
        </w:r>
      </w:ins>
      <w:ins w:id="1391" w:author="PR Preview" w:date="2024-01-01T00:00:00Z">
        <w:r>
          <w:t xml:space="preserve">section in the R Coding Practices chapter for setting up GitHub Actions workflows</w:t>
        </w:r>
      </w:ins>
    </w:p>
    <w:p>
      <w:pPr>
        <w:pStyle w:val="Compact"/>
        <w:numPr>
          <w:ilvl w:val="0"/>
          <w:numId w:val="1139"/>
        </w:numPr>
      </w:pPr>
      <w:ins w:id="1392" w:author="PR Preview" w:date="2024-01-01T00:00:00Z">
        <w:r>
          <w:t xml:space="preserve">See the</w:t>
        </w:r>
      </w:ins>
      <w:ins w:id="1392" w:author="PR Preview" w:date="2024-01-01T00:00:00Z">
        <w:r>
          <w:t xml:space="preserve"> </w:t>
        </w:r>
      </w:ins>
      <w:ins w:id="1392" w:author="PR Preview" w:date="2024-01-01T00:00:00Z">
        <w:r>
          <w:t xml:space="preserve">“Best Practices”</w:t>
        </w:r>
      </w:ins>
      <w:ins w:id="1392" w:author="PR Preview" w:date="2024-01-01T00:00:00Z">
        <w:r>
          <w:t xml:space="preserve"> </w:t>
        </w:r>
      </w:ins>
      <w:ins w:id="1392" w:author="PR Preview" w:date="2024-01-01T00:00:00Z">
        <w:r>
          <w:t xml:space="preserve">and</w:t>
        </w:r>
      </w:ins>
      <w:ins w:id="1392" w:author="PR Preview" w:date="2024-01-01T00:00:00Z">
        <w:r>
          <w:t xml:space="preserve"> </w:t>
        </w:r>
      </w:ins>
      <w:ins w:id="1392" w:author="PR Preview" w:date="2024-01-01T00:00:00Z">
        <w:r>
          <w:t xml:space="preserve">“Benefits and Hazards”</w:t>
        </w:r>
      </w:ins>
      <w:ins w:id="1392" w:author="PR Preview" w:date="2024-01-01T00:00:00Z">
        <w:r>
          <w:t xml:space="preserve"> </w:t>
        </w:r>
      </w:ins>
      <w:ins w:id="1392" w:author="PR Preview" w:date="2024-01-01T00:00:00Z">
        <w:r>
          <w:t xml:space="preserve">sections above for security considerations with workflow files</w:t>
        </w:r>
      </w:ins>
    </w:p>
    <w:p>
      <w:pPr>
        <w:pStyle w:val="Compact"/>
        <w:numPr>
          <w:ilvl w:val="0"/>
          <w:numId w:val="1139"/>
        </w:numPr>
      </w:pPr>
      <w:ins w:id="1393" w:author="PR Preview" w:date="2024-01-01T00:00:00Z">
        <w:r>
          <w:t xml:space="preserve">See the</w:t>
        </w:r>
      </w:ins>
      <w:ins w:id="1393" w:author="PR Preview" w:date="2024-01-01T00:00:00Z">
        <w:r>
          <w:t xml:space="preserve"> </w:t>
        </w:r>
      </w:ins>
      <w:ins w:id="1393" w:author="PR Preview" w:date="2024-01-01T00:00:00Z">
        <w:r>
          <w:t xml:space="preserve">“When to use a coding agent”</w:t>
        </w:r>
      </w:ins>
      <w:ins w:id="1393" w:author="PR Preview" w:date="2024-01-01T00:00:00Z">
        <w:r>
          <w:t xml:space="preserve"> </w:t>
        </w:r>
      </w:ins>
      <w:ins w:id="1393" w:author="PR Preview" w:date="2024-01-01T00:00:00Z">
        <w:r>
          <w:t xml:space="preserve">section above for guidance on when to use Copilot vs. fixing issues yourself</w:t>
        </w:r>
      </w:ins>
    </w:p>
    <w:p>
      <w:pPr>
        <w:pStyle w:val="Compact"/>
        <w:numPr>
          <w:ilvl w:val="0"/>
          <w:numId w:val="1139"/>
        </w:numPr>
      </w:pPr>
      <w:ins w:id="1394" w:author="PR Preview" w:date="2024-01-01T00:00:00Z">
        <w:r>
          <w:t xml:space="preserve">See the</w:t>
        </w:r>
      </w:ins>
      <w:ins w:id="1394" w:author="PR Preview" w:date="2024-01-01T00:00:00Z">
        <w:r>
          <w:t xml:space="preserve"> </w:t>
        </w:r>
      </w:ins>
      <w:hyperlink r:id="rId427">
        <w:r>
          <w:rPr>
            <w:rStyle w:val="Hyperlink"/>
          </w:rPr>
          <w:t xml:space="preserve">GitHub Actions documentation</w:t>
        </w:r>
      </w:hyperlink>
      <w:ins w:id="1394" w:author="PR Preview" w:date="2024-01-01T00:00:00Z">
        <w:r>
          <w:t xml:space="preserve"> </w:t>
        </w:r>
      </w:ins>
      <w:ins w:id="1394" w:author="PR Preview" w:date="2024-01-01T00:00:00Z">
        <w:r>
          <w:t xml:space="preserve">for workflow syntax and troubleshooting</w:t>
        </w:r>
      </w:ins>
    </w:p>
    <w:bookmarkEnd w:id="428"/>
    <w:bookmarkEnd w:id="429"/>
    <w:bookmarkStart w:id="435" w:name="benefits-and-hazards"/>
    <w:p>
      <w:pPr>
        <w:pStyle w:val="Heading3"/>
      </w:pPr>
      <w:ins w:id="1395" w:author="PR Preview" w:date="2024-01-01T00:00:00Z">
        <w:r>
          <w:t xml:space="preserve">17.4.5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1"/>
        </w:numPr>
      </w:pPr>
      <w:r>
        <w:rPr>
          <w:b/>
          <w:bCs/>
        </w:rPr>
        <w:t xml:space="preserve">Subtle bugs</w:t>
      </w:r>
      <w:r>
        <w:t xml:space="preserve">:</w:t>
      </w:r>
      <w:r>
        <w:t xml:space="preserve"> </w:t>
      </w:r>
      <w:r>
        <w:t xml:space="preserve">AI-generated code may contain logic errors that are not immediately obvious</w:t>
      </w:r>
    </w:p>
    <w:p>
      <w:pPr>
        <w:numPr>
          <w:ilvl w:val="0"/>
          <w:numId w:val="114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4" w:name="further-readingviewing"/>
    <w:p>
      <w:pPr>
        <w:pStyle w:val="Heading4"/>
      </w:pPr>
      <w:ins w:id="1412" w:author="PR Preview" w:date="2024-01-01T00:00:00Z">
        <w:r>
          <w:t xml:space="preserve">17.4.5.1 Further reading/viewing</w:t>
        </w:r>
      </w:ins>
    </w:p>
    <w:p>
      <w:pPr>
        <w:pStyle w:val="Compact"/>
        <w:numPr>
          <w:ilvl w:val="0"/>
          <w:numId w:val="1142"/>
        </w:numPr>
      </w:pPr>
      <w:r>
        <w:rPr>
          <w:i/>
          <w:iCs/>
        </w:rPr>
        <w:t xml:space="preserve">I Robot</w:t>
      </w:r>
      <w:r>
        <w:t xml:space="preserve"> </w:t>
      </w:r>
      <w:r>
        <w:t xml:space="preserve">(Asimov 1950)</w:t>
      </w:r>
    </w:p>
    <w:p>
      <w:pPr>
        <w:pStyle w:val="Compact"/>
        <w:numPr>
          <w:ilvl w:val="0"/>
          <w:numId w:val="1142"/>
        </w:numPr>
      </w:pPr>
      <w:r>
        <w:rPr>
          <w:i/>
          <w:iCs/>
        </w:rPr>
        <w:t xml:space="preserve">Dune</w:t>
      </w:r>
      <w:r>
        <w:t xml:space="preserve"> </w:t>
      </w:r>
      <w:r>
        <w:t xml:space="preserve">(Herbert 1965)</w:t>
      </w:r>
    </w:p>
    <w:p>
      <w:pPr>
        <w:pStyle w:val="Compact"/>
        <w:numPr>
          <w:ilvl w:val="0"/>
          <w:numId w:val="1142"/>
        </w:numPr>
      </w:pPr>
      <w:r>
        <w:t xml:space="preserve">“2001: A Space Odyssey”</w:t>
      </w:r>
      <w:r>
        <w:t xml:space="preserve"> </w:t>
      </w:r>
      <w:r>
        <w:t xml:space="preserve">(1968)</w:t>
      </w:r>
    </w:p>
    <w:p>
      <w:pPr>
        <w:pStyle w:val="Compact"/>
        <w:numPr>
          <w:ilvl w:val="0"/>
          <w:numId w:val="1142"/>
        </w:numPr>
      </w:pPr>
      <w:r>
        <w:t xml:space="preserve">“Terminator 3: Rise of the Machines”</w:t>
      </w:r>
      <w:r>
        <w:t xml:space="preserve"> </w:t>
      </w:r>
      <w:r>
        <w:t xml:space="preserve">(2003)</w:t>
      </w:r>
    </w:p>
    <w:p>
      <w:pPr>
        <w:pStyle w:val="Compact"/>
        <w:numPr>
          <w:ilvl w:val="0"/>
          <w:numId w:val="1142"/>
        </w:numPr>
      </w:pPr>
      <w:r>
        <w:t xml:space="preserve">“The Matrix”</w:t>
      </w:r>
      <w:r>
        <w:t xml:space="preserve"> </w:t>
      </w:r>
      <w:r>
        <w:t xml:space="preserve">(1999)</w:t>
      </w:r>
    </w:p>
    <w:p>
      <w:pPr>
        <w:pStyle w:val="Compact"/>
        <w:numPr>
          <w:ilvl w:val="0"/>
          <w:numId w:val="1142"/>
        </w:numPr>
      </w:pPr>
      <w:r>
        <w:t xml:space="preserve">“Blade Runner”</w:t>
      </w:r>
      <w:r>
        <w:t xml:space="preserve"> </w:t>
      </w:r>
      <w:r>
        <w:t xml:space="preserve">(1982)</w:t>
      </w:r>
    </w:p>
    <w:p>
      <w:pPr>
        <w:pStyle w:val="Compact"/>
        <w:numPr>
          <w:ilvl w:val="0"/>
          <w:numId w:val="1142"/>
        </w:numPr>
      </w:pPr>
      <w:r>
        <w:t xml:space="preserve">“WarGames”</w:t>
      </w:r>
      <w:r>
        <w:t xml:space="preserve"> </w:t>
      </w:r>
      <w:r>
        <w:t xml:space="preserve">(1983)</w:t>
      </w:r>
    </w:p>
    <w:p>
      <w:pPr>
        <w:pStyle w:val="Compact"/>
        <w:numPr>
          <w:ilvl w:val="0"/>
          <w:numId w:val="114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2"/>
        </w:numPr>
      </w:pPr>
      <w:r>
        <w:rPr>
          <w:i/>
          <w:iCs/>
        </w:rPr>
        <w:t xml:space="preserve">Ender’s Game</w:t>
      </w:r>
      <w:r>
        <w:t xml:space="preserve"> </w:t>
      </w:r>
      <w:r>
        <w:t xml:space="preserve">(Card 1985)</w:t>
      </w:r>
    </w:p>
    <w:p>
      <w:pPr>
        <w:pStyle w:val="Compact"/>
        <w:numPr>
          <w:ilvl w:val="0"/>
          <w:numId w:val="114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1" name="Picture"/>
            <a:graphic>
              <a:graphicData uri="http://schemas.openxmlformats.org/drawingml/2006/picture">
                <pic:pic>
                  <pic:nvPicPr>
                    <pic:cNvPr descr="assets/images/matrix-agents.png" id="432" name="Picture"/>
                    <pic:cNvPicPr>
                      <a:picLocks noChangeArrowheads="1" noChangeAspect="1"/>
                    </pic:cNvPicPr>
                  </pic:nvPicPr>
                  <pic:blipFill>
                    <a:blip r:embed="rId4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3">
        <w:r>
          <w:rPr>
            <w:rStyle w:val="Hyperlink"/>
          </w:rPr>
          <w:t xml:space="preserve">Agents</w:t>
        </w:r>
      </w:hyperlink>
    </w:p>
    <w:bookmarkEnd w:id="434"/>
    <w:bookmarkEnd w:id="435"/>
    <w:bookmarkStart w:id="438" w:name="X4df097a63b2e25878cfbc7228b7eb578be2e8c9"/>
    <w:p>
      <w:pPr>
        <w:pStyle w:val="Heading3"/>
      </w:pPr>
      <w:ins w:id="1425" w:author="PR Preview" w:date="2024-01-01T00:00:00Z">
        <w:r>
          <w:t xml:space="preserve">17.4.6 Best Practices for Safe and Successful Use</w:t>
        </w:r>
      </w:ins>
    </w:p>
    <w:p>
      <w:pPr>
        <w:pStyle w:val="FirstParagraph"/>
      </w:pPr>
      <w:r>
        <w:t xml:space="preserve">To work with coding agents safely and successfully:</w:t>
      </w:r>
    </w:p>
    <w:p>
      <w:pPr>
        <w:numPr>
          <w:ilvl w:val="0"/>
          <w:numId w:val="114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warning.png" id="437"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4"/>
              </w:numPr>
            </w:pPr>
            <w:r>
              <w:t xml:space="preserve">Access secrets and credentials</w:t>
            </w:r>
          </w:p>
          <w:p>
            <w:pPr>
              <w:pStyle w:val="Compact"/>
              <w:numPr>
                <w:ilvl w:val="0"/>
                <w:numId w:val="1144"/>
              </w:numPr>
            </w:pPr>
            <w:r>
              <w:t xml:space="preserve">Deploy code to production</w:t>
            </w:r>
          </w:p>
          <w:p>
            <w:pPr>
              <w:pStyle w:val="Compact"/>
              <w:numPr>
                <w:ilvl w:val="0"/>
                <w:numId w:val="114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8"/>
    <w:bookmarkStart w:id="443" w:name="firewall-and-network-configuration"/>
    <w:p>
      <w:pPr>
        <w:pStyle w:val="Heading3"/>
      </w:pPr>
      <w:ins w:id="1437" w:author="PR Preview" w:date="2024-01-01T00:00:00Z">
        <w:r>
          <w:t xml:space="preserve">17.4.7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0" w:name="built-in-agent-firewall"/>
    <w:p>
      <w:pPr>
        <w:pStyle w:val="Heading4"/>
      </w:pPr>
      <w:ins w:id="1439" w:author="PR Preview" w:date="2024-01-01T00:00:00Z">
        <w:r>
          <w:t xml:space="preserve">17.4.7.1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5"/>
        </w:numPr>
      </w:pPr>
      <w:r>
        <w:t xml:space="preserve">Data exfiltration</w:t>
      </w:r>
    </w:p>
    <w:p>
      <w:pPr>
        <w:pStyle w:val="Compact"/>
        <w:numPr>
          <w:ilvl w:val="0"/>
          <w:numId w:val="1145"/>
        </w:numPr>
      </w:pPr>
      <w:r>
        <w:t xml:space="preserve">Accidental leaks of sensitive information</w:t>
      </w:r>
    </w:p>
    <w:p>
      <w:pPr>
        <w:pStyle w:val="Compact"/>
        <w:numPr>
          <w:ilvl w:val="0"/>
          <w:numId w:val="1145"/>
        </w:numPr>
      </w:pPr>
      <w:r>
        <w:t xml:space="preserve">Execution of malicious instructions</w:t>
      </w:r>
    </w:p>
    <w:p>
      <w:pPr>
        <w:pStyle w:val="FirstParagraph"/>
      </w:pPr>
      <w:r>
        <w:t xml:space="preserve">By default, the agent’s firewall allows access to:</w:t>
      </w:r>
    </w:p>
    <w:p>
      <w:pPr>
        <w:pStyle w:val="Compact"/>
        <w:numPr>
          <w:ilvl w:val="0"/>
          <w:numId w:val="1146"/>
        </w:numPr>
      </w:pPr>
      <w:r>
        <w:t xml:space="preserve">Common OS package repositories (Debian, Ubuntu, Red Hat, etc.)</w:t>
      </w:r>
    </w:p>
    <w:p>
      <w:pPr>
        <w:pStyle w:val="Compact"/>
        <w:numPr>
          <w:ilvl w:val="0"/>
          <w:numId w:val="1146"/>
        </w:numPr>
      </w:pPr>
      <w:r>
        <w:t xml:space="preserve">Popular container registries (Docker Hub, Azure Container Registry, AWS ECR, etc.)</w:t>
      </w:r>
    </w:p>
    <w:p>
      <w:pPr>
        <w:pStyle w:val="Compact"/>
        <w:numPr>
          <w:ilvl w:val="0"/>
          <w:numId w:val="1146"/>
        </w:numPr>
      </w:pPr>
      <w:r>
        <w:t xml:space="preserve">Language-specific package registries (npm, PyPI, Maven, RubyGems, etc.)</w:t>
      </w:r>
    </w:p>
    <w:p>
      <w:pPr>
        <w:pStyle w:val="Compact"/>
        <w:numPr>
          <w:ilvl w:val="0"/>
          <w:numId w:val="114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9">
        <w:r>
          <w:rPr>
            <w:rStyle w:val="Hyperlink"/>
          </w:rPr>
          <w:t xml:space="preserve">Copilot allowlist reference</w:t>
        </w:r>
      </w:hyperlink>
      <w:r>
        <w:t xml:space="preserve">.</w:t>
      </w:r>
    </w:p>
    <w:bookmarkEnd w:id="440"/>
    <w:bookmarkStart w:id="442" w:name="customizing-agent-firewall-settings"/>
    <w:p>
      <w:pPr>
        <w:pStyle w:val="Heading4"/>
      </w:pPr>
      <w:ins w:id="1450" w:author="PR Preview" w:date="2024-01-01T00:00:00Z">
        <w:r>
          <w:t xml:space="preserve">17.4.7.2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7"/>
        </w:numPr>
      </w:pPr>
      <w:r>
        <w:t xml:space="preserve">Add custom hosts to the allowlist (for internal dependencies or additional registries)</w:t>
      </w:r>
    </w:p>
    <w:p>
      <w:pPr>
        <w:pStyle w:val="Compact"/>
        <w:numPr>
          <w:ilvl w:val="0"/>
          <w:numId w:val="1147"/>
        </w:numPr>
      </w:pPr>
      <w:r>
        <w:t xml:space="preserve">Opt out of the default recommended allowlist for stricter security</w:t>
      </w:r>
    </w:p>
    <w:p>
      <w:pPr>
        <w:pStyle w:val="Compact"/>
        <w:numPr>
          <w:ilvl w:val="0"/>
          <w:numId w:val="114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1">
        <w:r>
          <w:rPr>
            <w:rStyle w:val="Hyperlink"/>
          </w:rPr>
          <w:t xml:space="preserve">Customizing or disabling the firewall for GitHub Copilot coding agent</w:t>
        </w:r>
      </w:hyperlink>
      <w:r>
        <w:t xml:space="preserve">.</w:t>
      </w:r>
    </w:p>
    <w:bookmarkEnd w:id="442"/>
    <w:bookmarkEnd w:id="443"/>
    <w:bookmarkStart w:id="454" w:name="configuring-the-agent-environment"/>
    <w:p>
      <w:pPr>
        <w:pStyle w:val="Heading3"/>
      </w:pPr>
      <w:ins w:id="1457" w:author="PR Preview" w:date="2024-01-01T00:00:00Z">
        <w:r>
          <w:t xml:space="preserve">17.4.8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4" w:name="why-configure-the-environment"/>
    <w:p>
      <w:pPr>
        <w:pStyle w:val="Heading4"/>
      </w:pPr>
      <w:ins w:id="1459" w:author="PR Preview" w:date="2024-01-01T00:00:00Z">
        <w:r>
          <w:t xml:space="preserve">17.4.8.1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8"/>
        </w:numPr>
      </w:pPr>
      <w:r>
        <w:t xml:space="preserve">Faster agent startup and execution</w:t>
      </w:r>
    </w:p>
    <w:p>
      <w:pPr>
        <w:pStyle w:val="Compact"/>
        <w:numPr>
          <w:ilvl w:val="0"/>
          <w:numId w:val="1148"/>
        </w:numPr>
      </w:pPr>
      <w:r>
        <w:t xml:space="preserve">More reliable builds and tests</w:t>
      </w:r>
    </w:p>
    <w:p>
      <w:pPr>
        <w:pStyle w:val="Compact"/>
        <w:numPr>
          <w:ilvl w:val="0"/>
          <w:numId w:val="1148"/>
        </w:numPr>
      </w:pPr>
      <w:r>
        <w:t xml:space="preserve">Access to private or authenticated dependencies</w:t>
      </w:r>
    </w:p>
    <w:p>
      <w:pPr>
        <w:pStyle w:val="Compact"/>
        <w:numPr>
          <w:ilvl w:val="0"/>
          <w:numId w:val="1148"/>
        </w:numPr>
      </w:pPr>
      <w:r>
        <w:t xml:space="preserve">Consistent development environment across all agent sessions</w:t>
      </w:r>
    </w:p>
    <w:bookmarkEnd w:id="444"/>
    <w:bookmarkStart w:id="445" w:name="file-location-and-structure"/>
    <w:p>
      <w:pPr>
        <w:pStyle w:val="Heading4"/>
      </w:pPr>
      <w:ins w:id="1465" w:author="PR Preview" w:date="2024-01-01T00:00:00Z">
        <w:r>
          <w:t xml:space="preserve">17.4.8.2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5"/>
    <w:bookmarkStart w:id="446" w:name="basic-configuration-example"/>
    <w:p>
      <w:pPr>
        <w:pStyle w:val="Heading4"/>
      </w:pPr>
      <w:ins w:id="1467" w:author="PR Preview" w:date="2024-01-01T00:00:00Z">
        <w:r>
          <w:t xml:space="preserve">17.4.8.3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46"/>
    <w:bookmarkStart w:id="447" w:name="configurable-options"/>
    <w:p>
      <w:pPr>
        <w:pStyle w:val="Heading4"/>
      </w:pPr>
      <w:ins w:id="1469" w:author="PR Preview" w:date="2024-01-01T00:00:00Z">
        <w:r>
          <w:t xml:space="preserve">17.4.8.4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9"/>
        </w:numPr>
      </w:pPr>
      <w:r>
        <w:rPr>
          <w:rStyle w:val="VerbatimChar"/>
        </w:rPr>
        <w:t xml:space="preserve">steps</w:t>
      </w:r>
      <w:r>
        <w:t xml:space="preserve">: Setup commands and actions to run</w:t>
      </w:r>
    </w:p>
    <w:p>
      <w:pPr>
        <w:pStyle w:val="Compact"/>
        <w:numPr>
          <w:ilvl w:val="0"/>
          <w:numId w:val="114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9"/>
        </w:numPr>
      </w:pPr>
      <w:r>
        <w:rPr>
          <w:rStyle w:val="VerbatimChar"/>
        </w:rPr>
        <w:t xml:space="preserve">runs-on</w:t>
      </w:r>
      <w:r>
        <w:t xml:space="preserve">: Runner type (Ubuntu x64 Linux only)</w:t>
      </w:r>
    </w:p>
    <w:p>
      <w:pPr>
        <w:pStyle w:val="Compact"/>
        <w:numPr>
          <w:ilvl w:val="0"/>
          <w:numId w:val="1149"/>
        </w:numPr>
      </w:pPr>
      <w:r>
        <w:rPr>
          <w:rStyle w:val="VerbatimChar"/>
        </w:rPr>
        <w:t xml:space="preserve">services</w:t>
      </w:r>
      <w:r>
        <w:t xml:space="preserve">: Database or service containers</w:t>
      </w:r>
    </w:p>
    <w:p>
      <w:pPr>
        <w:pStyle w:val="Compact"/>
        <w:numPr>
          <w:ilvl w:val="0"/>
          <w:numId w:val="1149"/>
        </w:numPr>
      </w:pPr>
      <w:r>
        <w:rPr>
          <w:rStyle w:val="VerbatimChar"/>
        </w:rPr>
        <w:t xml:space="preserve">snapshot</w:t>
      </w:r>
      <w:r>
        <w:t xml:space="preserve">: Save environment state</w:t>
      </w:r>
    </w:p>
    <w:p>
      <w:pPr>
        <w:pStyle w:val="Compact"/>
        <w:numPr>
          <w:ilvl w:val="0"/>
          <w:numId w:val="1149"/>
        </w:numPr>
      </w:pPr>
      <w:r>
        <w:rPr>
          <w:rStyle w:val="VerbatimChar"/>
        </w:rPr>
        <w:t xml:space="preserve">timeout-minutes</w:t>
      </w:r>
      <w:r>
        <w:t xml:space="preserve">: Maximum 59 minutes</w:t>
      </w:r>
    </w:p>
    <w:p>
      <w:pPr>
        <w:pStyle w:val="FirstParagraph"/>
      </w:pPr>
      <w:r>
        <w:t xml:space="preserve">All other workflow settings are ignored by Copilot.</w:t>
      </w:r>
    </w:p>
    <w:bookmarkEnd w:id="447"/>
    <w:bookmarkStart w:id="448" w:name="common-setup-tasks"/>
    <w:p>
      <w:pPr>
        <w:pStyle w:val="Heading4"/>
      </w:pPr>
      <w:ins w:id="1478" w:author="PR Preview" w:date="2024-01-01T00:00:00Z">
        <w:r>
          <w:t xml:space="preserve">17.4.8.5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8"/>
    <w:bookmarkStart w:id="449" w:name="environment-variables-and-secrets"/>
    <w:p>
      <w:pPr>
        <w:pStyle w:val="Heading4"/>
      </w:pPr>
      <w:ins w:id="1485" w:author="PR Preview" w:date="2024-01-01T00:00:00Z">
        <w:r>
          <w:t xml:space="preserve">17.4.8.6 Environment Variables and Secrets</w:t>
        </w:r>
      </w:ins>
    </w:p>
    <w:p>
      <w:pPr>
        <w:pStyle w:val="FirstParagraph"/>
      </w:pPr>
      <w:r>
        <w:t xml:space="preserve">To set environment variables for Copilot:</w:t>
      </w:r>
    </w:p>
    <w:p>
      <w:pPr>
        <w:pStyle w:val="Compact"/>
        <w:numPr>
          <w:ilvl w:val="0"/>
          <w:numId w:val="1150"/>
        </w:numPr>
      </w:pPr>
      <w:r>
        <w:t xml:space="preserve">Navigate to your repository’s</w:t>
      </w:r>
      <w:r>
        <w:t xml:space="preserve"> </w:t>
      </w:r>
      <w:r>
        <w:rPr>
          <w:b/>
          <w:bCs/>
        </w:rPr>
        <w:t xml:space="preserve">Settings</w:t>
      </w:r>
    </w:p>
    <w:p>
      <w:pPr>
        <w:pStyle w:val="Compact"/>
        <w:numPr>
          <w:ilvl w:val="0"/>
          <w:numId w:val="1150"/>
        </w:numPr>
      </w:pPr>
      <w:r>
        <w:t xml:space="preserve">Go to</w:t>
      </w:r>
      <w:r>
        <w:t xml:space="preserve"> </w:t>
      </w:r>
      <w:r>
        <w:rPr>
          <w:b/>
          <w:bCs/>
        </w:rPr>
        <w:t xml:space="preserve">Environments</w:t>
      </w:r>
    </w:p>
    <w:p>
      <w:pPr>
        <w:pStyle w:val="Compact"/>
        <w:numPr>
          <w:ilvl w:val="0"/>
          <w:numId w:val="115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0"/>
        </w:numPr>
      </w:pPr>
      <w:r>
        <w:t xml:space="preserve">Add environment variables or secrets as needed</w:t>
      </w:r>
    </w:p>
    <w:p>
      <w:pPr>
        <w:pStyle w:val="FirstParagraph"/>
      </w:pPr>
      <w:r>
        <w:t xml:space="preserve">Use secrets for sensitive values like API keys or passwords.</w:t>
      </w:r>
    </w:p>
    <w:bookmarkEnd w:id="449"/>
    <w:bookmarkStart w:id="450" w:name="testing-your-configuration"/>
    <w:p>
      <w:pPr>
        <w:pStyle w:val="Heading4"/>
      </w:pPr>
      <w:ins w:id="1492" w:author="PR Preview" w:date="2024-01-01T00:00:00Z">
        <w:r>
          <w:t xml:space="preserve">17.4.8.7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0"/>
    <w:bookmarkStart w:id="451" w:name="advanced-configuration"/>
    <w:p>
      <w:pPr>
        <w:pStyle w:val="Heading4"/>
      </w:pPr>
      <w:ins w:id="1495" w:author="PR Preview" w:date="2024-01-01T00:00:00Z">
        <w:r>
          <w:t xml:space="preserve">17.4.8.8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1"/>
    <w:bookmarkStart w:id="453" w:name="further-reading"/>
    <w:p>
      <w:pPr>
        <w:pStyle w:val="Heading4"/>
      </w:pPr>
      <w:ins w:id="1503" w:author="PR Preview" w:date="2024-01-01T00:00:00Z">
        <w:r>
          <w:t xml:space="preserve">17.4.8.9 Further Reading</w:t>
        </w:r>
      </w:ins>
    </w:p>
    <w:p>
      <w:pPr>
        <w:pStyle w:val="FirstParagraph"/>
      </w:pPr>
      <w:r>
        <w:t xml:space="preserve">For complete details,</w:t>
      </w:r>
      <w:r>
        <w:t xml:space="preserve"> </w:t>
      </w:r>
      <w:r>
        <w:t xml:space="preserve">see</w:t>
      </w:r>
      <w:r>
        <w:t xml:space="preserve"> </w:t>
      </w:r>
      <w:hyperlink r:id="rId452">
        <w:r>
          <w:rPr>
            <w:rStyle w:val="Hyperlink"/>
          </w:rPr>
          <w:t xml:space="preserve">Customizing the development environment for GitHub Copilot coding agent</w:t>
        </w:r>
      </w:hyperlink>
      <w:r>
        <w:t xml:space="preserve">.</w:t>
      </w:r>
    </w:p>
    <w:bookmarkEnd w:id="453"/>
    <w:bookmarkEnd w:id="454"/>
    <w:bookmarkStart w:id="458" w:name="when-to-use-a-coding-agent"/>
    <w:p>
      <w:pPr>
        <w:pStyle w:val="Heading3"/>
      </w:pPr>
      <w:ins w:id="1505" w:author="PR Preview" w:date="2024-01-01T00:00:00Z">
        <w:r>
          <w:t xml:space="preserve">17.4.9 When to use a coding agent</w:t>
        </w:r>
      </w:ins>
    </w:p>
    <w:p>
      <w:pPr>
        <w:pStyle w:val="FirstParagraph"/>
      </w:pPr>
      <w:r>
        <w:t xml:space="preserve">Coding agent sessions are currently</w:t>
      </w:r>
      <w:r>
        <w:rPr>
          <w:rStyle w:val="FootnoteReference"/>
        </w:rPr>
        <w:footnoteReference w:id="45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8"/>
    <w:bookmarkStart w:id="459" w:name="editing-with-.docx-files"/>
    <w:p>
      <w:pPr>
        <w:pStyle w:val="Heading3"/>
      </w:pPr>
      <w:ins w:id="1508" w:author="PR Preview" w:date="2024-01-01T00:00:00Z">
        <w:r>
          <w:t xml:space="preserve">17.4.10 Editing with</w:t>
        </w:r>
      </w:ins>
      <w:ins w:id="1508" w:author="PR Preview" w:date="2024-01-01T00:00:00Z">
        <w:r>
          <w:t xml:space="preserve"> </w:t>
        </w:r>
      </w:ins>
      <w:ins w:id="1508" w:author="PR Preview" w:date="2024-01-01T00:00:00Z">
        <w:r>
          <w:rPr>
            <w:rStyle w:val="VerbatimChar"/>
          </w:rPr>
          <w:t xml:space="preserve">.docx</w:t>
        </w:r>
      </w:ins>
      <w:ins w:id="1508" w:author="PR Preview" w:date="2024-01-01T00:00:00Z">
        <w:r>
          <w:t xml:space="preserve"> </w:t>
        </w:r>
      </w:ins>
      <w:ins w:id="1508"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1"/>
        </w:numPr>
      </w:pPr>
      <w:r>
        <w:t xml:space="preserve">Lab members can export Quarto content to Word format for review</w:t>
      </w:r>
    </w:p>
    <w:p>
      <w:pPr>
        <w:pStyle w:val="Compact"/>
        <w:numPr>
          <w:ilvl w:val="0"/>
          <w:numId w:val="1151"/>
        </w:numPr>
      </w:pPr>
      <w:r>
        <w:t xml:space="preserve">Reviewers can make edits, add tracked changes, and insert comments in Word</w:t>
      </w:r>
    </w:p>
    <w:p>
      <w:pPr>
        <w:pStyle w:val="Compact"/>
        <w:numPr>
          <w:ilvl w:val="0"/>
          <w:numId w:val="115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9"/>
    <w:bookmarkStart w:id="460" w:name="copilot-instructions-for-this-repository"/>
    <w:p>
      <w:pPr>
        <w:pStyle w:val="Heading3"/>
      </w:pPr>
      <w:ins w:id="1518" w:author="PR Preview" w:date="2024-01-01T00:00:00Z">
        <w:r>
          <w:t xml:space="preserve">17.4.11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3"/>
        </w:numPr>
      </w:pPr>
      <w:r>
        <w:t xml:space="preserve">Markdown and Quarto formatting rules (e.g., blank lines before lists, line breaks in prose)</w:t>
      </w:r>
    </w:p>
    <w:p>
      <w:pPr>
        <w:pStyle w:val="Compact"/>
        <w:numPr>
          <w:ilvl w:val="0"/>
          <w:numId w:val="115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3"/>
        </w:numPr>
      </w:pPr>
      <w:r>
        <w:t xml:space="preserve">File organization patterns (e.g., using Quarto includes for modular content)</w:t>
      </w:r>
    </w:p>
    <w:p>
      <w:pPr>
        <w:pStyle w:val="Compact"/>
        <w:numPr>
          <w:ilvl w:val="0"/>
          <w:numId w:val="1153"/>
        </w:numPr>
      </w:pPr>
      <w:r>
        <w:t xml:space="preserve">How to work with DOCX files for hybrid editing workflows</w:t>
      </w:r>
    </w:p>
    <w:p>
      <w:pPr>
        <w:pStyle w:val="Compact"/>
        <w:numPr>
          <w:ilvl w:val="0"/>
          <w:numId w:val="115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0"/>
    <w:bookmarkEnd w:id="461"/>
    <w:bookmarkEnd w:id="462"/>
    <w:bookmarkStart w:id="472" w:name="checklists"/>
    <w:p>
      <w:pPr>
        <w:pStyle w:val="Heading1"/>
      </w:pPr>
      <w:r>
        <w:t xml:space="preserve">18. Checklists</w:t>
      </w:r>
    </w:p>
    <w:p>
      <w:pPr>
        <w:pStyle w:val="FirstParagraph"/>
      </w:pPr>
      <w:r>
        <w:t xml:space="preserve">Adapted by UCD-SeRG team from</w:t>
      </w:r>
      <w:r>
        <w:t xml:space="preserve"> </w:t>
      </w:r>
      <w:hyperlink r:id="rId463">
        <w:r>
          <w:rPr>
            <w:rStyle w:val="Hyperlink"/>
          </w:rPr>
          <w:t xml:space="preserve">original by Jade Benjamin-Chung</w:t>
        </w:r>
      </w:hyperlink>
    </w:p>
    <w:bookmarkStart w:id="464" w:name="pre-analysis-plan-checklist"/>
    <w:p>
      <w:pPr>
        <w:pStyle w:val="Heading2"/>
      </w:pPr>
      <w:r>
        <w:t xml:space="preserve">18.1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64"/>
    <w:bookmarkStart w:id="466" w:name="code-checklist"/>
    <w:p>
      <w:pPr>
        <w:pStyle w:val="Heading2"/>
      </w:pPr>
      <w:r>
        <w:t xml:space="preserve">18.2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6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66"/>
    <w:bookmarkStart w:id="46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8"/>
    <w:bookmarkStart w:id="471" w:name="figure-checklist"/>
    <w:p>
      <w:pPr>
        <w:pStyle w:val="Heading2"/>
      </w:pPr>
      <w:r>
        <w:t xml:space="preserve">18.4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69">
        <w:r>
          <w:rPr>
            <w:rStyle w:val="Hyperlink"/>
          </w:rPr>
          <w:t xml:space="preserve">here</w:t>
        </w:r>
      </w:hyperlink>
      <w:r>
        <w:t xml:space="preserve">, a neat palette generator with colorblind options</w:t>
      </w:r>
      <w:r>
        <w:t xml:space="preserve"> </w:t>
      </w:r>
      <w:hyperlink r:id="rId47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71"/>
    <w:bookmarkEnd w:id="472"/>
    <w:bookmarkStart w:id="503" w:name="resources-2"/>
    <w:p>
      <w:pPr>
        <w:pStyle w:val="Heading1"/>
      </w:pPr>
      <w:r>
        <w:t xml:space="preserve">19. Resources</w:t>
      </w:r>
    </w:p>
    <w:p>
      <w:pPr>
        <w:pStyle w:val="FirstParagraph"/>
      </w:pPr>
      <w:r>
        <w:t xml:space="preserve">Adapted by UCD-SeRG team from</w:t>
      </w:r>
      <w:r>
        <w:t xml:space="preserve"> </w:t>
      </w:r>
      <w:hyperlink r:id="rId473">
        <w:r>
          <w:rPr>
            <w:rStyle w:val="Hyperlink"/>
          </w:rPr>
          <w:t xml:space="preserve">original by Jade Benjamin-Chung and Kunal Mishra</w:t>
        </w:r>
      </w:hyperlink>
    </w:p>
    <w:bookmarkStart w:id="484" w:name="resources-for-r"/>
    <w:p>
      <w:pPr>
        <w:pStyle w:val="Heading2"/>
      </w:pPr>
      <w:r>
        <w:t xml:space="preserve">19.1 Resources for R</w:t>
      </w:r>
    </w:p>
    <w:bookmarkStart w:id="475" w:name="books-and-comprehensive-guides"/>
    <w:p>
      <w:pPr>
        <w:pStyle w:val="Heading3"/>
      </w:pPr>
      <w:r>
        <w:t xml:space="preserve">19.1.1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74">
        <w:r>
          <w:rPr>
            <w:rStyle w:val="Hyperlink"/>
          </w:rPr>
          <w:t xml:space="preserve">Jade’s R-for-epi course</w:t>
        </w:r>
      </w:hyperlink>
    </w:p>
    <w:bookmarkEnd w:id="475"/>
    <w:bookmarkStart w:id="480" w:name="cheat-sheets"/>
    <w:p>
      <w:pPr>
        <w:pStyle w:val="Heading3"/>
      </w:pPr>
      <w:r>
        <w:t xml:space="preserve">19.1.2 Cheat Sheets</w:t>
      </w:r>
    </w:p>
    <w:p>
      <w:pPr>
        <w:pStyle w:val="Compact"/>
        <w:numPr>
          <w:ilvl w:val="0"/>
          <w:numId w:val="1159"/>
        </w:numPr>
      </w:pPr>
      <w:hyperlink r:id="rId476">
        <w:r>
          <w:rPr>
            <w:rStyle w:val="Hyperlink"/>
          </w:rPr>
          <w:t xml:space="preserve">dplyr and tidyr cheat sheet</w:t>
        </w:r>
      </w:hyperlink>
    </w:p>
    <w:p>
      <w:pPr>
        <w:pStyle w:val="Compact"/>
        <w:numPr>
          <w:ilvl w:val="0"/>
          <w:numId w:val="1159"/>
        </w:numPr>
      </w:pPr>
      <w:hyperlink r:id="rId477">
        <w:r>
          <w:rPr>
            <w:rStyle w:val="Hyperlink"/>
          </w:rPr>
          <w:t xml:space="preserve">ggplot cheat sheet</w:t>
        </w:r>
      </w:hyperlink>
    </w:p>
    <w:p>
      <w:pPr>
        <w:pStyle w:val="Compact"/>
        <w:numPr>
          <w:ilvl w:val="0"/>
          <w:numId w:val="1159"/>
        </w:numPr>
      </w:pPr>
      <w:hyperlink r:id="rId478">
        <w:r>
          <w:rPr>
            <w:rStyle w:val="Hyperlink"/>
          </w:rPr>
          <w:t xml:space="preserve">data table cheat sheet</w:t>
        </w:r>
      </w:hyperlink>
    </w:p>
    <w:p>
      <w:pPr>
        <w:pStyle w:val="Compact"/>
        <w:numPr>
          <w:ilvl w:val="0"/>
          <w:numId w:val="1159"/>
        </w:numPr>
      </w:pPr>
      <w:hyperlink r:id="rId479">
        <w:r>
          <w:rPr>
            <w:rStyle w:val="Hyperlink"/>
          </w:rPr>
          <w:t xml:space="preserve">RMarkdown cheat sheet</w:t>
        </w:r>
      </w:hyperlink>
    </w:p>
    <w:bookmarkEnd w:id="480"/>
    <w:bookmarkStart w:id="482" w:name="style-and-best-practices"/>
    <w:p>
      <w:pPr>
        <w:pStyle w:val="Heading3"/>
      </w:pPr>
      <w:r>
        <w:t xml:space="preserve">19.1.3 Style and Best Practices</w:t>
      </w:r>
    </w:p>
    <w:p>
      <w:pPr>
        <w:pStyle w:val="Compact"/>
        <w:numPr>
          <w:ilvl w:val="0"/>
          <w:numId w:val="1160"/>
        </w:numPr>
      </w:pPr>
      <w:hyperlink r:id="rId481">
        <w:r>
          <w:rPr>
            <w:rStyle w:val="Hyperlink"/>
          </w:rPr>
          <w:t xml:space="preserve">Hadley Wickham’s R Style Guide</w:t>
        </w:r>
      </w:hyperlink>
    </w:p>
    <w:bookmarkEnd w:id="482"/>
    <w:bookmarkStart w:id="483" w:name="tidy-evaluation-resources"/>
    <w:p>
      <w:pPr>
        <w:pStyle w:val="Heading3"/>
      </w:pPr>
      <w:r>
        <w:t xml:space="preserve">19.1.4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83"/>
    <w:bookmarkEnd w:id="484"/>
    <w:bookmarkStart w:id="486" w:name="resources-for-git-github"/>
    <w:p>
      <w:pPr>
        <w:pStyle w:val="Heading2"/>
      </w:pPr>
      <w:r>
        <w:t xml:space="preserve">19.2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85">
        <w:r>
          <w:rPr>
            <w:rStyle w:val="Hyperlink"/>
          </w:rPr>
          <w:t xml:space="preserve">GitHub Skills: Introduction to GitHub</w:t>
        </w:r>
      </w:hyperlink>
    </w:p>
    <w:bookmarkEnd w:id="486"/>
    <w:bookmarkStart w:id="487" w:name="scientific-figures"/>
    <w:p>
      <w:pPr>
        <w:pStyle w:val="Heading2"/>
      </w:pPr>
      <w:r>
        <w:t xml:space="preserve">19.3 Scientific figures</w:t>
      </w:r>
    </w:p>
    <w:p>
      <w:pPr>
        <w:pStyle w:val="Compact"/>
        <w:numPr>
          <w:ilvl w:val="0"/>
          <w:numId w:val="1163"/>
        </w:numPr>
      </w:pPr>
      <w:r>
        <w:t xml:space="preserve">Ten Simple Rules for Better Figures</w:t>
      </w:r>
      <w:r>
        <w:t xml:space="preserve"> </w:t>
      </w:r>
      <w:r>
        <w:t xml:space="preserve">(Rougier, Droettboom, and Bourne 2014)</w:t>
      </w:r>
    </w:p>
    <w:bookmarkEnd w:id="487"/>
    <w:bookmarkStart w:id="490" w:name="writing"/>
    <w:p>
      <w:pPr>
        <w:pStyle w:val="Heading2"/>
      </w:pPr>
      <w:r>
        <w:t xml:space="preserve">19.4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88">
        <w:r>
          <w:rPr>
            <w:rStyle w:val="Hyperlink"/>
          </w:rPr>
          <w:t xml:space="preserve">The Pathway to Publishing: A Guide to Quantitative Writing in the Health Sciences</w:t>
        </w:r>
      </w:hyperlink>
    </w:p>
    <w:p>
      <w:pPr>
        <w:pStyle w:val="Compact"/>
        <w:numPr>
          <w:ilvl w:val="0"/>
          <w:numId w:val="1164"/>
        </w:numPr>
      </w:pPr>
      <w:hyperlink r:id="rId489">
        <w:r>
          <w:rPr>
            <w:rStyle w:val="Hyperlink"/>
          </w:rPr>
          <w:t xml:space="preserve">Secret, actionable writing tips</w:t>
        </w:r>
      </w:hyperlink>
    </w:p>
    <w:bookmarkEnd w:id="490"/>
    <w:bookmarkStart w:id="494" w:name="presentations"/>
    <w:p>
      <w:pPr>
        <w:pStyle w:val="Heading2"/>
      </w:pPr>
      <w:r>
        <w:t xml:space="preserve">19.5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491">
        <w:r>
          <w:rPr>
            <w:rStyle w:val="Hyperlink"/>
          </w:rPr>
          <w:t xml:space="preserve">How to give a killer narratively-driven scientific talk</w:t>
        </w:r>
      </w:hyperlink>
    </w:p>
    <w:p>
      <w:pPr>
        <w:pStyle w:val="Compact"/>
        <w:numPr>
          <w:ilvl w:val="0"/>
          <w:numId w:val="1165"/>
        </w:numPr>
      </w:pPr>
      <w:hyperlink r:id="rId492">
        <w:r>
          <w:rPr>
            <w:rStyle w:val="Hyperlink"/>
          </w:rPr>
          <w:t xml:space="preserve">How to make a better poster</w:t>
        </w:r>
      </w:hyperlink>
    </w:p>
    <w:p>
      <w:pPr>
        <w:pStyle w:val="Compact"/>
        <w:numPr>
          <w:ilvl w:val="0"/>
          <w:numId w:val="1165"/>
        </w:numPr>
      </w:pPr>
      <w:hyperlink r:id="rId493">
        <w:r>
          <w:rPr>
            <w:rStyle w:val="Hyperlink"/>
          </w:rPr>
          <w:t xml:space="preserve">How to make an even better poster</w:t>
        </w:r>
      </w:hyperlink>
    </w:p>
    <w:bookmarkEnd w:id="494"/>
    <w:bookmarkStart w:id="496" w:name="professional-advice"/>
    <w:p>
      <w:pPr>
        <w:pStyle w:val="Heading2"/>
      </w:pPr>
      <w:r>
        <w:t xml:space="preserve">19.6 Professional advice</w:t>
      </w:r>
    </w:p>
    <w:p>
      <w:pPr>
        <w:pStyle w:val="Compact"/>
        <w:numPr>
          <w:ilvl w:val="0"/>
          <w:numId w:val="1166"/>
        </w:numPr>
      </w:pPr>
      <w:hyperlink r:id="rId495">
        <w:r>
          <w:rPr>
            <w:rStyle w:val="Hyperlink"/>
          </w:rPr>
          <w:t xml:space="preserve">Professional advice, especially for your first job</w:t>
        </w:r>
      </w:hyperlink>
    </w:p>
    <w:bookmarkEnd w:id="496"/>
    <w:bookmarkStart w:id="499" w:name="funding"/>
    <w:p>
      <w:pPr>
        <w:pStyle w:val="Heading2"/>
      </w:pPr>
      <w:r>
        <w:t xml:space="preserve">19.7 Funding</w:t>
      </w:r>
    </w:p>
    <w:p>
      <w:pPr>
        <w:pStyle w:val="Compact"/>
        <w:numPr>
          <w:ilvl w:val="0"/>
          <w:numId w:val="1167"/>
        </w:numPr>
      </w:pPr>
      <w:hyperlink r:id="rId497">
        <w:r>
          <w:rPr>
            <w:rStyle w:val="Hyperlink"/>
          </w:rPr>
          <w:t xml:space="preserve">Building Your Funding Train</w:t>
        </w:r>
      </w:hyperlink>
    </w:p>
    <w:p>
      <w:pPr>
        <w:pStyle w:val="Compact"/>
        <w:numPr>
          <w:ilvl w:val="0"/>
          <w:numId w:val="1167"/>
        </w:numPr>
      </w:pPr>
      <w:hyperlink r:id="rId498">
        <w:r>
          <w:rPr>
            <w:rStyle w:val="Hyperlink"/>
          </w:rPr>
          <w:t xml:space="preserve">NIH Grant Writing Resources</w:t>
        </w:r>
      </w:hyperlink>
    </w:p>
    <w:bookmarkEnd w:id="499"/>
    <w:bookmarkStart w:id="502" w:name="ethics-and-global-health-research"/>
    <w:p>
      <w:pPr>
        <w:pStyle w:val="Heading2"/>
      </w:pPr>
      <w:r>
        <w:t xml:space="preserve">19.8 Ethics and global health research</w:t>
      </w:r>
    </w:p>
    <w:p>
      <w:pPr>
        <w:pStyle w:val="Compact"/>
        <w:numPr>
          <w:ilvl w:val="0"/>
          <w:numId w:val="1168"/>
        </w:numPr>
      </w:pPr>
      <w:hyperlink r:id="rId50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01">
        <w:r>
          <w:rPr>
            <w:rStyle w:val="Hyperlink"/>
          </w:rPr>
          <w:t xml:space="preserve">Transforming Global Health Partnerships</w:t>
        </w:r>
      </w:hyperlink>
    </w:p>
    <w:p>
      <w:r>
        <w:br w:type="page"/>
      </w:r>
    </w:p>
    <w:bookmarkEnd w:id="502"/>
    <w:bookmarkEnd w:id="503"/>
    <w:bookmarkStart w:id="521" w:name="professional-development"/>
    <w:p>
      <w:pPr>
        <w:pStyle w:val="Heading1"/>
      </w:pPr>
      <w:r>
        <w:t xml:space="preserve">20. Professional Development</w:t>
      </w:r>
    </w:p>
    <w:p>
      <w:pPr>
        <w:pStyle w:val="FirstParagraph"/>
      </w:pPr>
      <w:r>
        <w:t xml:space="preserve">Adapted by UCD-SeRG team from</w:t>
      </w:r>
      <w:r>
        <w:t xml:space="preserve"> </w:t>
      </w:r>
      <w:hyperlink r:id="rId504">
        <w:r>
          <w:rPr>
            <w:rStyle w:val="Hyperlink"/>
          </w:rPr>
          <w:t xml:space="preserve">original by Jade Benjamin-Chung</w:t>
        </w:r>
      </w:hyperlink>
    </w:p>
    <w:bookmarkStart w:id="50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05"/>
    <w:bookmarkStart w:id="50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06">
        <w:r>
          <w:rPr>
            <w:rStyle w:val="Hyperlink"/>
          </w:rPr>
          <w:t xml:space="preserve">myIDP - Individual Development Plan tool</w:t>
        </w:r>
      </w:hyperlink>
    </w:p>
    <w:p>
      <w:pPr>
        <w:pStyle w:val="Compact"/>
        <w:numPr>
          <w:ilvl w:val="0"/>
          <w:numId w:val="1171"/>
        </w:numPr>
      </w:pPr>
      <w:hyperlink r:id="rId507">
        <w:r>
          <w:rPr>
            <w:rStyle w:val="Hyperlink"/>
          </w:rPr>
          <w:t xml:space="preserve">NIH OITE Career Resources</w:t>
        </w:r>
      </w:hyperlink>
    </w:p>
    <w:bookmarkEnd w:id="508"/>
    <w:bookmarkStart w:id="51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09">
        <w:r>
          <w:rPr>
            <w:rStyle w:val="Hyperlink"/>
          </w:rPr>
          <w:t xml:space="preserve">How to tell a compelling story in scientific presentations</w:t>
        </w:r>
      </w:hyperlink>
    </w:p>
    <w:p>
      <w:pPr>
        <w:pStyle w:val="Compact"/>
        <w:numPr>
          <w:ilvl w:val="0"/>
          <w:numId w:val="1173"/>
        </w:numPr>
      </w:pPr>
      <w:hyperlink r:id="rId491">
        <w:r>
          <w:rPr>
            <w:rStyle w:val="Hyperlink"/>
          </w:rPr>
          <w:t xml:space="preserve">How to give a killer narratively-driven scientific talk</w:t>
        </w:r>
      </w:hyperlink>
    </w:p>
    <w:p>
      <w:pPr>
        <w:pStyle w:val="Compact"/>
        <w:numPr>
          <w:ilvl w:val="0"/>
          <w:numId w:val="1173"/>
        </w:numPr>
      </w:pPr>
      <w:hyperlink r:id="rId510">
        <w:r>
          <w:rPr>
            <w:rStyle w:val="Hyperlink"/>
          </w:rPr>
          <w:t xml:space="preserve">How to make a better poster</w:t>
        </w:r>
      </w:hyperlink>
    </w:p>
    <w:p>
      <w:pPr>
        <w:pStyle w:val="Compact"/>
        <w:numPr>
          <w:ilvl w:val="0"/>
          <w:numId w:val="1173"/>
        </w:numPr>
      </w:pPr>
      <w:hyperlink r:id="rId493">
        <w:r>
          <w:rPr>
            <w:rStyle w:val="Hyperlink"/>
          </w:rPr>
          <w:t xml:space="preserve">How to make an even better poster</w:t>
        </w:r>
      </w:hyperlink>
    </w:p>
    <w:bookmarkEnd w:id="511"/>
    <w:bookmarkStart w:id="51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12">
        <w:r>
          <w:rPr>
            <w:rStyle w:val="Hyperlink"/>
          </w:rPr>
          <w:t xml:space="preserve">ColorBrewer</w:t>
        </w:r>
      </w:hyperlink>
      <w:r>
        <w:t xml:space="preserve"> </w:t>
      </w:r>
      <w:r>
        <w:t xml:space="preserve">or</w:t>
      </w:r>
      <w:r>
        <w:t xml:space="preserve"> </w:t>
      </w:r>
      <w:hyperlink r:id="rId51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14">
        <w:r>
          <w:rPr>
            <w:rStyle w:val="Hyperlink"/>
          </w:rPr>
          <w:t xml:space="preserve">Ten Simple Rules for Better Figures</w:t>
        </w:r>
      </w:hyperlink>
    </w:p>
    <w:bookmarkEnd w:id="515"/>
    <w:bookmarkStart w:id="518" w:name="grant-writing"/>
    <w:p>
      <w:pPr>
        <w:pStyle w:val="Heading2"/>
      </w:pPr>
      <w:r>
        <w:t xml:space="preserve">20.5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16">
        <w:r>
          <w:rPr>
            <w:rStyle w:val="Hyperlink"/>
          </w:rPr>
          <w:t xml:space="preserve">Building Your Funding Train</w:t>
        </w:r>
      </w:hyperlink>
    </w:p>
    <w:p>
      <w:pPr>
        <w:pStyle w:val="Compact"/>
        <w:numPr>
          <w:ilvl w:val="0"/>
          <w:numId w:val="1177"/>
        </w:numPr>
      </w:pPr>
      <w:hyperlink r:id="rId517">
        <w:r>
          <w:rPr>
            <w:rStyle w:val="Hyperlink"/>
          </w:rPr>
          <w:t xml:space="preserve">NIH Funding Opportunities</w:t>
        </w:r>
      </w:hyperlink>
    </w:p>
    <w:p>
      <w:pPr>
        <w:pStyle w:val="Compact"/>
        <w:numPr>
          <w:ilvl w:val="0"/>
          <w:numId w:val="1177"/>
        </w:numPr>
      </w:pPr>
      <w:hyperlink r:id="rId498">
        <w:r>
          <w:rPr>
            <w:rStyle w:val="Hyperlink"/>
          </w:rPr>
          <w:t xml:space="preserve">NIH Grant Writing Resources</w:t>
        </w:r>
      </w:hyperlink>
    </w:p>
    <w:bookmarkEnd w:id="518"/>
    <w:bookmarkStart w:id="519"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19"/>
    <w:bookmarkStart w:id="520"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20"/>
    <w:bookmarkEnd w:id="521"/>
    <w:bookmarkStart w:id="52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4">
        <w:r>
          <w:rPr>
            <w:rStyle w:val="Hyperlink"/>
          </w:rPr>
          <w:t xml:space="preserve">original by Jade Benjamin-Chung</w:t>
        </w:r>
      </w:hyperlink>
    </w:p>
    <w:bookmarkStart w:id="52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22"/>
    <w:bookmarkStart w:id="525" w:name="preprints-and-open-access"/>
    <w:p>
      <w:pPr>
        <w:pStyle w:val="Heading2"/>
      </w:pPr>
      <w:r>
        <w:t xml:space="preserve">21.2 Preprints and Open Access</w:t>
      </w:r>
    </w:p>
    <w:p>
      <w:pPr>
        <w:pStyle w:val="Compact"/>
        <w:numPr>
          <w:ilvl w:val="0"/>
          <w:numId w:val="1181"/>
        </w:numPr>
      </w:pPr>
      <w:r>
        <w:t xml:space="preserve">We encourage posting preprints prior to or during peer review on platforms like</w:t>
      </w:r>
      <w:r>
        <w:t xml:space="preserve"> </w:t>
      </w:r>
      <w:hyperlink r:id="rId523">
        <w:r>
          <w:rPr>
            <w:rStyle w:val="Hyperlink"/>
          </w:rPr>
          <w:t xml:space="preserve">medRxiv</w:t>
        </w:r>
      </w:hyperlink>
      <w:r>
        <w:t xml:space="preserve"> </w:t>
      </w:r>
      <w:r>
        <w:t xml:space="preserve">or</w:t>
      </w:r>
      <w:r>
        <w:t xml:space="preserve"> </w:t>
      </w:r>
      <w:hyperlink r:id="rId52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3">
        <w:r>
          <w:rPr>
            <w:rStyle w:val="Hyperlink"/>
          </w:rPr>
          <w:t xml:space="preserve">medRxiv</w:t>
        </w:r>
      </w:hyperlink>
      <w:r>
        <w:t xml:space="preserve">.</w:t>
      </w:r>
    </w:p>
    <w:bookmarkEnd w:id="525"/>
    <w:bookmarkStart w:id="52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26">
        <w:r>
          <w:rPr>
            <w:rStyle w:val="Hyperlink"/>
          </w:rPr>
          <w:t xml:space="preserve">EQUATOR Network</w:t>
        </w:r>
      </w:hyperlink>
      <w:r>
        <w:t xml:space="preserve">)</w:t>
      </w:r>
    </w:p>
    <w:bookmarkEnd w:id="527"/>
    <w:bookmarkStart w:id="528" w:name="manuscript-checklist-1"/>
    <w:p>
      <w:pPr>
        <w:pStyle w:val="Heading2"/>
      </w:pPr>
      <w:r>
        <w:t xml:space="preserve">21.4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28"/>
    <w:bookmarkEnd w:id="529"/>
    <w:bookmarkStart w:id="609" w:name="references"/>
    <w:p>
      <w:pPr>
        <w:pStyle w:val="Heading1"/>
      </w:pPr>
      <w:r>
        <w:t xml:space="preserve">References</w:t>
      </w:r>
    </w:p>
    <w:bookmarkStart w:id="608" w:name="refs"/>
    <w:bookmarkStart w:id="531" w:name="ref-space_odyssey"/>
    <w:p>
      <w:pPr>
        <w:pStyle w:val="Bibliography"/>
      </w:pPr>
      <w:r>
        <w:t xml:space="preserve">“2001: A Space Odyssey.”</w:t>
      </w:r>
      <w:r>
        <w:t xml:space="preserve"> </w:t>
      </w:r>
      <w:r>
        <w:t xml:space="preserve">1968. Film.</w:t>
      </w:r>
      <w:r>
        <w:t xml:space="preserve"> </w:t>
      </w:r>
      <w:hyperlink r:id="rId530">
        <w:r>
          <w:rPr>
            <w:rStyle w:val="Hyperlink"/>
          </w:rPr>
          <w:t xml:space="preserve">https://en.wikipedia.org/wiki/2001:_A_Space_Odyssey_(film)</w:t>
        </w:r>
      </w:hyperlink>
      <w:r>
        <w:t xml:space="preserve">.</w:t>
      </w:r>
    </w:p>
    <w:bookmarkEnd w:id="531"/>
    <w:bookmarkStart w:id="53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2">
        <w:r>
          <w:rPr>
            <w:rStyle w:val="Hyperlink"/>
          </w:rPr>
          <w:t xml:space="preserve">https://doi.org/10.1371/journal.pgph.0002269</w:t>
        </w:r>
      </w:hyperlink>
      <w:r>
        <w:t xml:space="preserve">.</w:t>
      </w:r>
    </w:p>
    <w:bookmarkEnd w:id="533"/>
    <w:bookmarkStart w:id="53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4">
        <w:r>
          <w:rPr>
            <w:rStyle w:val="Hyperlink"/>
          </w:rPr>
          <w:t xml:space="preserve">https://search.library.ucdavis.edu/permalink/01UCD_INST/9fle3i/alma990000226350403126</w:t>
        </w:r>
      </w:hyperlink>
      <w:r>
        <w:t xml:space="preserve">.</w:t>
      </w:r>
    </w:p>
    <w:bookmarkEnd w:id="535"/>
    <w:bookmarkStart w:id="53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6">
        <w:r>
          <w:rPr>
            <w:rStyle w:val="Hyperlink"/>
          </w:rPr>
          <w:t xml:space="preserve">https://doi.org/10.1038/d41586-019-01431-z</w:t>
        </w:r>
      </w:hyperlink>
      <w:r>
        <w:t xml:space="preserve">.</w:t>
      </w:r>
    </w:p>
    <w:bookmarkEnd w:id="537"/>
    <w:bookmarkStart w:id="539" w:name="ref-battlestar_galactica_2004"/>
    <w:p>
      <w:pPr>
        <w:pStyle w:val="Bibliography"/>
      </w:pPr>
      <w:r>
        <w:t xml:space="preserve">“Battlestar Galactica.”</w:t>
      </w:r>
      <w:r>
        <w:t xml:space="preserve"> </w:t>
      </w:r>
      <w:r>
        <w:t xml:space="preserve">2004. Television Series.</w:t>
      </w:r>
      <w:r>
        <w:t xml:space="preserve"> </w:t>
      </w:r>
      <w:hyperlink r:id="rId538">
        <w:r>
          <w:rPr>
            <w:rStyle w:val="Hyperlink"/>
          </w:rPr>
          <w:t xml:space="preserve">https://en.wikipedia.org/wiki/Battlestar_Galactica_(2004_TV_series)</w:t>
        </w:r>
      </w:hyperlink>
      <w:r>
        <w:t xml:space="preserve">.</w:t>
      </w:r>
    </w:p>
    <w:bookmarkEnd w:id="539"/>
    <w:bookmarkStart w:id="54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4">
        <w:r>
          <w:rPr>
            <w:rStyle w:val="Hyperlink"/>
          </w:rPr>
          <w:t xml:space="preserve">https://jadebc.github.io/lab-manual/</w:t>
        </w:r>
      </w:hyperlink>
      <w:r>
        <w:t xml:space="preserve">.</w:t>
      </w:r>
    </w:p>
    <w:bookmarkEnd w:id="540"/>
    <w:bookmarkStart w:id="542" w:name="ref-blade_runner"/>
    <w:p>
      <w:pPr>
        <w:pStyle w:val="Bibliography"/>
      </w:pPr>
      <w:r>
        <w:t xml:space="preserve">“Blade Runner.”</w:t>
      </w:r>
      <w:r>
        <w:t xml:space="preserve"> </w:t>
      </w:r>
      <w:r>
        <w:t xml:space="preserve">1982. Film.</w:t>
      </w:r>
      <w:r>
        <w:t xml:space="preserve"> </w:t>
      </w:r>
      <w:hyperlink r:id="rId541">
        <w:r>
          <w:rPr>
            <w:rStyle w:val="Hyperlink"/>
          </w:rPr>
          <w:t xml:space="preserve">https://en.wikipedia.org/wiki/Blade_Runner</w:t>
        </w:r>
      </w:hyperlink>
      <w:r>
        <w:t xml:space="preserve">.</w:t>
      </w:r>
    </w:p>
    <w:bookmarkEnd w:id="542"/>
    <w:bookmarkStart w:id="5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3">
        <w:r>
          <w:rPr>
            <w:rStyle w:val="Hyperlink"/>
          </w:rPr>
          <w:t xml:space="preserve">https://happygitwithr.com/</w:t>
        </w:r>
      </w:hyperlink>
      <w:r>
        <w:t xml:space="preserve">.</w:t>
      </w:r>
    </w:p>
    <w:bookmarkEnd w:id="544"/>
    <w:bookmarkStart w:id="54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5">
        <w:r>
          <w:rPr>
            <w:rStyle w:val="Hyperlink"/>
          </w:rPr>
          <w:t xml:space="preserve">https://en.wikipedia.org/wiki/Ender%27s_Game</w:t>
        </w:r>
      </w:hyperlink>
      <w:r>
        <w:t xml:space="preserve">.</w:t>
      </w:r>
    </w:p>
    <w:bookmarkEnd w:id="546"/>
    <w:bookmarkStart w:id="5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7">
        <w:r>
          <w:rPr>
            <w:rStyle w:val="Hyperlink"/>
          </w:rPr>
          <w:t xml:space="preserve">https://doi.org/10.1038/s41467-020-19160-7</w:t>
        </w:r>
      </w:hyperlink>
      <w:r>
        <w:t xml:space="preserve">.</w:t>
      </w:r>
    </w:p>
    <w:bookmarkEnd w:id="548"/>
    <w:bookmarkStart w:id="5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9">
        <w:r>
          <w:rPr>
            <w:rStyle w:val="Hyperlink"/>
          </w:rPr>
          <w:t xml:space="preserve">http://creativecommons.org/licenses/by-nc/4.0/</w:t>
        </w:r>
      </w:hyperlink>
      <w:r>
        <w:t xml:space="preserve">.</w:t>
      </w:r>
    </w:p>
    <w:bookmarkEnd w:id="550"/>
    <w:bookmarkStart w:id="552" w:name="ref-credit"/>
    <w:p>
      <w:pPr>
        <w:pStyle w:val="Bibliography"/>
      </w:pPr>
      <w:r>
        <w:t xml:space="preserve">“CRediT: Contributor Roles Taxonomy.”</w:t>
      </w:r>
      <w:r>
        <w:t xml:space="preserve"> </w:t>
      </w:r>
      <w:r>
        <w:t xml:space="preserve">n.d. PLOS ONE.</w:t>
      </w:r>
      <w:r>
        <w:t xml:space="preserve"> </w:t>
      </w:r>
      <w:hyperlink r:id="rId551">
        <w:r>
          <w:rPr>
            <w:rStyle w:val="Hyperlink"/>
          </w:rPr>
          <w:t xml:space="preserve">https://journals.plos.org/plosone/s/authorship</w:t>
        </w:r>
      </w:hyperlink>
      <w:r>
        <w:t xml:space="preserve">.</w:t>
      </w:r>
    </w:p>
    <w:bookmarkEnd w:id="552"/>
    <w:bookmarkStart w:id="554" w:name="ref-dryad"/>
    <w:p>
      <w:pPr>
        <w:pStyle w:val="Bibliography"/>
      </w:pPr>
      <w:r>
        <w:t xml:space="preserve">“Dryad Digital Repository.”</w:t>
      </w:r>
      <w:r>
        <w:t xml:space="preserve"> </w:t>
      </w:r>
      <w:r>
        <w:t xml:space="preserve">n.d. Dryad.</w:t>
      </w:r>
      <w:r>
        <w:t xml:space="preserve"> </w:t>
      </w:r>
      <w:hyperlink r:id="rId553">
        <w:r>
          <w:rPr>
            <w:rStyle w:val="Hyperlink"/>
          </w:rPr>
          <w:t xml:space="preserve">https://datadryad.org/</w:t>
        </w:r>
      </w:hyperlink>
      <w:r>
        <w:t xml:space="preserve">.</w:t>
      </w:r>
    </w:p>
    <w:bookmarkEnd w:id="554"/>
    <w:bookmarkStart w:id="5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6">
        <w:r>
          <w:rPr>
            <w:rStyle w:val="Hyperlink"/>
          </w:rPr>
          <w:t xml:space="preserve">https://www.equator-network.org/</w:t>
        </w:r>
      </w:hyperlink>
      <w:r>
        <w:t xml:space="preserve">.</w:t>
      </w:r>
    </w:p>
    <w:bookmarkEnd w:id="555"/>
    <w:bookmarkStart w:id="5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6">
        <w:r>
          <w:rPr>
            <w:rStyle w:val="Hyperlink"/>
          </w:rPr>
          <w:t xml:space="preserve">https://engineering-shiny.org/</w:t>
        </w:r>
      </w:hyperlink>
      <w:r>
        <w:t xml:space="preserve">.</w:t>
      </w:r>
    </w:p>
    <w:bookmarkEnd w:id="557"/>
    <w:bookmarkStart w:id="55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8">
        <w:r>
          <w:rPr>
            <w:rStyle w:val="Hyperlink"/>
          </w:rPr>
          <w:t xml:space="preserve">https://www.youtube.com/watch?v=B1BdQcJ2ZYY</w:t>
        </w:r>
      </w:hyperlink>
      <w:r>
        <w:t xml:space="preserve">.</w:t>
      </w:r>
    </w:p>
    <w:bookmarkEnd w:id="559"/>
    <w:bookmarkStart w:id="561" w:name="ref-githubdesktop"/>
    <w:p>
      <w:pPr>
        <w:pStyle w:val="Bibliography"/>
      </w:pPr>
      <w:r>
        <w:t xml:space="preserve">“GitHub Desktop.”</w:t>
      </w:r>
      <w:r>
        <w:t xml:space="preserve"> </w:t>
      </w:r>
      <w:r>
        <w:t xml:space="preserve">n.d. GitHub.</w:t>
      </w:r>
      <w:r>
        <w:t xml:space="preserve"> </w:t>
      </w:r>
      <w:hyperlink r:id="rId560">
        <w:r>
          <w:rPr>
            <w:rStyle w:val="Hyperlink"/>
          </w:rPr>
          <w:t xml:space="preserve">https://desktop.github.com/</w:t>
        </w:r>
      </w:hyperlink>
      <w:r>
        <w:t xml:space="preserve">.</w:t>
      </w:r>
    </w:p>
    <w:bookmarkEnd w:id="561"/>
    <w:bookmarkStart w:id="563" w:name="ref-dune"/>
    <w:p>
      <w:pPr>
        <w:pStyle w:val="Bibliography"/>
      </w:pPr>
      <w:r>
        <w:t xml:space="preserve">Herbert, Frank. 1965.</w:t>
      </w:r>
      <w:r>
        <w:t xml:space="preserve"> </w:t>
      </w:r>
      <w:r>
        <w:t xml:space="preserve">“Dune.”</w:t>
      </w:r>
      <w:r>
        <w:t xml:space="preserve"> </w:t>
      </w:r>
      <w:r>
        <w:t xml:space="preserve">Novel.</w:t>
      </w:r>
      <w:r>
        <w:t xml:space="preserve"> </w:t>
      </w:r>
      <w:hyperlink r:id="rId562">
        <w:r>
          <w:rPr>
            <w:rStyle w:val="Hyperlink"/>
          </w:rPr>
          <w:t xml:space="preserve">https://en.wikipedia.org/wiki/Organizations_of_the_Dune_universe#Thinking_machines</w:t>
        </w:r>
      </w:hyperlink>
      <w:r>
        <w:t xml:space="preserve">.</w:t>
      </w:r>
    </w:p>
    <w:bookmarkEnd w:id="563"/>
    <w:bookmarkStart w:id="565" w:name="ref-plos_data"/>
    <w:p>
      <w:pPr>
        <w:pStyle w:val="Bibliography"/>
      </w:pPr>
      <w:r>
        <w:t xml:space="preserve">“How to Store and Manage Your Data.”</w:t>
      </w:r>
      <w:r>
        <w:t xml:space="preserve"> </w:t>
      </w:r>
      <w:r>
        <w:t xml:space="preserve">n.d. PLOS.</w:t>
      </w:r>
      <w:r>
        <w:t xml:space="preserve"> </w:t>
      </w:r>
      <w:hyperlink r:id="rId564">
        <w:r>
          <w:rPr>
            <w:rStyle w:val="Hyperlink"/>
          </w:rPr>
          <w:t xml:space="preserve">https://plos.org/resource/how-to-store-and-manage-your-data/</w:t>
        </w:r>
      </w:hyperlink>
      <w:r>
        <w:t xml:space="preserve">.</w:t>
      </w:r>
    </w:p>
    <w:bookmarkEnd w:id="565"/>
    <w:bookmarkStart w:id="5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6"/>
    <w:bookmarkStart w:id="567" w:name="ref-medRxiv"/>
    <w:p>
      <w:pPr>
        <w:pStyle w:val="Bibliography"/>
      </w:pPr>
      <w:r>
        <w:t xml:space="preserve">“medRxiv: The Preprint Server for Health Sciences.”</w:t>
      </w:r>
      <w:r>
        <w:t xml:space="preserve"> </w:t>
      </w:r>
      <w:r>
        <w:t xml:space="preserve">n.d. Cold Spring Harbor Laboratory.</w:t>
      </w:r>
      <w:r>
        <w:t xml:space="preserve"> </w:t>
      </w:r>
      <w:hyperlink r:id="rId523">
        <w:r>
          <w:rPr>
            <w:rStyle w:val="Hyperlink"/>
          </w:rPr>
          <w:t xml:space="preserve">https://www.medrxiv.org/</w:t>
        </w:r>
      </w:hyperlink>
      <w:r>
        <w:t xml:space="preserve">.</w:t>
      </w:r>
    </w:p>
    <w:bookmarkEnd w:id="567"/>
    <w:bookmarkStart w:id="56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8">
        <w:r>
          <w:rPr>
            <w:rStyle w:val="Hyperlink"/>
          </w:rPr>
          <w:t xml:space="preserve">https://doi.org/10.1038/467775a</w:t>
        </w:r>
      </w:hyperlink>
      <w:r>
        <w:t xml:space="preserve">.</w:t>
      </w:r>
    </w:p>
    <w:bookmarkEnd w:id="569"/>
    <w:bookmarkStart w:id="57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0">
        <w:r>
          <w:rPr>
            <w:rStyle w:val="Hyperlink"/>
          </w:rPr>
          <w:t xml:space="preserve">https://doi.org/10.1038/s41562-016-0021</w:t>
        </w:r>
      </w:hyperlink>
      <w:r>
        <w:t xml:space="preserve">.</w:t>
      </w:r>
    </w:p>
    <w:bookmarkEnd w:id="571"/>
    <w:bookmarkStart w:id="57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2">
        <w:r>
          <w:rPr>
            <w:rStyle w:val="Hyperlink"/>
          </w:rPr>
          <w:t xml:space="preserve">https://doi.org/10.1038/526182a</w:t>
        </w:r>
      </w:hyperlink>
      <w:r>
        <w:t xml:space="preserve">.</w:t>
      </w:r>
    </w:p>
    <w:bookmarkEnd w:id="573"/>
    <w:bookmarkStart w:id="575" w:name="ref-osf"/>
    <w:p>
      <w:pPr>
        <w:pStyle w:val="Bibliography"/>
      </w:pPr>
      <w:r>
        <w:t xml:space="preserve">“Open Science Framework.”</w:t>
      </w:r>
      <w:r>
        <w:t xml:space="preserve"> </w:t>
      </w:r>
      <w:r>
        <w:t xml:space="preserve">n.d. Center for Open Science.</w:t>
      </w:r>
      <w:r>
        <w:t xml:space="preserve"> </w:t>
      </w:r>
      <w:hyperlink r:id="rId574">
        <w:r>
          <w:rPr>
            <w:rStyle w:val="Hyperlink"/>
          </w:rPr>
          <w:t xml:space="preserve">https://osf.io/</w:t>
        </w:r>
      </w:hyperlink>
      <w:r>
        <w:t xml:space="preserve">.</w:t>
      </w:r>
    </w:p>
    <w:bookmarkEnd w:id="575"/>
    <w:bookmarkStart w:id="577" w:name="ref-gitfixum"/>
    <w:p>
      <w:pPr>
        <w:pStyle w:val="Bibliography"/>
      </w:pPr>
      <w:r>
        <w:t xml:space="preserve">Robertson, Seth. n.d.</w:t>
      </w:r>
      <w:r>
        <w:t xml:space="preserve"> </w:t>
      </w:r>
      <w:r>
        <w:t xml:space="preserve">“On Undoing, Fixing, or Removing Commits in Git.”</w:t>
      </w:r>
      <w:r>
        <w:t xml:space="preserve"> </w:t>
      </w:r>
      <w:hyperlink r:id="rId576">
        <w:r>
          <w:rPr>
            <w:rStyle w:val="Hyperlink"/>
          </w:rPr>
          <w:t xml:space="preserve">https://sethrobertson.github.io/GitFixUm/fixup.html</w:t>
        </w:r>
      </w:hyperlink>
      <w:r>
        <w:t xml:space="preserve">.</w:t>
      </w:r>
    </w:p>
    <w:bookmarkEnd w:id="577"/>
    <w:bookmarkStart w:id="5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8">
        <w:r>
          <w:rPr>
            <w:rStyle w:val="Hyperlink"/>
          </w:rPr>
          <w:t xml:space="preserve">https://doi.org/10.1371/journal.pcbi.1003833</w:t>
        </w:r>
      </w:hyperlink>
      <w:r>
        <w:t xml:space="preserve">.</w:t>
      </w:r>
    </w:p>
    <w:bookmarkEnd w:id="579"/>
    <w:bookmarkStart w:id="5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0">
        <w:r>
          <w:rPr>
            <w:rStyle w:val="Hyperlink"/>
          </w:rPr>
          <w:t xml:space="preserve">https://doi.org/10.1038/d41586-019-02918-5</w:t>
        </w:r>
      </w:hyperlink>
      <w:r>
        <w:t xml:space="preserve">.</w:t>
      </w:r>
    </w:p>
    <w:bookmarkEnd w:id="581"/>
    <w:bookmarkStart w:id="583" w:name="ref-slurm"/>
    <w:p>
      <w:pPr>
        <w:pStyle w:val="Bibliography"/>
      </w:pPr>
      <w:r>
        <w:t xml:space="preserve">“Slurm Workload Manager: Sbatch Documentation.”</w:t>
      </w:r>
      <w:r>
        <w:t xml:space="preserve"> </w:t>
      </w:r>
      <w:r>
        <w:t xml:space="preserve">n.d. SchedMD.</w:t>
      </w:r>
      <w:r>
        <w:t xml:space="preserve"> </w:t>
      </w:r>
      <w:hyperlink r:id="rId582">
        <w:r>
          <w:rPr>
            <w:rStyle w:val="Hyperlink"/>
          </w:rPr>
          <w:t xml:space="preserve">https://slurm.schedmd.com/sbatch.html</w:t>
        </w:r>
      </w:hyperlink>
      <w:r>
        <w:t xml:space="preserve">.</w:t>
      </w:r>
    </w:p>
    <w:bookmarkEnd w:id="583"/>
    <w:bookmarkStart w:id="5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4">
        <w:r>
          <w:rPr>
            <w:rStyle w:val="Hyperlink"/>
          </w:rPr>
          <w:t xml:space="preserve">https://doi.org/10.1038/d41586-019-00067-3</w:t>
        </w:r>
      </w:hyperlink>
      <w:r>
        <w:t xml:space="preserve">.</w:t>
      </w:r>
    </w:p>
    <w:bookmarkEnd w:id="585"/>
    <w:bookmarkStart w:id="587" w:name="ref-terminator"/>
    <w:p>
      <w:pPr>
        <w:pStyle w:val="Bibliography"/>
      </w:pPr>
      <w:r>
        <w:t xml:space="preserve">“Terminator 3: Rise of the Machines.”</w:t>
      </w:r>
      <w:r>
        <w:t xml:space="preserve"> </w:t>
      </w:r>
      <w:r>
        <w:t xml:space="preserve">2003. Film.</w:t>
      </w:r>
      <w:r>
        <w:t xml:space="preserve"> </w:t>
      </w:r>
      <w:hyperlink r:id="rId586">
        <w:r>
          <w:rPr>
            <w:rStyle w:val="Hyperlink"/>
          </w:rPr>
          <w:t xml:space="preserve">https://en.wikipedia.org/wiki/Terminator_3:_Rise_of_the_Machines</w:t>
        </w:r>
      </w:hyperlink>
      <w:r>
        <w:t xml:space="preserve">.</w:t>
      </w:r>
    </w:p>
    <w:bookmarkEnd w:id="587"/>
    <w:bookmarkStart w:id="589" w:name="ref-matrix"/>
    <w:p>
      <w:pPr>
        <w:pStyle w:val="Bibliography"/>
      </w:pPr>
      <w:r>
        <w:t xml:space="preserve">“The Matrix.”</w:t>
      </w:r>
      <w:r>
        <w:t xml:space="preserve"> </w:t>
      </w:r>
      <w:r>
        <w:t xml:space="preserve">1999. Film.</w:t>
      </w:r>
      <w:r>
        <w:t xml:space="preserve"> </w:t>
      </w:r>
      <w:hyperlink r:id="rId588">
        <w:r>
          <w:rPr>
            <w:rStyle w:val="Hyperlink"/>
          </w:rPr>
          <w:t xml:space="preserve">https://en.wikipedia.org/wiki/The_Matrix</w:t>
        </w:r>
      </w:hyperlink>
      <w:r>
        <w:t xml:space="preserve">.</w:t>
      </w:r>
    </w:p>
    <w:bookmarkEnd w:id="589"/>
    <w:bookmarkStart w:id="5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0">
        <w:r>
          <w:rPr>
            <w:rStyle w:val="Hyperlink"/>
          </w:rPr>
          <w:t xml:space="preserve">https://code-review.tidyverse.org/</w:t>
        </w:r>
      </w:hyperlink>
      <w:r>
        <w:t xml:space="preserve">.</w:t>
      </w:r>
    </w:p>
    <w:bookmarkEnd w:id="591"/>
    <w:bookmarkStart w:id="5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2">
        <w:r>
          <w:rPr>
            <w:rStyle w:val="Hyperlink"/>
          </w:rPr>
          <w:t xml:space="preserve">https://doi.org/10.1038/d41586-021-03603-2</w:t>
        </w:r>
      </w:hyperlink>
      <w:r>
        <w:t xml:space="preserve">.</w:t>
      </w:r>
    </w:p>
    <w:bookmarkEnd w:id="593"/>
    <w:bookmarkStart w:id="595" w:name="ref-wargames"/>
    <w:p>
      <w:pPr>
        <w:pStyle w:val="Bibliography"/>
      </w:pPr>
      <w:r>
        <w:t xml:space="preserve">“WarGames.”</w:t>
      </w:r>
      <w:r>
        <w:t xml:space="preserve"> </w:t>
      </w:r>
      <w:r>
        <w:t xml:space="preserve">1983. Film.</w:t>
      </w:r>
      <w:r>
        <w:t xml:space="preserve"> </w:t>
      </w:r>
      <w:hyperlink r:id="rId594">
        <w:r>
          <w:rPr>
            <w:rStyle w:val="Hyperlink"/>
          </w:rPr>
          <w:t xml:space="preserve">https://en.wikipedia.org/wiki/WarGames</w:t>
        </w:r>
      </w:hyperlink>
      <w:r>
        <w:t xml:space="preserve">.</w:t>
      </w:r>
    </w:p>
    <w:bookmarkEnd w:id="595"/>
    <w:bookmarkStart w:id="5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6">
        <w:r>
          <w:rPr>
            <w:rStyle w:val="Hyperlink"/>
          </w:rPr>
          <w:t xml:space="preserve">https://adv-r.hadley.nz/</w:t>
        </w:r>
      </w:hyperlink>
      <w:r>
        <w:t xml:space="preserve">.</w:t>
      </w:r>
    </w:p>
    <w:bookmarkEnd w:id="597"/>
    <w:bookmarkStart w:id="599" w:name="ref-wickham2021shiny"/>
    <w:p>
      <w:pPr>
        <w:pStyle w:val="Bibliography"/>
      </w:pPr>
      <w:r>
        <w:t xml:space="preserve">———. 2021.</w:t>
      </w:r>
      <w:r>
        <w:t xml:space="preserve"> </w:t>
      </w:r>
      <w:r>
        <w:rPr>
          <w:i/>
          <w:iCs/>
        </w:rPr>
        <w:t xml:space="preserve">Mastering Shiny</w:t>
      </w:r>
      <w:r>
        <w:t xml:space="preserve">. O’Reilly Media.</w:t>
      </w:r>
      <w:r>
        <w:t xml:space="preserve"> </w:t>
      </w:r>
      <w:hyperlink r:id="rId598">
        <w:r>
          <w:rPr>
            <w:rStyle w:val="Hyperlink"/>
          </w:rPr>
          <w:t xml:space="preserve">https://mastering-shiny.org/</w:t>
        </w:r>
      </w:hyperlink>
      <w:r>
        <w:t xml:space="preserve">.</w:t>
      </w:r>
    </w:p>
    <w:bookmarkEnd w:id="599"/>
    <w:bookmarkStart w:id="60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00"/>
    <w:bookmarkStart w:id="602" w:name="ref-wickham2023tidydesign"/>
    <w:p>
      <w:pPr>
        <w:pStyle w:val="Bibliography"/>
      </w:pPr>
      <w:r>
        <w:t xml:space="preserve">———. 2023b.</w:t>
      </w:r>
      <w:r>
        <w:t xml:space="preserve"> </w:t>
      </w:r>
      <w:r>
        <w:rPr>
          <w:i/>
          <w:iCs/>
        </w:rPr>
        <w:t xml:space="preserve">Tidyverse Design Guide</w:t>
      </w:r>
      <w:r>
        <w:t xml:space="preserve">.</w:t>
      </w:r>
      <w:r>
        <w:t xml:space="preserve"> </w:t>
      </w:r>
      <w:hyperlink r:id="rId601">
        <w:r>
          <w:rPr>
            <w:rStyle w:val="Hyperlink"/>
          </w:rPr>
          <w:t xml:space="preserve">https://design.tidyverse.org/</w:t>
        </w:r>
      </w:hyperlink>
      <w:r>
        <w:t xml:space="preserve">.</w:t>
      </w:r>
    </w:p>
    <w:bookmarkEnd w:id="602"/>
    <w:bookmarkStart w:id="6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3">
        <w:r>
          <w:rPr>
            <w:rStyle w:val="Hyperlink"/>
          </w:rPr>
          <w:t xml:space="preserve">https://r-pkgs.org/</w:t>
        </w:r>
      </w:hyperlink>
      <w:r>
        <w:t xml:space="preserve">.</w:t>
      </w:r>
    </w:p>
    <w:bookmarkEnd w:id="604"/>
    <w:bookmarkStart w:id="6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5">
        <w:r>
          <w:rPr>
            <w:rStyle w:val="Hyperlink"/>
          </w:rPr>
          <w:t xml:space="preserve">https://r4ds.hadley.nz/</w:t>
        </w:r>
      </w:hyperlink>
      <w:r>
        <w:t xml:space="preserve">.</w:t>
      </w:r>
    </w:p>
    <w:bookmarkEnd w:id="606"/>
    <w:bookmarkStart w:id="6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7"/>
    <w:bookmarkEnd w:id="608"/>
    <w:p>
      <w:r>
        <w:br w:type="page"/>
      </w:r>
    </w:p>
    <w:bookmarkEnd w:id="609"/>
    <w:bookmarkStart w:id="6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0">
        <w:r>
          <w:rPr>
            <w:rStyle w:val="Hyperlink"/>
          </w:rPr>
          <w:t xml:space="preserve">https://ucd-serg.github.io/lab-manual/appendix-copilot-instructions.html</w:t>
        </w:r>
      </w:hyperlink>
    </w:p>
    <w:p>
      <w:r>
        <w:br w:type="page"/>
      </w:r>
    </w:p>
    <w:bookmarkEnd w:id="611"/>
    <w:bookmarkStart w:id="6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2">
        <w:r>
          <w:rPr>
            <w:rStyle w:val="Hyperlink"/>
          </w:rPr>
          <w:t xml:space="preserve">https://ucd-serg.github.io/lab-manual/appendix-copilot-setup-steps.html</w:t>
        </w:r>
      </w:hyperlink>
    </w:p>
    <w:bookmarkEnd w:id="6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2" Type="http://schemas.openxmlformats.org/officeDocument/2006/relationships/image" Target="media/rId422.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30" Type="http://schemas.openxmlformats.org/officeDocument/2006/relationships/image" Target="media/rId430.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1" Type="http://schemas.openxmlformats.org/officeDocument/2006/relationships/hyperlink" Target="http://adv-r.had.co.nz/Style.html" TargetMode="External"/><Relationship Id="rId512" Type="http://schemas.openxmlformats.org/officeDocument/2006/relationships/hyperlink" Target="http://colorbrewer2.org/" TargetMode="External"/><Relationship Id="rId54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9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90"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53" Type="http://schemas.openxmlformats.org/officeDocument/2006/relationships/hyperlink" Target="https://datadryad.org/" TargetMode="External"/><Relationship Id="rId601" Type="http://schemas.openxmlformats.org/officeDocument/2006/relationships/hyperlink" Target="https://design.tidyverse.org/" TargetMode="External"/><Relationship Id="rId56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27" Type="http://schemas.openxmlformats.org/officeDocument/2006/relationships/hyperlink" Target="https://docs.github.com/en/actions" TargetMode="External"/><Relationship Id="rId415" Type="http://schemas.openxmlformats.org/officeDocument/2006/relationships/hyperlink" Target="https://docs.github.com/en/copilot/how-tos/use-copilot-agents/coding-agent" TargetMode="External"/><Relationship Id="rId452" Type="http://schemas.openxmlformats.org/officeDocument/2006/relationships/hyperlink" Target="https://docs.github.com/en/copilot/how-tos/use-copilot-agents/coding-agent/customize-the-agent-environment" TargetMode="External"/><Relationship Id="rId457" Type="http://schemas.openxmlformats.org/officeDocument/2006/relationships/hyperlink" Target="https://docs.github.com/en/copilot/how-tos/use-copilot-agents/coding-agent/customize-the-agent-environment#preinstalling-tools-or-dependencies-in-copilots-environment" TargetMode="External"/><Relationship Id="rId441" Type="http://schemas.openxmlformats.org/officeDocument/2006/relationships/hyperlink" Target="https://docs.github.com/en/copilot/how-tos/use-copilot-agents/coding-agent/customize-the-agent-firewall" TargetMode="External"/><Relationship Id="rId439"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95" Type="http://schemas.openxmlformats.org/officeDocument/2006/relationships/hyperlink" Target="https://docs.google.com/document/d/1ckgRCcr7FFPyymyMA6Y_-cB_vftOyrrxT28c6gRg0PI/edit" TargetMode="External"/><Relationship Id="rId568" Type="http://schemas.openxmlformats.org/officeDocument/2006/relationships/hyperlink" Target="https://doi.org/10.1038/467775a" TargetMode="External"/><Relationship Id="rId572" Type="http://schemas.openxmlformats.org/officeDocument/2006/relationships/hyperlink" Target="https://doi.org/10.1038/526182a" TargetMode="External"/><Relationship Id="rId584" Type="http://schemas.openxmlformats.org/officeDocument/2006/relationships/hyperlink" Target="https://doi.org/10.1038/d41586-019-00067-3" TargetMode="External"/><Relationship Id="rId536" Type="http://schemas.openxmlformats.org/officeDocument/2006/relationships/hyperlink" Target="https://doi.org/10.1038/d41586-019-01431-z" TargetMode="External"/><Relationship Id="rId580" Type="http://schemas.openxmlformats.org/officeDocument/2006/relationships/hyperlink" Target="https://doi.org/10.1038/d41586-019-02918-5" TargetMode="External"/><Relationship Id="rId592" Type="http://schemas.openxmlformats.org/officeDocument/2006/relationships/hyperlink" Target="https://doi.org/10.1038/d41586-021-03603-2" TargetMode="External"/><Relationship Id="rId547" Type="http://schemas.openxmlformats.org/officeDocument/2006/relationships/hyperlink" Target="https://doi.org/10.1038/s41467-020-19160-7" TargetMode="External"/><Relationship Id="rId570" Type="http://schemas.openxmlformats.org/officeDocument/2006/relationships/hyperlink" Target="https://doi.org/10.1038/s41562-016-0021" TargetMode="External"/><Relationship Id="rId578" Type="http://schemas.openxmlformats.org/officeDocument/2006/relationships/hyperlink" Target="https://doi.org/10.1371/journal.pcbi.1003833" TargetMode="External"/><Relationship Id="rId53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3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33" Type="http://schemas.openxmlformats.org/officeDocument/2006/relationships/hyperlink" Target="https://en.wikipedia.org/wiki/Agent_(The_Matrix)" TargetMode="External"/><Relationship Id="rId538" Type="http://schemas.openxmlformats.org/officeDocument/2006/relationships/hyperlink" Target="https://en.wikipedia.org/wiki/Battlestar_Galactica_(2004_TV_series)" TargetMode="External"/><Relationship Id="rId541" Type="http://schemas.openxmlformats.org/officeDocument/2006/relationships/hyperlink" Target="https://en.wikipedia.org/wiki/Blade_Runner" TargetMode="External"/><Relationship Id="rId545" Type="http://schemas.openxmlformats.org/officeDocument/2006/relationships/hyperlink" Target="https://en.wikipedia.org/wiki/Ender%27s_Game" TargetMode="External"/><Relationship Id="rId562" Type="http://schemas.openxmlformats.org/officeDocument/2006/relationships/hyperlink" Target="https://en.wikipedia.org/wiki/Organizations_of_the_Dune_universe#Thinking_machines" TargetMode="External"/><Relationship Id="rId586" Type="http://schemas.openxmlformats.org/officeDocument/2006/relationships/hyperlink" Target="https://en.wikipedia.org/wiki/Terminator_3:_Rise_of_the_Machines" TargetMode="External"/><Relationship Id="rId58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594" Type="http://schemas.openxmlformats.org/officeDocument/2006/relationships/hyperlink" Target="https://en.wikipedia.org/wiki/WarGames" TargetMode="External"/><Relationship Id="rId556"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56"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5" Type="http://schemas.openxmlformats.org/officeDocument/2006/relationships/hyperlink" Target="https://github.com/skills/introduction-to-github" TargetMode="External"/><Relationship Id="rId517" Type="http://schemas.openxmlformats.org/officeDocument/2006/relationships/hyperlink" Target="https://grants.nih.gov" TargetMode="External"/><Relationship Id="rId516" Type="http://schemas.openxmlformats.org/officeDocument/2006/relationships/hyperlink" Target="https://grantwriting.stanford.edu/funding-train/" TargetMode="External"/><Relationship Id="rId497" Type="http://schemas.openxmlformats.org/officeDocument/2006/relationships/hyperlink" Target="https://grantwriting.stanford.edu/funding-train/#ep" TargetMode="External"/><Relationship Id="rId54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04" Type="http://schemas.openxmlformats.org/officeDocument/2006/relationships/hyperlink" Target="https://jadebc.github.io/lab-manual/" TargetMode="External"/><Relationship Id="rId46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7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67" Type="http://schemas.openxmlformats.org/officeDocument/2006/relationships/hyperlink" Target="https://journals.lww.com/epidem/Fulltext/2001/05000/The_Value_of_P.2.aspx" TargetMode="External"/><Relationship Id="rId514" Type="http://schemas.openxmlformats.org/officeDocument/2006/relationships/hyperlink" Target="https://journals.plos.org/ploscompbiol/article?id=10.1371/journal.pcbi.1003833" TargetMode="External"/><Relationship Id="rId551" Type="http://schemas.openxmlformats.org/officeDocument/2006/relationships/hyperlink" Target="https://journals.plos.org/plosone/s/authorship" TargetMode="External"/><Relationship Id="rId488" Type="http://schemas.openxmlformats.org/officeDocument/2006/relationships/hyperlink" Target="https://link.springer.com/book/10.1007/978-3-030-98175-4" TargetMode="External"/><Relationship Id="rId50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98" Type="http://schemas.openxmlformats.org/officeDocument/2006/relationships/hyperlink" Target="https://mastering-shiny.org/" TargetMode="External"/><Relationship Id="rId513" Type="http://schemas.openxmlformats.org/officeDocument/2006/relationships/hyperlink" Target="https://medialab.github.io/iwanthue/" TargetMode="External"/><Relationship Id="rId47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93" Type="http://schemas.openxmlformats.org/officeDocument/2006/relationships/hyperlink" Target="https://mitcommlab.mit.edu/be/2023/09/27/toward-an-evenbetterposter-improving-the-betterposter-template/" TargetMode="External"/><Relationship Id="rId506" Type="http://schemas.openxmlformats.org/officeDocument/2006/relationships/hyperlink" Target="https://myidp.sciencecareers.org/" TargetMode="External"/><Relationship Id="rId57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6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03" Type="http://schemas.openxmlformats.org/officeDocument/2006/relationships/hyperlink" Target="https://r-pkgs.org/" TargetMode="External"/><Relationship Id="rId60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8" Type="http://schemas.openxmlformats.org/officeDocument/2006/relationships/hyperlink" Target="https://s3.amazonaws.com/assets.datacamp.com/blog_assets/datatable_Cheat_Sheet_R.pdf" TargetMode="External"/><Relationship Id="rId53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76" Type="http://schemas.openxmlformats.org/officeDocument/2006/relationships/hyperlink" Target="https://sethrobertson.github.io/GitFixUm/fixup.html" TargetMode="External"/><Relationship Id="rId58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74" Type="http://schemas.openxmlformats.org/officeDocument/2006/relationships/hyperlink" Target="https://ucb-epi-r.github.io" TargetMode="External"/><Relationship Id="rId610" Type="http://schemas.openxmlformats.org/officeDocument/2006/relationships/hyperlink" Target="https://ucd-serg.github.io/lab-manual/appendix-copilot-instructions.html" TargetMode="External"/><Relationship Id="rId612" Type="http://schemas.openxmlformats.org/officeDocument/2006/relationships/hyperlink" Target="https://ucd-serg.github.io/lab-manual/appendix-copilot-setup-steps.html"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6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2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26" Type="http://schemas.openxmlformats.org/officeDocument/2006/relationships/hyperlink" Target="https://www.equator-network.org/" TargetMode="External"/><Relationship Id="rId50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medrxiv.org/" TargetMode="External"/><Relationship Id="rId509" Type="http://schemas.openxmlformats.org/officeDocument/2006/relationships/hyperlink" Target="https://www.nature.com/articles/d41586-021-03603-2" TargetMode="External"/><Relationship Id="rId49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76" Type="http://schemas.openxmlformats.org/officeDocument/2006/relationships/hyperlink" Target="https://www.rstudio.com/wp-content/uploads/2015/02/data-wrangling-cheatsheet.pdf" TargetMode="External"/><Relationship Id="rId479" Type="http://schemas.openxmlformats.org/officeDocument/2006/relationships/hyperlink" Target="https://www.rstudio.com/wp-content/uploads/2015/02/rmarkdown-cheatsheet.pdf" TargetMode="External"/><Relationship Id="rId477" Type="http://schemas.openxmlformats.org/officeDocument/2006/relationships/hyperlink" Target="https://www.rstudio.com/wp-content/uploads/2015/03/ggplot2-cheatsheet.pdf" TargetMode="External"/><Relationship Id="rId491" Type="http://schemas.openxmlformats.org/officeDocument/2006/relationships/hyperlink" Target="https://www.sciencedirect.com/science/article/pii/S1471491423000928" TargetMode="External"/><Relationship Id="rId507" Type="http://schemas.openxmlformats.org/officeDocument/2006/relationships/hyperlink" Target="https://www.training.nih.gov/career-services/" TargetMode="External"/><Relationship Id="rId510" Type="http://schemas.openxmlformats.org/officeDocument/2006/relationships/hyperlink" Target="https://www.youtube.com/watch?v=1RwJbhkCA58" TargetMode="External"/><Relationship Id="rId492" Type="http://schemas.openxmlformats.org/officeDocument/2006/relationships/hyperlink" Target="https://www.youtube.com/watch?v=1RwJbhkCA58&amp;t=1171s" TargetMode="External"/><Relationship Id="rId55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1" Type="http://schemas.openxmlformats.org/officeDocument/2006/relationships/hyperlink" Target="http://adv-r.had.co.nz/Style.html" TargetMode="External"/><Relationship Id="rId512" Type="http://schemas.openxmlformats.org/officeDocument/2006/relationships/hyperlink" Target="http://colorbrewer2.org/" TargetMode="External"/><Relationship Id="rId54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59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90"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53" Type="http://schemas.openxmlformats.org/officeDocument/2006/relationships/hyperlink" Target="https://datadryad.org/" TargetMode="External"/><Relationship Id="rId601" Type="http://schemas.openxmlformats.org/officeDocument/2006/relationships/hyperlink" Target="https://design.tidyverse.org/" TargetMode="External"/><Relationship Id="rId56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27" Type="http://schemas.openxmlformats.org/officeDocument/2006/relationships/hyperlink" Target="https://docs.github.com/en/actions" TargetMode="External"/><Relationship Id="rId415" Type="http://schemas.openxmlformats.org/officeDocument/2006/relationships/hyperlink" Target="https://docs.github.com/en/copilot/how-tos/use-copilot-agents/coding-agent" TargetMode="External"/><Relationship Id="rId452" Type="http://schemas.openxmlformats.org/officeDocument/2006/relationships/hyperlink" Target="https://docs.github.com/en/copilot/how-tos/use-copilot-agents/coding-agent/customize-the-agent-environment" TargetMode="External"/><Relationship Id="rId457" Type="http://schemas.openxmlformats.org/officeDocument/2006/relationships/hyperlink" Target="https://docs.github.com/en/copilot/how-tos/use-copilot-agents/coding-agent/customize-the-agent-environment#preinstalling-tools-or-dependencies-in-copilots-environment" TargetMode="External"/><Relationship Id="rId441" Type="http://schemas.openxmlformats.org/officeDocument/2006/relationships/hyperlink" Target="https://docs.github.com/en/copilot/how-tos/use-copilot-agents/coding-agent/customize-the-agent-firewall" TargetMode="External"/><Relationship Id="rId439"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95" Type="http://schemas.openxmlformats.org/officeDocument/2006/relationships/hyperlink" Target="https://docs.google.com/document/d/1ckgRCcr7FFPyymyMA6Y_-cB_vftOyrrxT28c6gRg0PI/edit" TargetMode="External"/><Relationship Id="rId568" Type="http://schemas.openxmlformats.org/officeDocument/2006/relationships/hyperlink" Target="https://doi.org/10.1038/467775a" TargetMode="External"/><Relationship Id="rId572" Type="http://schemas.openxmlformats.org/officeDocument/2006/relationships/hyperlink" Target="https://doi.org/10.1038/526182a" TargetMode="External"/><Relationship Id="rId584" Type="http://schemas.openxmlformats.org/officeDocument/2006/relationships/hyperlink" Target="https://doi.org/10.1038/d41586-019-00067-3" TargetMode="External"/><Relationship Id="rId536" Type="http://schemas.openxmlformats.org/officeDocument/2006/relationships/hyperlink" Target="https://doi.org/10.1038/d41586-019-01431-z" TargetMode="External"/><Relationship Id="rId580" Type="http://schemas.openxmlformats.org/officeDocument/2006/relationships/hyperlink" Target="https://doi.org/10.1038/d41586-019-02918-5" TargetMode="External"/><Relationship Id="rId592" Type="http://schemas.openxmlformats.org/officeDocument/2006/relationships/hyperlink" Target="https://doi.org/10.1038/d41586-021-03603-2" TargetMode="External"/><Relationship Id="rId547" Type="http://schemas.openxmlformats.org/officeDocument/2006/relationships/hyperlink" Target="https://doi.org/10.1038/s41467-020-19160-7" TargetMode="External"/><Relationship Id="rId570" Type="http://schemas.openxmlformats.org/officeDocument/2006/relationships/hyperlink" Target="https://doi.org/10.1038/s41562-016-0021" TargetMode="External"/><Relationship Id="rId578" Type="http://schemas.openxmlformats.org/officeDocument/2006/relationships/hyperlink" Target="https://doi.org/10.1371/journal.pcbi.1003833" TargetMode="External"/><Relationship Id="rId53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3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33" Type="http://schemas.openxmlformats.org/officeDocument/2006/relationships/hyperlink" Target="https://en.wikipedia.org/wiki/Agent_(The_Matrix)" TargetMode="External"/><Relationship Id="rId538" Type="http://schemas.openxmlformats.org/officeDocument/2006/relationships/hyperlink" Target="https://en.wikipedia.org/wiki/Battlestar_Galactica_(2004_TV_series)" TargetMode="External"/><Relationship Id="rId541" Type="http://schemas.openxmlformats.org/officeDocument/2006/relationships/hyperlink" Target="https://en.wikipedia.org/wiki/Blade_Runner" TargetMode="External"/><Relationship Id="rId545" Type="http://schemas.openxmlformats.org/officeDocument/2006/relationships/hyperlink" Target="https://en.wikipedia.org/wiki/Ender%27s_Game" TargetMode="External"/><Relationship Id="rId562" Type="http://schemas.openxmlformats.org/officeDocument/2006/relationships/hyperlink" Target="https://en.wikipedia.org/wiki/Organizations_of_the_Dune_universe#Thinking_machines" TargetMode="External"/><Relationship Id="rId586" Type="http://schemas.openxmlformats.org/officeDocument/2006/relationships/hyperlink" Target="https://en.wikipedia.org/wiki/Terminator_3:_Rise_of_the_Machines" TargetMode="External"/><Relationship Id="rId58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594" Type="http://schemas.openxmlformats.org/officeDocument/2006/relationships/hyperlink" Target="https://en.wikipedia.org/wiki/WarGames" TargetMode="External"/><Relationship Id="rId556"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56"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85" Type="http://schemas.openxmlformats.org/officeDocument/2006/relationships/hyperlink" Target="https://github.com/skills/introduction-to-github" TargetMode="External"/><Relationship Id="rId517" Type="http://schemas.openxmlformats.org/officeDocument/2006/relationships/hyperlink" Target="https://grants.nih.gov" TargetMode="External"/><Relationship Id="rId516" Type="http://schemas.openxmlformats.org/officeDocument/2006/relationships/hyperlink" Target="https://grantwriting.stanford.edu/funding-train/" TargetMode="External"/><Relationship Id="rId497" Type="http://schemas.openxmlformats.org/officeDocument/2006/relationships/hyperlink" Target="https://grantwriting.stanford.edu/funding-train/#ep" TargetMode="External"/><Relationship Id="rId54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04" Type="http://schemas.openxmlformats.org/officeDocument/2006/relationships/hyperlink" Target="https://jadebc.github.io/lab-manual/" TargetMode="External"/><Relationship Id="rId46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7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67" Type="http://schemas.openxmlformats.org/officeDocument/2006/relationships/hyperlink" Target="https://journals.lww.com/epidem/Fulltext/2001/05000/The_Value_of_P.2.aspx" TargetMode="External"/><Relationship Id="rId514" Type="http://schemas.openxmlformats.org/officeDocument/2006/relationships/hyperlink" Target="https://journals.plos.org/ploscompbiol/article?id=10.1371/journal.pcbi.1003833" TargetMode="External"/><Relationship Id="rId551" Type="http://schemas.openxmlformats.org/officeDocument/2006/relationships/hyperlink" Target="https://journals.plos.org/plosone/s/authorship" TargetMode="External"/><Relationship Id="rId488" Type="http://schemas.openxmlformats.org/officeDocument/2006/relationships/hyperlink" Target="https://link.springer.com/book/10.1007/978-3-030-98175-4" TargetMode="External"/><Relationship Id="rId501"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598" Type="http://schemas.openxmlformats.org/officeDocument/2006/relationships/hyperlink" Target="https://mastering-shiny.org/" TargetMode="External"/><Relationship Id="rId513" Type="http://schemas.openxmlformats.org/officeDocument/2006/relationships/hyperlink" Target="https://medialab.github.io/iwanthue/" TargetMode="External"/><Relationship Id="rId47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93" Type="http://schemas.openxmlformats.org/officeDocument/2006/relationships/hyperlink" Target="https://mitcommlab.mit.edu/be/2023/09/27/toward-an-evenbetterposter-improving-the-betterposter-template/" TargetMode="External"/><Relationship Id="rId506" Type="http://schemas.openxmlformats.org/officeDocument/2006/relationships/hyperlink" Target="https://myidp.sciencecareers.org/" TargetMode="External"/><Relationship Id="rId57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6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03" Type="http://schemas.openxmlformats.org/officeDocument/2006/relationships/hyperlink" Target="https://r-pkgs.org/" TargetMode="External"/><Relationship Id="rId60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8" Type="http://schemas.openxmlformats.org/officeDocument/2006/relationships/hyperlink" Target="https://s3.amazonaws.com/assets.datacamp.com/blog_assets/datatable_Cheat_Sheet_R.pdf" TargetMode="External"/><Relationship Id="rId53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76" Type="http://schemas.openxmlformats.org/officeDocument/2006/relationships/hyperlink" Target="https://sethrobertson.github.io/GitFixUm/fixup.html" TargetMode="External"/><Relationship Id="rId58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74" Type="http://schemas.openxmlformats.org/officeDocument/2006/relationships/hyperlink" Target="https://ucb-epi-r.github.io" TargetMode="External"/><Relationship Id="rId610" Type="http://schemas.openxmlformats.org/officeDocument/2006/relationships/hyperlink" Target="https://ucd-serg.github.io/lab-manual/appendix-copilot-instructions.html" TargetMode="External"/><Relationship Id="rId612" Type="http://schemas.openxmlformats.org/officeDocument/2006/relationships/hyperlink" Target="https://ucd-serg.github.io/lab-manual/appendix-copilot-setup-steps.html"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6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24"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26" Type="http://schemas.openxmlformats.org/officeDocument/2006/relationships/hyperlink" Target="https://www.equator-network.org/" TargetMode="External"/><Relationship Id="rId500"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medrxiv.org/" TargetMode="External"/><Relationship Id="rId509" Type="http://schemas.openxmlformats.org/officeDocument/2006/relationships/hyperlink" Target="https://www.nature.com/articles/d41586-021-03603-2" TargetMode="External"/><Relationship Id="rId498"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76" Type="http://schemas.openxmlformats.org/officeDocument/2006/relationships/hyperlink" Target="https://www.rstudio.com/wp-content/uploads/2015/02/data-wrangling-cheatsheet.pdf" TargetMode="External"/><Relationship Id="rId479" Type="http://schemas.openxmlformats.org/officeDocument/2006/relationships/hyperlink" Target="https://www.rstudio.com/wp-content/uploads/2015/02/rmarkdown-cheatsheet.pdf" TargetMode="External"/><Relationship Id="rId477" Type="http://schemas.openxmlformats.org/officeDocument/2006/relationships/hyperlink" Target="https://www.rstudio.com/wp-content/uploads/2015/03/ggplot2-cheatsheet.pdf" TargetMode="External"/><Relationship Id="rId491" Type="http://schemas.openxmlformats.org/officeDocument/2006/relationships/hyperlink" Target="https://www.sciencedirect.com/science/article/pii/S1471491423000928" TargetMode="External"/><Relationship Id="rId507" Type="http://schemas.openxmlformats.org/officeDocument/2006/relationships/hyperlink" Target="https://www.training.nih.gov/career-services/" TargetMode="External"/><Relationship Id="rId510" Type="http://schemas.openxmlformats.org/officeDocument/2006/relationships/hyperlink" Target="https://www.youtube.com/watch?v=1RwJbhkCA58" TargetMode="External"/><Relationship Id="rId492" Type="http://schemas.openxmlformats.org/officeDocument/2006/relationships/hyperlink" Target="https://www.youtube.com/watch?v=1RwJbhkCA58&amp;t=1171s" TargetMode="External"/><Relationship Id="rId55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9"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2026-01-13T20:02:20Z</dcterms:created>
  <dcterms:modified xsi:type="dcterms:W3CDTF">2026-01-13T20:02:20Z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