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215.jpg" ContentType="image/jpeg"/>
  <Override PartName="/word/media/rId2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67"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pipe operator</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66" w:name="sec-r-resources"/>
    <w:p>
      <w:pPr>
        <w:pStyle w:val="Heading2"/>
      </w:pPr>
      <w:r>
        <w:t xml:space="preserve">6.19 Additional Resources</w:t>
      </w:r>
    </w:p>
    <w:p>
      <w:pPr>
        <w:pStyle w:val="Compact"/>
        <w:numPr>
          <w:ilvl w:val="0"/>
          <w:numId w:val="1048"/>
        </w:numPr>
      </w:pPr>
      <w:hyperlink r:id="rId161">
        <w:r>
          <w:rPr>
            <w:rStyle w:val="Hyperlink"/>
          </w:rPr>
          <w:t xml:space="preserve">R Packages book</w:t>
        </w:r>
      </w:hyperlink>
      <w:r>
        <w:t xml:space="preserve"> </w:t>
      </w:r>
      <w:r>
        <w:t xml:space="preserve">by Hadley Wickham and Jenny Bryan</w:t>
      </w:r>
    </w:p>
    <w:p>
      <w:pPr>
        <w:pStyle w:val="Compact"/>
        <w:numPr>
          <w:ilvl w:val="0"/>
          <w:numId w:val="1048"/>
        </w:numPr>
      </w:pPr>
      <w:hyperlink r:id="rId162">
        <w:r>
          <w:rPr>
            <w:rStyle w:val="Hyperlink"/>
          </w:rPr>
          <w:t xml:space="preserve">usethis documentation</w:t>
        </w:r>
      </w:hyperlink>
    </w:p>
    <w:p>
      <w:pPr>
        <w:pStyle w:val="Compact"/>
        <w:numPr>
          <w:ilvl w:val="0"/>
          <w:numId w:val="1048"/>
        </w:numPr>
      </w:pPr>
      <w:hyperlink r:id="rId163">
        <w:r>
          <w:rPr>
            <w:rStyle w:val="Hyperlink"/>
          </w:rPr>
          <w:t xml:space="preserve">devtools documentation</w:t>
        </w:r>
      </w:hyperlink>
    </w:p>
    <w:p>
      <w:pPr>
        <w:pStyle w:val="Compact"/>
        <w:numPr>
          <w:ilvl w:val="0"/>
          <w:numId w:val="1048"/>
        </w:numPr>
      </w:pPr>
      <w:hyperlink r:id="rId164">
        <w:r>
          <w:rPr>
            <w:rStyle w:val="Hyperlink"/>
          </w:rPr>
          <w:t xml:space="preserve">pkgdown documentation</w:t>
        </w:r>
      </w:hyperlink>
    </w:p>
    <w:p>
      <w:pPr>
        <w:pStyle w:val="Compact"/>
        <w:numPr>
          <w:ilvl w:val="0"/>
          <w:numId w:val="1048"/>
        </w:numPr>
      </w:pPr>
      <w:hyperlink r:id="rId165">
        <w:r>
          <w:rPr>
            <w:rStyle w:val="Hyperlink"/>
          </w:rPr>
          <w:t xml:space="preserve">testthat documentation</w:t>
        </w:r>
      </w:hyperlink>
    </w:p>
    <w:bookmarkEnd w:id="166"/>
    <w:bookmarkEnd w:id="167"/>
    <w:bookmarkStart w:id="179" w:name="sec-r-code-style"/>
    <w:p>
      <w:pPr>
        <w:pStyle w:val="Heading1"/>
      </w:pPr>
      <w:r>
        <w:t xml:space="preserve">7. R Code Style</w:t>
      </w:r>
    </w:p>
    <w:p>
      <w:pPr>
        <w:pStyle w:val="FirstParagraph"/>
      </w:pPr>
      <w:r>
        <w:t xml:space="preserve">Adapted by UCD-SeRG team from</w:t>
      </w:r>
      <w:r>
        <w:t xml:space="preserve"> </w:t>
      </w:r>
      <w:hyperlink r:id="rId168">
        <w:r>
          <w:rPr>
            <w:rStyle w:val="Hyperlink"/>
          </w:rPr>
          <w:t xml:space="preserve">original by Kunal Mishra, Jade Benjamin-Chung, and Stephanie Djajadi</w:t>
        </w:r>
      </w:hyperlink>
    </w:p>
    <w:p>
      <w:pPr>
        <w:pStyle w:val="BodyText"/>
      </w:pPr>
      <w:r>
        <w:t xml:space="preserve">Follow these code style guidelines for all R code:</w:t>
      </w:r>
    </w:p>
    <w:bookmarkStart w:id="169" w:name="general-principles"/>
    <w:p>
      <w:pPr>
        <w:pStyle w:val="Heading2"/>
      </w:pPr>
      <w:r>
        <w:t xml:space="preserve">7.1 General Principles</w:t>
      </w:r>
    </w:p>
    <w:p>
      <w:pPr>
        <w:pStyle w:val="Compact"/>
        <w:numPr>
          <w:ilvl w:val="0"/>
          <w:numId w:val="1049"/>
        </w:numPr>
      </w:pPr>
      <w:r>
        <w:rPr>
          <w:b/>
          <w:bCs/>
        </w:rPr>
        <w:t xml:space="preserve">Follow tidyverse style guide</w:t>
      </w:r>
      <w:r>
        <w:t xml:space="preserve">: https://style.tidyverse.org</w:t>
      </w:r>
    </w:p>
    <w:p>
      <w:pPr>
        <w:pStyle w:val="Compact"/>
        <w:numPr>
          <w:ilvl w:val="0"/>
          <w:numId w:val="104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9"/>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9"/>
        </w:numPr>
      </w:pPr>
      <w:r>
        <w:rPr>
          <w:b/>
          <w:bCs/>
        </w:rPr>
        <w:t xml:space="preserve">Write tidy code</w:t>
      </w:r>
      <w:r>
        <w:t xml:space="preserve">: Keep code clean, readable, and well-organized</w:t>
      </w:r>
    </w:p>
    <w:bookmarkEnd w:id="169"/>
    <w:bookmarkStart w:id="170"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0"/>
    <w:bookmarkStart w:id="17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source your config =&gt;</w:t>
      </w:r>
    </w:p>
    <w:p>
      <w:pPr>
        <w:pStyle w:val="Compact"/>
        <w:numPr>
          <w:ilvl w:val="0"/>
          <w:numId w:val="1050"/>
        </w:numPr>
      </w:pPr>
      <w:r>
        <w:t xml:space="preserve">load all your data =&gt;</w:t>
      </w:r>
    </w:p>
    <w:p>
      <w:pPr>
        <w:pStyle w:val="Compact"/>
        <w:numPr>
          <w:ilvl w:val="0"/>
          <w:numId w:val="105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7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SourceCode"/>
      </w:pPr>
      <w:r>
        <w:rPr>
          <w:rStyle w:val="VerbatimChar"/>
        </w:rPr>
        <w:t xml:space="preserve">- **Note**: 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pPr>
        <w:pStyle w:val="FirstParagraph"/>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1"/>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72"/>
    <w:bookmarkStart w:id="17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w:t>
      </w:r>
      <w:r>
        <w:br/>
      </w:r>
      <w:r>
        <w:rPr>
          <w:rStyle w:val="NormalTok"/>
        </w:rPr>
        <w:t xml:space="preserve">       </w:t>
      </w:r>
      <w:r>
        <w:rPr>
          <w:rStyle w:val="AttributeTok"/>
        </w:rPr>
        <w:t xml:space="preserve">mapping=</w:t>
      </w:r>
      <w:r>
        <w:rPr>
          <w:rStyle w:val="FunctionTok"/>
        </w:rPr>
        <w:t xml:space="preserve">aes_string</w:t>
      </w:r>
      <w:r>
        <w:rPr>
          <w:rStyle w:val="NormalTok"/>
        </w:rPr>
        <w:t xml:space="preserve">(</w:t>
      </w:r>
      <w:r>
        <w:rPr>
          <w:rStyle w:val="AttributeTok"/>
        </w:rPr>
        <w:t xml:space="preserve">x=</w:t>
      </w:r>
      <w:r>
        <w:rPr>
          <w:rStyle w:val="StringTok"/>
        </w:rPr>
        <w:t xml:space="preserve">"year"</w:t>
      </w:r>
      <w:r>
        <w:rPr>
          <w:rStyle w:val="NormalTok"/>
        </w:rPr>
        <w:t xml:space="preserve">, </w:t>
      </w:r>
      <w:r>
        <w:rPr>
          <w:rStyle w:val="AttributeTok"/>
        </w:rPr>
        <w:t xml:space="preserve">y=</w:t>
      </w:r>
      <w:r>
        <w:rPr>
          <w:rStyle w:val="StringTok"/>
        </w:rPr>
        <w:t xml:space="preserve">"rd"</w:t>
      </w:r>
      <w:r>
        <w:rPr>
          <w:rStyle w:val="NormalTok"/>
        </w:rPr>
        <w:t xml:space="preserve">, </w:t>
      </w:r>
      <w:r>
        <w:rPr>
          <w:rStyle w:val="AttributeTok"/>
        </w:rPr>
        <w:t xml:space="preserve">group=</w:t>
      </w:r>
      <w:r>
        <w:rPr>
          <w:rStyle w:val="NormalTok"/>
        </w:rPr>
        <w:t xml:space="preserve">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w:t>
      </w:r>
      <w:r>
        <w:rPr>
          <w:rStyle w:val="FunctionTok"/>
        </w:rPr>
        <w:t xml:space="preserve">aes_string</w:t>
      </w:r>
      <w:r>
        <w:rPr>
          <w:rStyle w:val="NormalTok"/>
        </w:rPr>
        <w:t xml:space="preserve">(</w:t>
      </w:r>
      <w:r>
        <w:rPr>
          <w:rStyle w:val="AttributeTok"/>
        </w:rPr>
        <w:t xml:space="preserve">col=</w:t>
      </w:r>
      <w:r>
        <w:rPr>
          <w:rStyle w:val="NormalTok"/>
        </w:rPr>
        <w:t xml:space="preserve">group, </w:t>
      </w:r>
      <w:r>
        <w:rPr>
          <w:rStyle w:val="AttributeTok"/>
        </w:rPr>
        <w:t xml:space="preserve">shape=</w:t>
      </w:r>
      <w:r>
        <w:rPr>
          <w:rStyle w:val="NormalTok"/>
        </w:rPr>
        <w:t xml:space="preserve">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aes_string</w:t>
      </w:r>
      <w:r>
        <w:rPr>
          <w:rStyle w:val="NormalTok"/>
        </w:rPr>
        <w:t xml:space="preserve">(</w:t>
      </w:r>
      <w:r>
        <w:rPr>
          <w:rStyle w:val="AttributeTok"/>
        </w:rPr>
        <w:t xml:space="preserve">ymin=</w:t>
      </w:r>
      <w:r>
        <w:rPr>
          <w:rStyle w:val="StringTok"/>
        </w:rPr>
        <w:t xml:space="preserve">"lb"</w:t>
      </w:r>
      <w:r>
        <w:rPr>
          <w:rStyle w:val="NormalTok"/>
        </w:rPr>
        <w:t xml:space="preserve">, </w:t>
      </w:r>
      <w:r>
        <w:rPr>
          <w:rStyle w:val="AttributeTok"/>
        </w:rPr>
        <w:t xml:space="preserve">ymax=</w:t>
      </w:r>
      <w:r>
        <w:rPr>
          <w:rStyle w:val="StringTok"/>
        </w:rPr>
        <w:t xml:space="preserve">"ub"</w:t>
      </w:r>
      <w:r>
        <w:rPr>
          <w:rStyle w:val="NormalTok"/>
        </w:rPr>
        <w:t xml:space="preserve">, </w:t>
      </w:r>
      <w:r>
        <w:rPr>
          <w:rStyle w:val="AttributeTok"/>
        </w:rPr>
        <w:t xml:space="preserve">col=</w:t>
      </w:r>
      <w:r>
        <w:rPr>
          <w:rStyle w:val="NormalTok"/>
        </w:rPr>
        <w:t xml:space="preserve">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73"/>
    <w:bookmarkStart w:id="174"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74"/>
    <w:bookmarkStart w:id="175" w:name="package-code-practices"/>
    <w:p>
      <w:pPr>
        <w:pStyle w:val="Heading2"/>
      </w:pPr>
      <w:r>
        <w:t xml:space="preserve">7.6 Package Code Practices</w:t>
      </w:r>
    </w:p>
    <w:p>
      <w:pPr>
        <w:pStyle w:val="Compact"/>
        <w:numPr>
          <w:ilvl w:val="0"/>
          <w:numId w:val="105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3"/>
        </w:numPr>
      </w:pPr>
      <w:r>
        <w:rPr>
          <w:b/>
          <w:bCs/>
        </w:rPr>
        <w:t xml:space="preserve">Avoid code duplication</w:t>
      </w:r>
      <w:r>
        <w:t xml:space="preserve">: Extract repeated logic into helper functions</w:t>
      </w:r>
    </w:p>
    <w:bookmarkEnd w:id="175"/>
    <w:bookmarkStart w:id="176"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76"/>
    <w:bookmarkStart w:id="177"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77"/>
    <w:bookmarkStart w:id="178"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p>
    <w:bookmarkEnd w:id="178"/>
    <w:bookmarkEnd w:id="179"/>
    <w:bookmarkStart w:id="180" w:name="before"/>
    <w:p>
      <w:pPr>
        <w:pStyle w:val="Heading1"/>
      </w:pPr>
      <w:r>
        <w:t xml:space="preserve">8. Before</w:t>
      </w:r>
    </w:p>
    <w:p>
      <w:pPr>
        <w:pStyle w:val="FirstParagraph"/>
      </w:pPr>
      <w:r>
        <w:t xml:space="preserve">OUSD_not_found_aliases = list(</w:t>
      </w:r>
      <w:r>
        <w:t xml:space="preserve"> </w:t>
      </w:r>
      <w:r>
        <w:t xml:space="preserve">“Brookfield Village Elementary”</w:t>
      </w:r>
      <w:r>
        <w:t xml:space="preserve"> </w:t>
      </w:r>
      <w:r>
        <w:t xml:space="preserve">= str_subset(string = OUSD_school_shapes</w:t>
      </w:r>
      <w:r>
        <w:t xml:space="preserve">$schnam, pattern = "Brookfield"),
      "Carl Munck Elementary" = str_subset(string = OUSD_school_shapes$</w:t>
      </w:r>
      <w:r>
        <w:t xml:space="preserve">schnam, pattern =</w:t>
      </w:r>
      <w:r>
        <w:t xml:space="preserve"> </w:t>
      </w:r>
      <w:r>
        <w:t xml:space="preserve">“Munck”</w:t>
      </w:r>
      <w:r>
        <w:t xml:space="preserve">),</w:t>
      </w:r>
      <w:r>
        <w:t xml:space="preserve"> </w:t>
      </w:r>
      <w:r>
        <w:t xml:space="preserve">“Community United Elementary School”</w:t>
      </w:r>
      <w:r>
        <w:t xml:space="preserve"> </w:t>
      </w:r>
      <w:r>
        <w:t xml:space="preserve">= str_subset(string = OUSD_school_shapes</w:t>
      </w:r>
      <w:r>
        <w:t xml:space="preserve">$schnam, pattern = "Community United"),
      "East Oakland PRIDE Elementary" = str_subset(string = OUSD_school_shapes$</w:t>
      </w:r>
      <w:r>
        <w:t xml:space="preserve">schnam, pattern =</w:t>
      </w:r>
      <w:r>
        <w:t xml:space="preserve"> </w:t>
      </w:r>
      <w:r>
        <w:t xml:space="preserve">“East Oakland Pride”</w:t>
      </w:r>
      <w:r>
        <w:t xml:space="preserve">),</w:t>
      </w:r>
      <w:r>
        <w:t xml:space="preserve"> </w:t>
      </w:r>
      <w:r>
        <w:t xml:space="preserve">“EnCompass Academy”</w:t>
      </w:r>
      <w:r>
        <w:t xml:space="preserve"> </w:t>
      </w:r>
      <w:r>
        <w:t xml:space="preserve">= str_subset(string = OUSD_school_shapes</w:t>
      </w:r>
      <w:r>
        <w:t xml:space="preserve">$schnam, pattern = "EnCompass"),
      "Global Family School" = str_subset(string = OUSD_school_shapes$</w:t>
      </w:r>
      <w:r>
        <w:t xml:space="preserve">schnam, pattern =</w:t>
      </w:r>
      <w:r>
        <w:t xml:space="preserve"> </w:t>
      </w:r>
      <w:r>
        <w:t xml:space="preserve">“Global”</w:t>
      </w:r>
      <w:r>
        <w:t xml:space="preserve">),</w:t>
      </w:r>
      <w:r>
        <w:t xml:space="preserve"> </w:t>
      </w:r>
      <w:r>
        <w:t xml:space="preserve">“International Community School”</w:t>
      </w:r>
      <w:r>
        <w:t xml:space="preserve"> </w:t>
      </w:r>
      <w:r>
        <w:t xml:space="preserve">= str_subset(string = OUSD_school_shapes</w:t>
      </w:r>
      <w:r>
        <w:t xml:space="preserve">$schnam, pattern = "International Community"),
      "Madison Park Lower Campus" = "Madison Park Academy TK-5",
      "Manzanita Community School" = str_subset(string = OUSD_school_shapes$</w:t>
      </w:r>
      <w:r>
        <w:t xml:space="preserve">schnam, pattern =</w:t>
      </w:r>
      <w:r>
        <w:t xml:space="preserve"> </w:t>
      </w:r>
      <w:r>
        <w:t xml:space="preserve">“Manzanita Community”</w:t>
      </w:r>
      <w:r>
        <w:t xml:space="preserve">),</w:t>
      </w:r>
      <w:r>
        <w:t xml:space="preserve"> </w:t>
      </w:r>
      <w:r>
        <w:t xml:space="preserve">“Martin Luther King Jr Elementary”</w:t>
      </w:r>
      <w:r>
        <w:t xml:space="preserve"> </w:t>
      </w:r>
      <w:r>
        <w:t xml:space="preserve">= str_subset(string = OUSD_school_shapes</w:t>
      </w:r>
      <w:r>
        <w:t xml:space="preserve">$schnam, pattern = "King"),
      "PLACE @ Prescott" = "Preparatory Literary Academy of Cultural Excellence",
      "RISE Community School" = str_subset(string = OUSD_school_shapes$</w:t>
      </w:r>
      <w:r>
        <w:t xml:space="preserve">schnam, pattern =</w:t>
      </w:r>
      <w:r>
        <w:t xml:space="preserve"> </w:t>
      </w:r>
      <w:r>
        <w:t xml:space="preserve">“Rise Community”</w:t>
      </w:r>
      <w:r>
        <w:t xml:space="preserve">)</w:t>
      </w:r>
      <w:r>
        <w:t xml:space="preserve"> </w:t>
      </w:r>
      <w:r>
        <w:t xml:space="preserve">)</w:t>
      </w:r>
    </w:p>
    <w:p>
      <w:pPr>
        <w:pStyle w:val="SourceCode"/>
      </w:pPr>
    </w:p>
    <w:bookmarkEnd w:id="180"/>
    <w:bookmarkStart w:id="181" w:name="after"/>
    <w:p>
      <w:pPr>
        <w:pStyle w:val="Heading1"/>
      </w:pPr>
      <w:r>
        <w:t xml:space="preserve">9. After</w:t>
      </w:r>
    </w:p>
    <w:p>
      <w:pPr>
        <w:pStyle w:val="FirstParagraph"/>
      </w:pPr>
      <w:r>
        <w:t xml:space="preserve">OUSD_not_found_aliases = list(</w:t>
      </w:r>
      <w:r>
        <w:t xml:space="preserve"> </w:t>
      </w:r>
      <w:r>
        <w:t xml:space="preserve">“Brookfield Village Elementary”</w:t>
      </w:r>
      <w:r>
        <w:t xml:space="preserve"> </w:t>
      </w:r>
      <w:r>
        <w:t xml:space="preserve">= str_subset(string = OUSD_school_shapes</w:t>
      </w:r>
      <w:r>
        <w:t xml:space="preserve">$schnam, pattern = "Brookfield"),
      "Carl Munck Elementary"              = str_subset(string = OUSD_school_shapes$</w:t>
      </w:r>
      <w:r>
        <w:t xml:space="preserve">schnam, pattern =</w:t>
      </w:r>
      <w:r>
        <w:t xml:space="preserve"> </w:t>
      </w:r>
      <w:r>
        <w:t xml:space="preserve">“Munck”</w:t>
      </w:r>
      <w:r>
        <w:t xml:space="preserve">),</w:t>
      </w:r>
      <w:r>
        <w:t xml:space="preserve"> </w:t>
      </w:r>
      <w:r>
        <w:t xml:space="preserve">“Community United Elementary School”</w:t>
      </w:r>
      <w:r>
        <w:t xml:space="preserve"> </w:t>
      </w:r>
      <w:r>
        <w:t xml:space="preserve">= str_subset(string = OUSD_school_shapes</w:t>
      </w:r>
      <w:r>
        <w:t xml:space="preserve">$schnam, pattern = "Community United"),
      "East Oakland PRIDE Elementary"      = str_subset(string = OUSD_school_shapes$</w:t>
      </w:r>
      <w:r>
        <w:t xml:space="preserve">schnam, pattern =</w:t>
      </w:r>
      <w:r>
        <w:t xml:space="preserve"> </w:t>
      </w:r>
      <w:r>
        <w:t xml:space="preserve">“East Oakland Pride”</w:t>
      </w:r>
      <w:r>
        <w:t xml:space="preserve">),</w:t>
      </w:r>
      <w:r>
        <w:t xml:space="preserve"> </w:t>
      </w:r>
      <w:r>
        <w:t xml:space="preserve">“EnCompass Academy”</w:t>
      </w:r>
      <w:r>
        <w:t xml:space="preserve"> </w:t>
      </w:r>
      <w:r>
        <w:t xml:space="preserve">= str_subset(string = OUSD_school_shapes</w:t>
      </w:r>
      <w:r>
        <w:t xml:space="preserve">$schnam, pattern = "EnCompass"),
      "Global Family School"               = str_subset(string = OUSD_school_shapes$</w:t>
      </w:r>
      <w:r>
        <w:t xml:space="preserve">schnam, pattern =</w:t>
      </w:r>
      <w:r>
        <w:t xml:space="preserve"> </w:t>
      </w:r>
      <w:r>
        <w:t xml:space="preserve">“Global”</w:t>
      </w:r>
      <w:r>
        <w:t xml:space="preserve">),</w:t>
      </w:r>
      <w:r>
        <w:t xml:space="preserve"> </w:t>
      </w:r>
      <w:r>
        <w:t xml:space="preserve">“International Community School”</w:t>
      </w:r>
      <w:r>
        <w:t xml:space="preserve"> </w:t>
      </w:r>
      <w:r>
        <w:t xml:space="preserve">= str_subset(string = OUSD_school_shapes</w:t>
      </w:r>
      <w:r>
        <w:t xml:space="preserve">$schnam, pattern = "International Community"),
      "Madison Park Lower Campus"          = "Madison Park Academy TK-5",
      "Manzanita Community School"         = str_subset(string = OUSD_school_shapes$</w:t>
      </w:r>
      <w:r>
        <w:t xml:space="preserve">schnam, pattern =</w:t>
      </w:r>
      <w:r>
        <w:t xml:space="preserve"> </w:t>
      </w:r>
      <w:r>
        <w:t xml:space="preserve">“Manzanita Community”</w:t>
      </w:r>
      <w:r>
        <w:t xml:space="preserve">),</w:t>
      </w:r>
      <w:r>
        <w:t xml:space="preserve"> </w:t>
      </w:r>
      <w:r>
        <w:t xml:space="preserve">“Martin Luther King Jr Elementary”</w:t>
      </w:r>
      <w:r>
        <w:t xml:space="preserve"> </w:t>
      </w:r>
      <w:r>
        <w:t xml:space="preserve">= str_subset(string = OUSD_school_shapes</w:t>
      </w:r>
      <w:r>
        <w:t xml:space="preserve">$schnam, pattern = "King"),
      "PLACE @ Prescott"                   = "Preparatory Literary Academy of Cultural Excellence",
      "RISE Community School"              = str_subset(string = OUSD_school_shapes$</w:t>
      </w:r>
      <w:r>
        <w:t xml:space="preserve">schnam, pattern =</w:t>
      </w:r>
      <w:r>
        <w:t xml:space="preserve"> </w:t>
      </w:r>
      <w:r>
        <w:t xml:space="preserve">“Rise Community”</w:t>
      </w:r>
      <w:r>
        <w:t xml:space="preserve">)</w:t>
      </w:r>
      <w:r>
        <w:t xml:space="preserve"> </w:t>
      </w:r>
      <w:r>
        <w:t xml:space="preserve">)</w:t>
      </w:r>
    </w:p>
    <w:p>
      <w:pPr>
        <w:pStyle w:val="SourceCode"/>
      </w:pPr>
      <w:r>
        <w:br/>
      </w:r>
      <w:r>
        <w:rPr>
          <w:rStyle w:val="VerbatimChar"/>
        </w:rPr>
        <w:t xml:space="preserve">3. **StyleR** - Another [cool R package from the Tidyverse](https://www.tidyverse.org/articles/2017/12/styler-1.0.0/) that can be powerful and used as a first pass on entire projects that need refactoring. The most useful function of the package is the `style_dir` function, which will style all files within a given directory. See the [function's documentation](https://www.rdocumentation.org/packages/styler/versions/1.1.0/topics/style_dir) and the vignette linked above for more details.</w:t>
      </w:r>
      <w:r>
        <w:br/>
      </w:r>
      <w:r>
        <w:rPr>
          <w:rStyle w:val="VerbatimChar"/>
        </w:rPr>
        <w:t xml:space="preserve">    - **Note**: The default Tidyverse styler is subtly different from some of the things we've advocated for in this document. Most notably we differ with regards to the assignment operator (`&lt;-` vs `=`) and number of spaces before/after "tokens" (i.e. Assignment Aligner add spaces before `=` signs to align them properly). For this reason, we'd recommend the following: `style_dir(path = ..., scope = "line_breaks", strict = FALSE)`. You can also customize StyleR [even more](http://styler.r-lib.org/articles/customizing_styler.html) if you're really hardcore.</w:t>
      </w:r>
      <w:r>
        <w:br/>
      </w:r>
      <w:r>
        <w:rPr>
          <w:rStyle w:val="VerbatimChar"/>
        </w:rPr>
        <w:t xml:space="preserve">    - **Note**: As is mentioned in the package vignette linked above, StyleR modifies things _in-place_, meaning it overwrites your existing code and replaces it with the updated, properly styled code. This makes it a good fit on projects _with version control_, but if you don't have backups or a good way to revert back to the intial code, I wouldn't recommend going this route.</w:t>
      </w:r>
      <w:r>
        <w:br/>
      </w:r>
      <w:r>
        <w:rPr>
          <w:rStyle w:val="VerbatimChar"/>
        </w:rPr>
        <w:t xml:space="preserve">    </w:t>
      </w:r>
      <w:r>
        <w:br/>
      </w:r>
      <w:r>
        <w:rPr>
          <w:rStyle w:val="VerbatimChar"/>
        </w:rPr>
        <w:t xml:space="preserve">4. **Linter** - Linters are programming tools that check adherence to a given style, syntax errors, and possible semantic issues. The R linter, called `lintr`, can be found in this [package](https://www.rdocumentation.org/packages/lintr/versions/1.0.3).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 [in this link](https://cran.r-project.org/web/packages/lintr/readme/README.html#available-linters), and most guidelines are based on [Hadley Wickham’s R Style Guide](http://r-pkgs.had.co.nz/style.html).</w:t>
      </w:r>
      <w:r>
        <w:br/>
      </w:r>
      <w:r>
        <w:rPr>
          <w:rStyle w:val="VerbatimChar"/>
        </w:rPr>
        <w:t xml:space="preserve">    - **Note**: You can customize your settings to set defaults or to exclude files. More details can be found [here](https://cran.r-project.org/web/packages/lintr/readme/README.html#project-configuration).</w:t>
      </w:r>
      <w:r>
        <w:br/>
      </w:r>
      <w:r>
        <w:rPr>
          <w:rStyle w:val="VerbatimChar"/>
        </w:rPr>
        <w:t xml:space="preserve">    - **Note**: The `lintr` package goes hand in hand with the `styler` package. The styler can be used to automatically fix the problems that the lintr catches.</w:t>
      </w:r>
      <w:r>
        <w:br/>
      </w:r>
      <w:r>
        <w:br/>
      </w:r>
      <w:r>
        <w:br/>
      </w:r>
      <w:r>
        <w:rPr>
          <w:rStyle w:val="VerbatimChar"/>
        </w:rPr>
        <w:t xml:space="preserve">## Additional Resources {#sec-r-resources}</w:t>
      </w:r>
      <w:r>
        <w:br/>
      </w:r>
      <w:r>
        <w:br/>
      </w:r>
      <w:r>
        <w:rPr>
          <w:rStyle w:val="VerbatimChar"/>
        </w:rPr>
        <w:t xml:space="preserve">- [Tidyverse style guide](https://style.tidyverse.org/)</w:t>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eyJyZXNvdXJjZURpciI6Ii4iLCJib29rSXRlbVR5cGUiOiJjaGFwdGVyIiwiYm9va0l0ZW1OdW1iZXIiOjgsImJvb2tJdGVtRmlsZSI6IjA3LWJpZy1kYXRhLnFtZCIsImJvb2tJdGVtRGVwdGgiOjB9 --&gt;</w:t>
      </w:r>
    </w:p>
    <w:bookmarkEnd w:id="181"/>
    <w:bookmarkStart w:id="187" w:name="big-data"/>
    <w:p>
      <w:pPr>
        <w:pStyle w:val="Heading1"/>
      </w:pPr>
      <w:r>
        <w:t xml:space="preserve">10. Big data</w:t>
      </w:r>
    </w:p>
    <w:p>
      <w:pPr>
        <w:pStyle w:val="FirstParagraph"/>
      </w:pPr>
      <w:r>
        <w:t xml:space="preserve">Adapted by UCD-SeRG team from</w:t>
      </w:r>
      <w:r>
        <w:t xml:space="preserve"> </w:t>
      </w:r>
      <w:hyperlink r:id="rId182">
        <w:r>
          <w:rPr>
            <w:rStyle w:val="Hyperlink"/>
          </w:rPr>
          <w:t xml:space="preserve">original by Kunal Mishra and Jade Benjamin-Chung</w:t>
        </w:r>
      </w:hyperlink>
    </w:p>
    <w:bookmarkStart w:id="184" w:name="the-data.table-package"/>
    <w:p>
      <w:pPr>
        <w:pStyle w:val="Heading2"/>
      </w:pPr>
      <w:r>
        <w:t xml:space="preserve">10.1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8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84"/>
    <w:bookmarkStart w:id="185" w:name="using-downsampled-data"/>
    <w:p>
      <w:pPr>
        <w:pStyle w:val="Heading2"/>
      </w:pPr>
      <w:r>
        <w:t xml:space="preserve">10.2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85"/>
    <w:bookmarkStart w:id="186" w:name="optimal-rstudio-set-up"/>
    <w:p>
      <w:pPr>
        <w:pStyle w:val="Heading2"/>
      </w:pPr>
      <w:r>
        <w:t xml:space="preserve">10.3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54"/>
        </w:numPr>
      </w:pPr>
      <w:r>
        <w:rPr>
          <w:b/>
          <w:bCs/>
        </w:rPr>
        <w:t xml:space="preserve">Uncheck</w:t>
      </w:r>
      <w:r>
        <w:t xml:space="preserve"> </w:t>
      </w:r>
      <w:r>
        <w:t xml:space="preserve">Restore RData into workspace at startup</w:t>
      </w:r>
    </w:p>
    <w:p>
      <w:pPr>
        <w:pStyle w:val="Compact"/>
        <w:numPr>
          <w:ilvl w:val="0"/>
          <w:numId w:val="10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86"/>
    <w:bookmarkEnd w:id="187"/>
    <w:bookmarkStart w:id="197" w:name="data-masking"/>
    <w:p>
      <w:pPr>
        <w:pStyle w:val="Heading1"/>
      </w:pPr>
      <w:r>
        <w:t xml:space="preserve">11. Data masking</w:t>
      </w:r>
    </w:p>
    <w:p>
      <w:pPr>
        <w:pStyle w:val="FirstParagraph"/>
      </w:pPr>
      <w:r>
        <w:t xml:space="preserve">Adapted by UCD-SeRG team from</w:t>
      </w:r>
      <w:r>
        <w:t xml:space="preserve"> </w:t>
      </w:r>
      <w:hyperlink r:id="rId18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194" w:name="general-overview"/>
    <w:p>
      <w:pPr>
        <w:pStyle w:val="Heading2"/>
      </w:pPr>
      <w:r>
        <w:t xml:space="preserve">11.1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92" w:name="what-is-data-masking"/>
    <w:p>
      <w:pPr>
        <w:pStyle w:val="Heading3"/>
      </w:pPr>
      <w:r>
        <w:t xml:space="preserve">11.1.1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90" name="Picture"/>
            <a:graphic>
              <a:graphicData uri="http://schemas.openxmlformats.org/drawingml/2006/picture">
                <pic:pic>
                  <pic:nvPicPr>
                    <pic:cNvPr descr="assets/images/data-masking.PNG" id="191" name="Picture"/>
                    <pic:cNvPicPr>
                      <a:picLocks noChangeArrowheads="1" noChangeAspect="1"/>
                    </pic:cNvPicPr>
                  </pic:nvPicPr>
                  <pic:blipFill>
                    <a:blip r:embed="rId189"/>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92"/>
    <w:bookmarkStart w:id="193" w:name="using-tidy-evaluation-for-data-masking"/>
    <w:p>
      <w:pPr>
        <w:pStyle w:val="Heading3"/>
      </w:pPr>
      <w:r>
        <w:t xml:space="preserve">11.1.2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93"/>
    <w:bookmarkEnd w:id="194"/>
    <w:bookmarkStart w:id="196" w:name="technical-overview"/>
    <w:p>
      <w:pPr>
        <w:pStyle w:val="Heading2"/>
      </w:pPr>
      <w:r>
        <w:t xml:space="preserve">11.2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95" w:name="example"/>
    <w:p>
      <w:pPr>
        <w:pStyle w:val="Heading3"/>
      </w:pPr>
      <w:r>
        <w:t xml:space="preserve">11.2.1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95"/>
    <w:bookmarkEnd w:id="196"/>
    <w:bookmarkEnd w:id="197"/>
    <w:bookmarkStart w:id="213" w:name="sec-github"/>
    <w:p>
      <w:pPr>
        <w:pStyle w:val="Heading1"/>
      </w:pPr>
      <w:r>
        <w:t xml:space="preserve">12. Github</w:t>
      </w:r>
    </w:p>
    <w:p>
      <w:pPr>
        <w:pStyle w:val="FirstParagraph"/>
      </w:pPr>
      <w:r>
        <w:t xml:space="preserve">Adapted by UCD-SeRG team from</w:t>
      </w:r>
      <w:r>
        <w:t xml:space="preserve"> </w:t>
      </w:r>
      <w:hyperlink r:id="rId198">
        <w:r>
          <w:rPr>
            <w:rStyle w:val="Hyperlink"/>
          </w:rPr>
          <w:t xml:space="preserve">original by Stephanie Djajadi and Nolan Pokpongkiat</w:t>
        </w:r>
      </w:hyperlink>
    </w:p>
    <w:bookmarkStart w:id="201" w:name="basics"/>
    <w:p>
      <w:pPr>
        <w:pStyle w:val="Heading2"/>
      </w:pPr>
      <w:r>
        <w:t xml:space="preserve">12.1 Basics</w:t>
      </w:r>
    </w:p>
    <w:p>
      <w:pPr>
        <w:pStyle w:val="Compact"/>
        <w:numPr>
          <w:ilvl w:val="0"/>
          <w:numId w:val="1056"/>
        </w:numPr>
      </w:pPr>
      <w:r>
        <w:t xml:space="preserve">A detailed tutorial of Git can be found</w:t>
      </w:r>
      <w:r>
        <w:t xml:space="preserve"> </w:t>
      </w:r>
      <w:hyperlink r:id="rId199">
        <w:r>
          <w:rPr>
            <w:rStyle w:val="Hyperlink"/>
          </w:rPr>
          <w:t xml:space="preserve">here on the CS61B website</w:t>
        </w:r>
      </w:hyperlink>
      <w:r>
        <w:t xml:space="preserve">.</w:t>
      </w:r>
    </w:p>
    <w:p>
      <w:pPr>
        <w:pStyle w:val="Compact"/>
        <w:numPr>
          <w:ilvl w:val="0"/>
          <w:numId w:val="1056"/>
        </w:numPr>
      </w:pPr>
      <w:r>
        <w:t xml:space="preserve">If you are already familiar with Git, you can reference the summary at the end of</w:t>
      </w:r>
      <w:r>
        <w:t xml:space="preserve"> </w:t>
      </w:r>
      <w:hyperlink r:id="rId199">
        <w:r>
          <w:rPr>
            <w:rStyle w:val="Hyperlink"/>
          </w:rPr>
          <w:t xml:space="preserve">Section B</w:t>
        </w:r>
      </w:hyperlink>
      <w:r>
        <w:t xml:space="preserve">.</w:t>
      </w:r>
    </w:p>
    <w:p>
      <w:pPr>
        <w:pStyle w:val="Compact"/>
        <w:numPr>
          <w:ilvl w:val="0"/>
          <w:numId w:val="1056"/>
        </w:numPr>
      </w:pPr>
      <w:r>
        <w:t xml:space="preserve">If you have made a mistake in Git, you can refer to this</w:t>
      </w:r>
      <w:r>
        <w:t xml:space="preserve"> </w:t>
      </w:r>
      <w:hyperlink r:id="rId200">
        <w:r>
          <w:rPr>
            <w:rStyle w:val="Hyperlink"/>
          </w:rPr>
          <w:t xml:space="preserve">article</w:t>
        </w:r>
      </w:hyperlink>
      <w:r>
        <w:t xml:space="preserve"> </w:t>
      </w:r>
      <w:r>
        <w:t xml:space="preserve">to undo, fix, or remove commits in git.</w:t>
      </w:r>
    </w:p>
    <w:bookmarkEnd w:id="201"/>
    <w:bookmarkStart w:id="203" w:name="github-desktop"/>
    <w:p>
      <w:pPr>
        <w:pStyle w:val="Heading2"/>
      </w:pPr>
      <w:r>
        <w:t xml:space="preserve">12.2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02">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03"/>
    <w:bookmarkStart w:id="205" w:name="git-branching"/>
    <w:p>
      <w:pPr>
        <w:pStyle w:val="Heading2"/>
      </w:pPr>
      <w:r>
        <w:t xml:space="preserve">12.3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5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57"/>
        </w:numPr>
      </w:pPr>
      <w:r>
        <w:t xml:space="preserve">You want to start working on a new part of the project, but you aren’t sure yet if your changes will work and make it to the final product.</w:t>
      </w:r>
    </w:p>
    <w:p>
      <w:pPr>
        <w:pStyle w:val="Compact"/>
        <w:numPr>
          <w:ilvl w:val="0"/>
          <w:numId w:val="105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04">
        <w:r>
          <w:rPr>
            <w:rStyle w:val="Hyperlink"/>
          </w:rPr>
          <w:t xml:space="preserve">here</w:t>
        </w:r>
      </w:hyperlink>
      <w:r>
        <w:t xml:space="preserve">. You can also find instructions on how to handle merge conflicts when joining branches together.</w:t>
      </w:r>
    </w:p>
    <w:bookmarkEnd w:id="205"/>
    <w:bookmarkStart w:id="207" w:name="example-workflow"/>
    <w:p>
      <w:pPr>
        <w:pStyle w:val="Heading2"/>
      </w:pPr>
      <w:r>
        <w:t xml:space="preserve">12.4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06">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07"/>
    <w:bookmarkStart w:id="208" w:name="commonly-used-git-commands"/>
    <w:p>
      <w:pPr>
        <w:pStyle w:val="Heading2"/>
      </w:pPr>
      <w:r>
        <w:t xml:space="preserve">12.5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08"/>
    <w:bookmarkStart w:id="209" w:name="how-often-should-i-commit"/>
    <w:p>
      <w:pPr>
        <w:pStyle w:val="Heading2"/>
      </w:pPr>
      <w:r>
        <w:t xml:space="preserve">12.6 How often should I commit?</w:t>
      </w:r>
    </w:p>
    <w:p>
      <w:pPr>
        <w:pStyle w:val="FirstParagraph"/>
      </w:pPr>
      <w:r>
        <w:t xml:space="preserve">It is good practice to commit every 15 minutes, or every time you make a significant change. It is better to commit more rather than less.</w:t>
      </w:r>
    </w:p>
    <w:bookmarkEnd w:id="209"/>
    <w:bookmarkStart w:id="212" w:name="what-should-be-pushed-to-github"/>
    <w:p>
      <w:pPr>
        <w:pStyle w:val="Heading2"/>
      </w:pPr>
      <w:r>
        <w:t xml:space="preserve">12.7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11">
        <w:r>
          <w:rPr>
            <w:rStyle w:val="Hyperlink"/>
          </w:rPr>
          <w:t xml:space="preserve">great discussion of project-oriented workflows</w:t>
        </w:r>
      </w:hyperlink>
      <w:r>
        <w:t xml:space="preserve">, extolling the virtues of a self-contained, portable projects, for your reference.</w:t>
      </w:r>
    </w:p>
    <w:bookmarkEnd w:id="212"/>
    <w:bookmarkEnd w:id="213"/>
    <w:bookmarkStart w:id="232" w:name="sec-unix"/>
    <w:p>
      <w:pPr>
        <w:pStyle w:val="Heading1"/>
      </w:pPr>
      <w:r>
        <w:t xml:space="preserve">13. Unix</w:t>
      </w:r>
    </w:p>
    <w:p>
      <w:pPr>
        <w:pStyle w:val="FirstParagraph"/>
      </w:pPr>
      <w:r>
        <w:t xml:space="preserve">Adapted by UCD-SeRG team from</w:t>
      </w:r>
      <w:r>
        <w:t xml:space="preserve"> </w:t>
      </w:r>
      <w:hyperlink r:id="rId21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58"/>
        </w:numPr>
      </w:pPr>
      <w:r>
        <w:t xml:space="preserve">Run a series of scripts in parallel or in a specific order to reproduce our work</w:t>
      </w:r>
    </w:p>
    <w:p>
      <w:pPr>
        <w:pStyle w:val="Compact"/>
        <w:numPr>
          <w:ilvl w:val="0"/>
          <w:numId w:val="1058"/>
        </w:numPr>
      </w:pPr>
      <w:r>
        <w:t xml:space="preserve">To check on the progress of a batch of jobs</w:t>
      </w:r>
    </w:p>
    <w:p>
      <w:pPr>
        <w:pStyle w:val="Compact"/>
        <w:numPr>
          <w:ilvl w:val="0"/>
          <w:numId w:val="1058"/>
        </w:numPr>
      </w:pPr>
      <w:r>
        <w:t xml:space="preserve">To use git and push to github</w:t>
      </w:r>
    </w:p>
    <w:bookmarkStart w:id="218"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16" name="Picture"/>
            <a:graphic>
              <a:graphicData uri="http://schemas.openxmlformats.org/drawingml/2006/picture">
                <pic:pic>
                  <pic:nvPicPr>
                    <pic:cNvPr descr="assets/images/ex-desktop.jpg" id="217" name="Picture"/>
                    <pic:cNvPicPr>
                      <a:picLocks noChangeArrowheads="1" noChangeAspect="1"/>
                    </pic:cNvPicPr>
                  </pic:nvPicPr>
                  <pic:blipFill>
                    <a:blip r:embed="rId21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18"/>
    <w:bookmarkStart w:id="2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20" name="Picture"/>
            <a:graphic>
              <a:graphicData uri="http://schemas.openxmlformats.org/drawingml/2006/picture">
                <pic:pic>
                  <pic:nvPicPr>
                    <pic:cNvPr descr="assets/images/ex-terminal.PNG" id="221" name="Picture"/>
                    <pic:cNvPicPr>
                      <a:picLocks noChangeArrowheads="1" noChangeAspect="1"/>
                    </pic:cNvPicPr>
                  </pic:nvPicPr>
                  <pic:blipFill>
                    <a:blip r:embed="rId21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22"/>
    <w:bookmarkStart w:id="223" w:name="running-bash-scripts"/>
    <w:p>
      <w:pPr>
        <w:pStyle w:val="Heading2"/>
      </w:pPr>
      <w:r>
        <w:t xml:space="preserve">13.3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23"/>
    <w:bookmarkStart w:id="226"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2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25" w:name="common-mistakes"/>
    <w:p>
      <w:pPr>
        <w:pStyle w:val="Heading3"/>
      </w:pPr>
      <w:r>
        <w:t xml:space="preserve">13.4.1 Common Mistakes</w:t>
      </w:r>
    </w:p>
    <w:p>
      <w:pPr>
        <w:pStyle w:val="Compact"/>
        <w:numPr>
          <w:ilvl w:val="0"/>
          <w:numId w:val="1059"/>
        </w:numPr>
      </w:pPr>
      <w:r>
        <w:t xml:space="preserve">Remember to include all of the quotation marks around file paths that have a spaces.</w:t>
      </w:r>
    </w:p>
    <w:p>
      <w:pPr>
        <w:pStyle w:val="Compact"/>
        <w:numPr>
          <w:ilvl w:val="0"/>
          <w:numId w:val="10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25"/>
    <w:bookmarkEnd w:id="226"/>
    <w:bookmarkStart w:id="227"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27"/>
    <w:bookmarkStart w:id="231"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2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29"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29"/>
    <w:bookmarkStart w:id="230"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30"/>
    <w:bookmarkEnd w:id="231"/>
    <w:bookmarkEnd w:id="232"/>
    <w:bookmarkStart w:id="238" w:name="reproducible-environments"/>
    <w:p>
      <w:pPr>
        <w:pStyle w:val="Heading1"/>
      </w:pPr>
      <w:r>
        <w:t xml:space="preserve">14. Reproducible Environments</w:t>
      </w:r>
    </w:p>
    <w:p>
      <w:pPr>
        <w:pStyle w:val="FirstParagraph"/>
      </w:pPr>
      <w:r>
        <w:t xml:space="preserve">Adapted by UCD-SeRG team from</w:t>
      </w:r>
      <w:r>
        <w:t xml:space="preserve"> </w:t>
      </w:r>
      <w:hyperlink r:id="rId233">
        <w:r>
          <w:rPr>
            <w:rStyle w:val="Hyperlink"/>
          </w:rPr>
          <w:t xml:space="preserve">original by Anna Nguyen</w:t>
        </w:r>
      </w:hyperlink>
    </w:p>
    <w:bookmarkStart w:id="237" w:name="package-version-control-with-renv"/>
    <w:p>
      <w:pPr>
        <w:pStyle w:val="Heading2"/>
      </w:pPr>
      <w:r>
        <w:t xml:space="preserve">14.1 Package Version Control with renv</w:t>
      </w:r>
    </w:p>
    <w:bookmarkStart w:id="234" w:name="introduction"/>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34"/>
    <w:bookmarkStart w:id="23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2"/>
        </w:numPr>
      </w:pPr>
      <w:r>
        <w:t xml:space="preserve">Create an RProject file and ensure that your working directory is set to the correct folder</w:t>
      </w:r>
    </w:p>
    <w:p>
      <w:pPr>
        <w:pStyle w:val="Compact"/>
        <w:numPr>
          <w:ilvl w:val="0"/>
          <w:numId w:val="106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6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35"/>
    <w:bookmarkStart w:id="236" w:name="using-projects-with-renv"/>
    <w:p>
      <w:pPr>
        <w:pStyle w:val="Heading3"/>
      </w:pPr>
      <w:r>
        <w:t xml:space="preserve">14.1.3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3"/>
        </w:numPr>
      </w:pPr>
      <w:r>
        <w:t xml:space="preserve">Pull the most updated version of the project from GitHub</w:t>
      </w:r>
    </w:p>
    <w:p>
      <w:pPr>
        <w:pStyle w:val="Compact"/>
        <w:numPr>
          <w:ilvl w:val="0"/>
          <w:numId w:val="1063"/>
        </w:numPr>
      </w:pPr>
      <w:r>
        <w:t xml:space="preserve">Open the project’s RProject file</w:t>
      </w:r>
    </w:p>
    <w:p>
      <w:pPr>
        <w:pStyle w:val="Compact"/>
        <w:numPr>
          <w:ilvl w:val="0"/>
          <w:numId w:val="10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63"/>
        </w:numPr>
      </w:pPr>
      <w:r>
        <w:t xml:space="preserve">Wait for the correct versions of each package to install/update. This may take some time, depending on how many packages the project uses.</w:t>
      </w:r>
    </w:p>
    <w:p>
      <w:pPr>
        <w:pStyle w:val="Compact"/>
        <w:numPr>
          <w:ilvl w:val="0"/>
          <w:numId w:val="10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63"/>
        </w:numPr>
      </w:pPr>
      <w:r>
        <w:t xml:space="preserve">If you make edits to the code and introduce new/updated packages, see the section above for instructions on how to make updates.</w:t>
      </w:r>
    </w:p>
    <w:bookmarkEnd w:id="236"/>
    <w:bookmarkEnd w:id="237"/>
    <w:bookmarkEnd w:id="238"/>
    <w:bookmarkStart w:id="253" w:name="code-publication"/>
    <w:p>
      <w:pPr>
        <w:pStyle w:val="Heading1"/>
      </w:pPr>
      <w:r>
        <w:t xml:space="preserve">15. Code Publication</w:t>
      </w:r>
    </w:p>
    <w:p>
      <w:pPr>
        <w:pStyle w:val="FirstParagraph"/>
      </w:pPr>
      <w:r>
        <w:t xml:space="preserve">Adapted by UCD-SeRG team from</w:t>
      </w:r>
      <w:r>
        <w:t xml:space="preserve"> </w:t>
      </w:r>
      <w:hyperlink r:id="rId239">
        <w:r>
          <w:rPr>
            <w:rStyle w:val="Hyperlink"/>
          </w:rPr>
          <w:t xml:space="preserve">original by Nolan Pokpongkiat</w:t>
        </w:r>
      </w:hyperlink>
    </w:p>
    <w:bookmarkStart w:id="240" w:name="checklist-overview"/>
    <w:p>
      <w:pPr>
        <w:pStyle w:val="Heading2"/>
      </w:pPr>
      <w:r>
        <w:t xml:space="preserve">15.1 Checklist overview</w:t>
      </w:r>
    </w:p>
    <w:p>
      <w:pPr>
        <w:pStyle w:val="Compact"/>
        <w:numPr>
          <w:ilvl w:val="0"/>
          <w:numId w:val="1064"/>
        </w:numPr>
      </w:pPr>
      <w:hyperlink w:anchor="fill-out-file-headers">
        <w:r>
          <w:rPr>
            <w:rStyle w:val="Hyperlink"/>
          </w:rPr>
          <w:t xml:space="preserve">Fill out file headers</w:t>
        </w:r>
      </w:hyperlink>
    </w:p>
    <w:p>
      <w:pPr>
        <w:pStyle w:val="Compact"/>
        <w:numPr>
          <w:ilvl w:val="0"/>
          <w:numId w:val="1064"/>
        </w:numPr>
      </w:pPr>
      <w:hyperlink w:anchor="clean-up-comments">
        <w:r>
          <w:rPr>
            <w:rStyle w:val="Hyperlink"/>
          </w:rPr>
          <w:t xml:space="preserve">Clean up comments</w:t>
        </w:r>
      </w:hyperlink>
    </w:p>
    <w:p>
      <w:pPr>
        <w:pStyle w:val="Compact"/>
        <w:numPr>
          <w:ilvl w:val="0"/>
          <w:numId w:val="1064"/>
        </w:numPr>
      </w:pPr>
      <w:hyperlink w:anchor="document-functions">
        <w:r>
          <w:rPr>
            <w:rStyle w:val="Hyperlink"/>
          </w:rPr>
          <w:t xml:space="preserve">Document functions</w:t>
        </w:r>
      </w:hyperlink>
    </w:p>
    <w:p>
      <w:pPr>
        <w:pStyle w:val="Compact"/>
        <w:numPr>
          <w:ilvl w:val="0"/>
          <w:numId w:val="1064"/>
        </w:numPr>
      </w:pPr>
      <w:hyperlink w:anchor="remove-deprecated-filepaths">
        <w:r>
          <w:rPr>
            <w:rStyle w:val="Hyperlink"/>
          </w:rPr>
          <w:t xml:space="preserve">Remove deprecated filepaths</w:t>
        </w:r>
      </w:hyperlink>
    </w:p>
    <w:p>
      <w:pPr>
        <w:pStyle w:val="Compact"/>
        <w:numPr>
          <w:ilvl w:val="0"/>
          <w:numId w:val="1064"/>
        </w:numPr>
      </w:pPr>
      <w:hyperlink w:anchor="ensure-project-runs-via-bash">
        <w:r>
          <w:rPr>
            <w:rStyle w:val="Hyperlink"/>
          </w:rPr>
          <w:t xml:space="preserve">Ensure project runs via bash</w:t>
        </w:r>
      </w:hyperlink>
    </w:p>
    <w:p>
      <w:pPr>
        <w:pStyle w:val="Compact"/>
        <w:numPr>
          <w:ilvl w:val="0"/>
          <w:numId w:val="1064"/>
        </w:numPr>
      </w:pPr>
      <w:hyperlink w:anchor="complete-the-readme">
        <w:r>
          <w:rPr>
            <w:rStyle w:val="Hyperlink"/>
          </w:rPr>
          <w:t xml:space="preserve">Complete the README</w:t>
        </w:r>
      </w:hyperlink>
    </w:p>
    <w:p>
      <w:pPr>
        <w:pStyle w:val="Compact"/>
        <w:numPr>
          <w:ilvl w:val="0"/>
          <w:numId w:val="1064"/>
        </w:numPr>
      </w:pPr>
      <w:hyperlink w:anchor="clean-up-feature-branches">
        <w:r>
          <w:rPr>
            <w:rStyle w:val="Hyperlink"/>
          </w:rPr>
          <w:t xml:space="preserve">Clean up feature branches</w:t>
        </w:r>
      </w:hyperlink>
    </w:p>
    <w:p>
      <w:pPr>
        <w:pStyle w:val="Compact"/>
        <w:numPr>
          <w:ilvl w:val="0"/>
          <w:numId w:val="1064"/>
        </w:numPr>
      </w:pPr>
      <w:hyperlink w:anchor="create-github-release">
        <w:r>
          <w:rPr>
            <w:rStyle w:val="Hyperlink"/>
          </w:rPr>
          <w:t xml:space="preserve">Create Github release</w:t>
        </w:r>
      </w:hyperlink>
    </w:p>
    <w:bookmarkEnd w:id="240"/>
    <w:bookmarkStart w:id="24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41">
        <w:r>
          <w:rPr>
            <w:rStyle w:val="Hyperlink"/>
          </w:rPr>
          <w:t xml:space="preserve">here.</w:t>
        </w:r>
      </w:hyperlink>
    </w:p>
    <w:bookmarkEnd w:id="242"/>
    <w:bookmarkStart w:id="24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243"/>
    <w:bookmarkStart w:id="24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244">
        <w:r>
          <w:rPr>
            <w:rStyle w:val="Hyperlink"/>
          </w:rPr>
          <w:t xml:space="preserve">here.</w:t>
        </w:r>
      </w:hyperlink>
    </w:p>
    <w:bookmarkEnd w:id="245"/>
    <w:bookmarkStart w:id="24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46"/>
    <w:bookmarkStart w:id="24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47">
        <w:r>
          <w:rPr>
            <w:rStyle w:val="Hyperlink"/>
          </w:rPr>
          <w:t xml:space="preserve">here.</w:t>
        </w:r>
      </w:hyperlink>
    </w:p>
    <w:bookmarkEnd w:id="248"/>
    <w:bookmarkStart w:id="24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65"/>
        </w:numPr>
      </w:pPr>
      <w:r>
        <w:t xml:space="preserve">0-config.R: configuration file that sets data directories, sources base functions, and loads required libraries</w:t>
      </w:r>
    </w:p>
    <w:p>
      <w:pPr>
        <w:pStyle w:val="BlockText"/>
        <w:numPr>
          <w:ilvl w:val="0"/>
          <w:numId w:val="1065"/>
        </w:numPr>
      </w:pPr>
      <w:r>
        <w:t xml:space="preserve">0-base-functions: folder containing scripts with functions used in the analysis</w:t>
      </w:r>
    </w:p>
    <w:p>
      <w:pPr>
        <w:pStyle w:val="BlockText"/>
        <w:numPr>
          <w:ilvl w:val="1"/>
          <w:numId w:val="1066"/>
        </w:numPr>
      </w:pPr>
      <w:r>
        <w:t xml:space="preserve">0-base-functions.R: R script containing general functions used across the analysis</w:t>
      </w:r>
    </w:p>
    <w:p>
      <w:pPr>
        <w:pStyle w:val="BlockText"/>
        <w:numPr>
          <w:ilvl w:val="1"/>
          <w:numId w:val="1066"/>
        </w:numPr>
      </w:pPr>
      <w:r>
        <w:t xml:space="preserve">0-bias-corr-functions.R: R script containing functions used in bias correction</w:t>
      </w:r>
    </w:p>
    <w:p>
      <w:pPr>
        <w:pStyle w:val="BlockText"/>
        <w:numPr>
          <w:ilvl w:val="1"/>
          <w:numId w:val="106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66"/>
        </w:numPr>
      </w:pPr>
      <w:r>
        <w:t xml:space="preserve">0-prior-functions.R: R script containing functions to generate priors</w:t>
      </w:r>
    </w:p>
    <w:p>
      <w:pPr>
        <w:pStyle w:val="BlockText"/>
        <w:numPr>
          <w:ilvl w:val="0"/>
          <w:numId w:val="1065"/>
        </w:numPr>
      </w:pPr>
      <w:r>
        <w:t xml:space="preserve">1-data: folder containing data processing scripts NOTE: some scripts are deprecated</w:t>
      </w:r>
    </w:p>
    <w:p>
      <w:pPr>
        <w:pStyle w:val="BlockText"/>
        <w:numPr>
          <w:ilvl w:val="0"/>
          <w:numId w:val="1065"/>
        </w:numPr>
      </w:pPr>
      <w:r>
        <w:t xml:space="preserve">2-analysis: folder containing analysis scripts. To rerun all scripts in this subdirectory, run the bash script 0-run-analysis.sh.</w:t>
      </w:r>
    </w:p>
    <w:p>
      <w:pPr>
        <w:pStyle w:val="BlockText"/>
        <w:numPr>
          <w:ilvl w:val="1"/>
          <w:numId w:val="1067"/>
        </w:numPr>
      </w:pPr>
      <w:r>
        <w:t xml:space="preserve">1-obtain-priors-state.R: obtain priors for each state</w:t>
      </w:r>
    </w:p>
    <w:p>
      <w:pPr>
        <w:pStyle w:val="BlockText"/>
        <w:numPr>
          <w:ilvl w:val="1"/>
          <w:numId w:val="1067"/>
        </w:numPr>
      </w:pPr>
      <w:r>
        <w:t xml:space="preserve">2-est-expected-cases-state.R: estimate expected cases in each state</w:t>
      </w:r>
    </w:p>
    <w:p>
      <w:pPr>
        <w:pStyle w:val="BlockText"/>
        <w:numPr>
          <w:ilvl w:val="1"/>
          <w:numId w:val="1067"/>
        </w:numPr>
      </w:pPr>
      <w:r>
        <w:t xml:space="preserve">3-est-expected-cases-state-perf-testing.R: estimate expected cases in each state, estimate the percentage of underestimation due to incomplete testing vs. imperfect test accuracy</w:t>
      </w:r>
    </w:p>
    <w:p>
      <w:pPr>
        <w:pStyle w:val="BlockText"/>
        <w:numPr>
          <w:ilvl w:val="1"/>
          <w:numId w:val="1067"/>
        </w:numPr>
      </w:pPr>
      <w:r>
        <w:t xml:space="preserve">4-obtain-testing-protocols.R: find testing protocols for each state.</w:t>
      </w:r>
    </w:p>
    <w:p>
      <w:pPr>
        <w:pStyle w:val="BlockText"/>
        <w:numPr>
          <w:ilvl w:val="1"/>
          <w:numId w:val="1067"/>
        </w:numPr>
      </w:pPr>
      <w:r>
        <w:t xml:space="preserve">5-summarize-results.R: summarize results; obtain results for in text numerical results.</w:t>
      </w:r>
    </w:p>
    <w:p>
      <w:pPr>
        <w:pStyle w:val="BlockText"/>
        <w:numPr>
          <w:ilvl w:val="0"/>
          <w:numId w:val="1065"/>
        </w:numPr>
      </w:pPr>
      <w:r>
        <w:t xml:space="preserve">3-figure-table-scripts: folder containing figure scripts. To rerun all scripts in this subdirectory, run the bash script 0-run-figs.sh.</w:t>
      </w:r>
    </w:p>
    <w:p>
      <w:pPr>
        <w:pStyle w:val="BlockText"/>
        <w:numPr>
          <w:ilvl w:val="1"/>
          <w:numId w:val="1068"/>
        </w:numPr>
      </w:pPr>
      <w:r>
        <w:t xml:space="preserve">1-fig-testing.R: creates plot of testing patterns by state over time</w:t>
      </w:r>
    </w:p>
    <w:p>
      <w:pPr>
        <w:pStyle w:val="BlockText"/>
        <w:numPr>
          <w:ilvl w:val="1"/>
          <w:numId w:val="1068"/>
        </w:numPr>
      </w:pPr>
      <w:r>
        <w:t xml:space="preserve">2-fig-cases-usa-state-bar.R: creates bar plot of confirmed vs. estimated infections by state</w:t>
      </w:r>
    </w:p>
    <w:p>
      <w:pPr>
        <w:pStyle w:val="BlockText"/>
        <w:numPr>
          <w:ilvl w:val="1"/>
          <w:numId w:val="1068"/>
        </w:numPr>
      </w:pPr>
      <w:r>
        <w:t xml:space="preserve">3a-fig-map-usa-state.R: creates map of confirmed vs. estimated infections by state</w:t>
      </w:r>
    </w:p>
    <w:p>
      <w:pPr>
        <w:pStyle w:val="BlockText"/>
        <w:numPr>
          <w:ilvl w:val="1"/>
          <w:numId w:val="1068"/>
        </w:numPr>
      </w:pPr>
      <w:r>
        <w:t xml:space="preserve">3b-fig-map-usa-state-shiny.R: creates map of confirmed vs. estimated infections by state with search functionality by state</w:t>
      </w:r>
    </w:p>
    <w:p>
      <w:pPr>
        <w:pStyle w:val="BlockText"/>
        <w:numPr>
          <w:ilvl w:val="1"/>
          <w:numId w:val="1068"/>
        </w:numPr>
      </w:pPr>
      <w:r>
        <w:t xml:space="preserve">4-fig-priors.R: creates figure with priors for US as a whole</w:t>
      </w:r>
    </w:p>
    <w:p>
      <w:pPr>
        <w:pStyle w:val="BlockText"/>
        <w:numPr>
          <w:ilvl w:val="1"/>
          <w:numId w:val="1068"/>
        </w:numPr>
      </w:pPr>
      <w:r>
        <w:t xml:space="preserve">5-fig-density-usa.R: creates figure of distribution of estimated cases in the US</w:t>
      </w:r>
    </w:p>
    <w:p>
      <w:pPr>
        <w:pStyle w:val="BlockText"/>
        <w:numPr>
          <w:ilvl w:val="1"/>
          <w:numId w:val="1068"/>
        </w:numPr>
      </w:pPr>
      <w:r>
        <w:t xml:space="preserve">6-table-data-quality.R: creates table of data quality grading from COVID Tracking Project</w:t>
      </w:r>
    </w:p>
    <w:p>
      <w:pPr>
        <w:pStyle w:val="BlockText"/>
        <w:numPr>
          <w:ilvl w:val="1"/>
          <w:numId w:val="1068"/>
        </w:numPr>
      </w:pPr>
      <w:r>
        <w:t xml:space="preserve">7-fig-testpos.R: creates figure of the probability of testing positive among those tested by state</w:t>
      </w:r>
    </w:p>
    <w:p>
      <w:pPr>
        <w:pStyle w:val="BlockText"/>
        <w:numPr>
          <w:ilvl w:val="1"/>
          <w:numId w:val="1068"/>
        </w:numPr>
      </w:pPr>
      <w:r>
        <w:t xml:space="preserve">8-fig-percent-undertesting-state.R: creates figure of the percentage of under estimation due to incomplete testing</w:t>
      </w:r>
    </w:p>
    <w:p>
      <w:pPr>
        <w:pStyle w:val="BlockText"/>
        <w:numPr>
          <w:ilvl w:val="0"/>
          <w:numId w:val="1065"/>
        </w:numPr>
      </w:pPr>
      <w:r>
        <w:t xml:space="preserve">4-figures: folder containing figure files.</w:t>
      </w:r>
    </w:p>
    <w:p>
      <w:pPr>
        <w:pStyle w:val="BlockText"/>
        <w:numPr>
          <w:ilvl w:val="0"/>
          <w:numId w:val="1065"/>
        </w:numPr>
      </w:pPr>
      <w:r>
        <w:t xml:space="preserve">5-results: folder containing analysis results objects.</w:t>
      </w:r>
    </w:p>
    <w:p>
      <w:pPr>
        <w:pStyle w:val="BlockText"/>
        <w:numPr>
          <w:ilvl w:val="0"/>
          <w:numId w:val="106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49"/>
    <w:bookmarkStart w:id="25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250"/>
    <w:bookmarkStart w:id="25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51">
        <w:r>
          <w:rPr>
            <w:rStyle w:val="Hyperlink"/>
          </w:rPr>
          <w:t xml:space="preserve">here.</w:t>
        </w:r>
      </w:hyperlink>
    </w:p>
    <w:bookmarkEnd w:id="252"/>
    <w:bookmarkEnd w:id="253"/>
    <w:bookmarkStart w:id="274" w:name="data-publication"/>
    <w:p>
      <w:pPr>
        <w:pStyle w:val="Heading1"/>
      </w:pPr>
      <w:r>
        <w:t xml:space="preserve">16. Data Publication</w:t>
      </w:r>
    </w:p>
    <w:p>
      <w:pPr>
        <w:pStyle w:val="FirstParagraph"/>
      </w:pPr>
      <w:r>
        <w:t xml:space="preserve">Adapted from Fanice Nyatigo and Ben Arnold’s chapter in the</w:t>
      </w:r>
      <w:r>
        <w:t xml:space="preserve"> </w:t>
      </w:r>
      <w:hyperlink r:id="rId254">
        <w:r>
          <w:rPr>
            <w:rStyle w:val="Hyperlink"/>
          </w:rPr>
          <w:t xml:space="preserve">Proctor-UCSF Lab Manual</w:t>
        </w:r>
      </w:hyperlink>
    </w:p>
    <w:bookmarkStart w:id="2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5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5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57"/>
    <w:bookmarkStart w:id="26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58"/>
    <w:bookmarkStart w:id="2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59"/>
    <w:bookmarkStart w:id="26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60"/>
    <w:bookmarkEnd w:id="261"/>
    <w:bookmarkStart w:id="265" w:name="create-public-ids"/>
    <w:p>
      <w:pPr>
        <w:pStyle w:val="Heading2"/>
      </w:pPr>
      <w:r>
        <w:t xml:space="preserve">16.3 Create public IDs</w:t>
      </w:r>
    </w:p>
    <w:bookmarkStart w:id="26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62"/>
    <w:bookmarkStart w:id="26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63"/>
    <w:bookmarkStart w:id="26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69"/>
        </w:numPr>
      </w:pPr>
      <w:r>
        <w:rPr>
          <w:rStyle w:val="VerbatimChar"/>
        </w:rPr>
        <w:t xml:space="preserve">data/final/</w:t>
      </w:r>
      <w:r>
        <w:t xml:space="preserve">- folder containing the projects final data in both csv and rds formats</w:t>
      </w:r>
      <w:r>
        <w:br/>
      </w:r>
    </w:p>
    <w:p>
      <w:pPr>
        <w:pStyle w:val="Compact"/>
        <w:numPr>
          <w:ilvl w:val="0"/>
          <w:numId w:val="10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64"/>
    <w:bookmarkEnd w:id="265"/>
    <w:bookmarkStart w:id="26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26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68" w:name="X659912a983e12070198566d6758f84b7c139c71"/>
    <w:p>
      <w:pPr>
        <w:pStyle w:val="Heading3"/>
      </w:pPr>
      <w:r>
        <w:t xml:space="preserve">16.4.1 Steps for creating an Open Science Framework (OSF) repository:</w:t>
      </w:r>
    </w:p>
    <w:p>
      <w:pPr>
        <w:pStyle w:val="Compact"/>
        <w:numPr>
          <w:ilvl w:val="0"/>
          <w:numId w:val="1070"/>
        </w:numPr>
      </w:pPr>
      <w:r>
        <w:t xml:space="preserve">Create a new OSF project per these instructions: https://help.osf.io/article/252-create-a-project</w:t>
      </w:r>
    </w:p>
    <w:p>
      <w:pPr>
        <w:pStyle w:val="Compact"/>
        <w:numPr>
          <w:ilvl w:val="0"/>
          <w:numId w:val="10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0"/>
        </w:numPr>
      </w:pPr>
      <w:r>
        <w:t xml:space="preserve">Create a notebook component and upload the final .html files (which will not be on github… but see optional item below)</w:t>
      </w:r>
    </w:p>
    <w:p>
      <w:pPr>
        <w:pStyle w:val="Compact"/>
        <w:numPr>
          <w:ilvl w:val="0"/>
          <w:numId w:val="1070"/>
        </w:numPr>
      </w:pPr>
      <w:r>
        <w:t xml:space="preserve">On the OSF landing Wiki, provide some context. Here is a recent example: https://osf.io/954bt/</w:t>
      </w:r>
    </w:p>
    <w:p>
      <w:pPr>
        <w:pStyle w:val="Compact"/>
        <w:numPr>
          <w:ilvl w:val="0"/>
          <w:numId w:val="1070"/>
        </w:numPr>
      </w:pPr>
      <w:r>
        <w:t xml:space="preserve">Create a Digital Object Identifier (DOI) for the repository. A DOI is a unique identifier that provides a persistent link to content, such as a dataset in this case.</w:t>
      </w:r>
      <w:r>
        <w:t xml:space="preserve"> </w:t>
      </w:r>
      <w:hyperlink r:id="rId267">
        <w:r>
          <w:rPr>
            <w:rStyle w:val="Hyperlink"/>
          </w:rPr>
          <w:t xml:space="preserve">Learn more about DOIs</w:t>
        </w:r>
      </w:hyperlink>
    </w:p>
    <w:p>
      <w:pPr>
        <w:pStyle w:val="Compact"/>
        <w:numPr>
          <w:ilvl w:val="0"/>
          <w:numId w:val="1070"/>
        </w:numPr>
      </w:pPr>
      <w:r>
        <w:t xml:space="preserve">Optional: Complete the software checklist and system requirement guide for the analysis to guide others. Include it on the GitHub README for the project: https://github.com/proctor-ucsf/mordor-antibody</w:t>
      </w:r>
    </w:p>
    <w:bookmarkEnd w:id="268"/>
    <w:bookmarkEnd w:id="269"/>
    <w:bookmarkStart w:id="27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70"/>
    <w:bookmarkStart w:id="27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71"/>
    <w:bookmarkStart w:id="27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72">
        <w:r>
          <w:rPr>
            <w:rStyle w:val="Hyperlink"/>
          </w:rPr>
          <w:t xml:space="preserve">How to Store and Manage Your Data - PLOS</w:t>
        </w:r>
      </w:hyperlink>
    </w:p>
    <w:bookmarkEnd w:id="273"/>
    <w:bookmarkEnd w:id="274"/>
    <w:bookmarkStart w:id="295" w:name="sec-slurm"/>
    <w:p>
      <w:pPr>
        <w:pStyle w:val="Heading1"/>
      </w:pPr>
      <w:r>
        <w:t xml:space="preserve">17. High-performance computing (HPC)</w:t>
      </w:r>
    </w:p>
    <w:p>
      <w:pPr>
        <w:pStyle w:val="FirstParagraph"/>
      </w:pPr>
      <w:r>
        <w:t xml:space="preserve">Adapted by UCD-SeRG team from</w:t>
      </w:r>
      <w:r>
        <w:t xml:space="preserve"> </w:t>
      </w:r>
      <w:hyperlink r:id="rId27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79" w:name="uc-davis-computing-resources"/>
    <w:p>
      <w:pPr>
        <w:pStyle w:val="Heading2"/>
      </w:pPr>
      <w:r>
        <w:t xml:space="preserve">17.1 UC Davis Computing Resources</w:t>
      </w:r>
    </w:p>
    <w:bookmarkStart w:id="27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7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1"/>
        </w:numPr>
      </w:pPr>
      <w:r>
        <w:rPr>
          <w:b/>
          <w:bCs/>
        </w:rPr>
        <w:t xml:space="preserve">Shiva</w:t>
      </w:r>
      <w:r>
        <w:t xml:space="preserve"> </w:t>
      </w:r>
      <w:r>
        <w:t xml:space="preserve">(shiva.ucdavis.edu): SLURM-based cluster for computational work</w:t>
      </w:r>
    </w:p>
    <w:p>
      <w:pPr>
        <w:pStyle w:val="Compact"/>
        <w:numPr>
          <w:ilvl w:val="0"/>
          <w:numId w:val="107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7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78"/>
    <w:bookmarkEnd w:id="279"/>
    <w:bookmarkStart w:id="28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8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80"/>
    <w:bookmarkEnd w:id="281"/>
    <w:bookmarkStart w:id="28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7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82"/>
    <w:bookmarkStart w:id="28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76">
        <w:r>
          <w:rPr>
            <w:rStyle w:val="Hyperlink"/>
          </w:rPr>
          <w:t xml:space="preserve">hpc.ucdavis.edu</w:t>
        </w:r>
      </w:hyperlink>
      <w:r>
        <w:t xml:space="preserve"> </w:t>
      </w:r>
      <w:r>
        <w:t xml:space="preserve">for support information.</w:t>
      </w:r>
    </w:p>
    <w:bookmarkEnd w:id="283"/>
    <w:bookmarkStart w:id="28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8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84"/>
    <w:bookmarkStart w:id="28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85"/>
    <w:bookmarkStart w:id="28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86"/>
    <w:bookmarkEnd w:id="287"/>
    <w:bookmarkStart w:id="292" w:name="storage-group-storage-access"/>
    <w:p>
      <w:pPr>
        <w:pStyle w:val="Heading2"/>
      </w:pPr>
      <w:r>
        <w:t xml:space="preserve">17.6 Storage &amp; group storage access</w:t>
      </w:r>
    </w:p>
    <w:bookmarkStart w:id="28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76">
        <w:r>
          <w:rPr>
            <w:rStyle w:val="Hyperlink"/>
          </w:rPr>
          <w:t xml:space="preserve">UC Davis HPC documentation</w:t>
        </w:r>
      </w:hyperlink>
      <w:r>
        <w:t xml:space="preserve"> </w:t>
      </w:r>
      <w:r>
        <w:t xml:space="preserve">for specific storage options and quotas.</w:t>
      </w:r>
    </w:p>
    <w:bookmarkEnd w:id="288"/>
    <w:bookmarkStart w:id="28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89"/>
    <w:bookmarkStart w:id="29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9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91"/>
    <w:bookmarkEnd w:id="292"/>
    <w:bookmarkStart w:id="2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93">
        <w:r>
          <w:rPr>
            <w:rStyle w:val="Hyperlink"/>
          </w:rPr>
          <w:t xml:space="preserve">here</w:t>
        </w:r>
      </w:hyperlink>
      <w:r>
        <w:t xml:space="preserve">. Here is an example of an sbatch script with the following options:</w:t>
      </w:r>
    </w:p>
    <w:p>
      <w:pPr>
        <w:pStyle w:val="Compact"/>
        <w:numPr>
          <w:ilvl w:val="0"/>
          <w:numId w:val="1072"/>
        </w:numPr>
      </w:pPr>
      <w:r>
        <w:rPr>
          <w:rStyle w:val="VerbatimChar"/>
        </w:rPr>
        <w:t xml:space="preserve">job-name=run_inc</w:t>
      </w:r>
      <w:r>
        <w:t xml:space="preserve">: Job name that will show up in the SLURM system</w:t>
      </w:r>
    </w:p>
    <w:p>
      <w:pPr>
        <w:pStyle w:val="Compact"/>
        <w:numPr>
          <w:ilvl w:val="0"/>
          <w:numId w:val="1072"/>
        </w:numPr>
      </w:pPr>
      <w:r>
        <w:rPr>
          <w:rStyle w:val="VerbatimChar"/>
        </w:rPr>
        <w:t xml:space="preserve">begin=now</w:t>
      </w:r>
      <w:r>
        <w:t xml:space="preserve">: Requests to start the job as soon as the requested resources are available</w:t>
      </w:r>
    </w:p>
    <w:p>
      <w:pPr>
        <w:pStyle w:val="Compact"/>
        <w:numPr>
          <w:ilvl w:val="0"/>
          <w:numId w:val="1072"/>
        </w:numPr>
      </w:pPr>
      <w:r>
        <w:rPr>
          <w:rStyle w:val="VerbatimChar"/>
        </w:rPr>
        <w:t xml:space="preserve">dependency=singleton</w:t>
      </w:r>
      <w:r>
        <w:t xml:space="preserve">: Jobs can begin after all previously launched jobs with the same name and user have ended.</w:t>
      </w:r>
    </w:p>
    <w:p>
      <w:pPr>
        <w:pStyle w:val="Compact"/>
        <w:numPr>
          <w:ilvl w:val="0"/>
          <w:numId w:val="1072"/>
        </w:numPr>
      </w:pPr>
      <w:r>
        <w:rPr>
          <w:rStyle w:val="VerbatimChar"/>
        </w:rPr>
        <w:t xml:space="preserve">mail-type=ALL</w:t>
      </w:r>
      <w:r>
        <w:t xml:space="preserve">: Receive all types of email notification (e.g., when job starts, fails, ends)</w:t>
      </w:r>
    </w:p>
    <w:p>
      <w:pPr>
        <w:pStyle w:val="Compact"/>
        <w:numPr>
          <w:ilvl w:val="0"/>
          <w:numId w:val="1072"/>
        </w:numPr>
      </w:pPr>
      <w:r>
        <w:rPr>
          <w:rStyle w:val="VerbatimChar"/>
        </w:rPr>
        <w:t xml:space="preserve">cpus-per-task=16</w:t>
      </w:r>
      <w:r>
        <w:t xml:space="preserve">: Request 16 processors per task. The default is one processor per task.</w:t>
      </w:r>
    </w:p>
    <w:p>
      <w:pPr>
        <w:pStyle w:val="Compact"/>
        <w:numPr>
          <w:ilvl w:val="0"/>
          <w:numId w:val="1072"/>
        </w:numPr>
      </w:pPr>
      <w:r>
        <w:rPr>
          <w:rStyle w:val="VerbatimChar"/>
        </w:rPr>
        <w:t xml:space="preserve">mem=64G</w:t>
      </w:r>
      <w:r>
        <w:t xml:space="preserve">: Request 64 GB memory per node.</w:t>
      </w:r>
    </w:p>
    <w:p>
      <w:pPr>
        <w:pStyle w:val="Compact"/>
        <w:numPr>
          <w:ilvl w:val="0"/>
          <w:numId w:val="107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7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94"/>
    <w:bookmarkEnd w:id="295"/>
    <w:bookmarkStart w:id="307" w:name="checklists"/>
    <w:p>
      <w:pPr>
        <w:pStyle w:val="Heading1"/>
      </w:pPr>
      <w:r>
        <w:t xml:space="preserve">18. Checklists</w:t>
      </w:r>
    </w:p>
    <w:p>
      <w:pPr>
        <w:pStyle w:val="FirstParagraph"/>
      </w:pPr>
      <w:r>
        <w:t xml:space="preserve">Adapted by UCD-SeRG team from</w:t>
      </w:r>
      <w:r>
        <w:t xml:space="preserve"> </w:t>
      </w:r>
      <w:hyperlink r:id="rId296">
        <w:r>
          <w:rPr>
            <w:rStyle w:val="Hyperlink"/>
          </w:rPr>
          <w:t xml:space="preserve">original by Jade Benjamin-Chung</w:t>
        </w:r>
      </w:hyperlink>
    </w:p>
    <w:bookmarkStart w:id="297" w:name="pre-analysis-plan-checklist"/>
    <w:p>
      <w:pPr>
        <w:pStyle w:val="Heading2"/>
      </w:pPr>
      <w:r>
        <w:t xml:space="preserve">18.1 Pre-analysis plan checklist</w:t>
      </w:r>
    </w:p>
    <w:p>
      <w:pPr>
        <w:pStyle w:val="Compact"/>
        <w:numPr>
          <w:ilvl w:val="0"/>
          <w:numId w:val="1073"/>
        </w:numPr>
      </w:pPr>
      <w:r>
        <w:t xml:space="preserve">Brief background on the study (a condensed version of the introduction section of the paper)</w:t>
      </w:r>
    </w:p>
    <w:p>
      <w:pPr>
        <w:pStyle w:val="Compact"/>
        <w:numPr>
          <w:ilvl w:val="0"/>
          <w:numId w:val="1073"/>
        </w:numPr>
      </w:pPr>
      <w:r>
        <w:t xml:space="preserve">Hypotheses / objectives</w:t>
      </w:r>
    </w:p>
    <w:p>
      <w:pPr>
        <w:pStyle w:val="Compact"/>
        <w:numPr>
          <w:ilvl w:val="0"/>
          <w:numId w:val="1073"/>
        </w:numPr>
      </w:pPr>
      <w:r>
        <w:t xml:space="preserve">Study design</w:t>
      </w:r>
    </w:p>
    <w:p>
      <w:pPr>
        <w:pStyle w:val="Compact"/>
        <w:numPr>
          <w:ilvl w:val="0"/>
          <w:numId w:val="1073"/>
        </w:numPr>
      </w:pPr>
      <w:r>
        <w:t xml:space="preserve">Description of data</w:t>
      </w:r>
    </w:p>
    <w:p>
      <w:pPr>
        <w:pStyle w:val="Compact"/>
        <w:numPr>
          <w:ilvl w:val="0"/>
          <w:numId w:val="1073"/>
        </w:numPr>
      </w:pPr>
      <w:r>
        <w:t xml:space="preserve">Definition of outcomes</w:t>
      </w:r>
    </w:p>
    <w:p>
      <w:pPr>
        <w:pStyle w:val="Compact"/>
        <w:numPr>
          <w:ilvl w:val="0"/>
          <w:numId w:val="1073"/>
        </w:numPr>
      </w:pPr>
      <w:r>
        <w:t xml:space="preserve">Definition of interventions / exposures</w:t>
      </w:r>
    </w:p>
    <w:p>
      <w:pPr>
        <w:pStyle w:val="Compact"/>
        <w:numPr>
          <w:ilvl w:val="0"/>
          <w:numId w:val="1073"/>
        </w:numPr>
      </w:pPr>
      <w:r>
        <w:t xml:space="preserve">Definition of covariates</w:t>
      </w:r>
    </w:p>
    <w:p>
      <w:pPr>
        <w:pStyle w:val="Compact"/>
        <w:numPr>
          <w:ilvl w:val="0"/>
          <w:numId w:val="1073"/>
        </w:numPr>
      </w:pPr>
      <w:r>
        <w:t xml:space="preserve">Statistical power calculation</w:t>
      </w:r>
    </w:p>
    <w:p>
      <w:pPr>
        <w:pStyle w:val="Compact"/>
        <w:numPr>
          <w:ilvl w:val="0"/>
          <w:numId w:val="1073"/>
        </w:numPr>
      </w:pPr>
      <w:r>
        <w:t xml:space="preserve">Statistical model description</w:t>
      </w:r>
    </w:p>
    <w:p>
      <w:pPr>
        <w:pStyle w:val="Compact"/>
        <w:numPr>
          <w:ilvl w:val="0"/>
          <w:numId w:val="1073"/>
        </w:numPr>
      </w:pPr>
      <w:r>
        <w:t xml:space="preserve">Covariate selection / screening</w:t>
      </w:r>
    </w:p>
    <w:p>
      <w:pPr>
        <w:pStyle w:val="Compact"/>
        <w:numPr>
          <w:ilvl w:val="0"/>
          <w:numId w:val="1073"/>
        </w:numPr>
      </w:pPr>
      <w:r>
        <w:t xml:space="preserve">Standard error estimation method</w:t>
      </w:r>
    </w:p>
    <w:p>
      <w:pPr>
        <w:pStyle w:val="Compact"/>
        <w:numPr>
          <w:ilvl w:val="0"/>
          <w:numId w:val="1073"/>
        </w:numPr>
      </w:pPr>
      <w:r>
        <w:t xml:space="preserve">Missing data analysis</w:t>
      </w:r>
    </w:p>
    <w:p>
      <w:pPr>
        <w:pStyle w:val="Compact"/>
        <w:numPr>
          <w:ilvl w:val="0"/>
          <w:numId w:val="1073"/>
        </w:numPr>
      </w:pPr>
      <w:r>
        <w:t xml:space="preserve">Assessment of effect modification / subgroup analyses</w:t>
      </w:r>
    </w:p>
    <w:p>
      <w:pPr>
        <w:pStyle w:val="Compact"/>
        <w:numPr>
          <w:ilvl w:val="0"/>
          <w:numId w:val="1073"/>
        </w:numPr>
      </w:pPr>
      <w:r>
        <w:t xml:space="preserve">Sensitivity analyses</w:t>
      </w:r>
    </w:p>
    <w:p>
      <w:pPr>
        <w:pStyle w:val="Compact"/>
        <w:numPr>
          <w:ilvl w:val="0"/>
          <w:numId w:val="1073"/>
        </w:numPr>
      </w:pPr>
      <w:r>
        <w:t xml:space="preserve">Negative control analyses</w:t>
      </w:r>
    </w:p>
    <w:bookmarkEnd w:id="297"/>
    <w:bookmarkStart w:id="298" w:name="code-checklist"/>
    <w:p>
      <w:pPr>
        <w:pStyle w:val="Heading2"/>
      </w:pPr>
      <w:r>
        <w:t xml:space="preserve">18.2 Code checklist</w:t>
      </w:r>
    </w:p>
    <w:p>
      <w:pPr>
        <w:pStyle w:val="Compact"/>
        <w:numPr>
          <w:ilvl w:val="0"/>
          <w:numId w:val="1074"/>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4"/>
        </w:numPr>
      </w:pPr>
      <w:r>
        <w:t xml:space="preserve">Is all commented out code / remarks removed?</w:t>
      </w:r>
    </w:p>
    <w:p>
      <w:pPr>
        <w:pStyle w:val="Compact"/>
        <w:numPr>
          <w:ilvl w:val="0"/>
          <w:numId w:val="1074"/>
        </w:numPr>
      </w:pPr>
      <w:r>
        <w:t xml:space="preserve">Does the header accurately describe the process completed in the script?</w:t>
      </w:r>
    </w:p>
    <w:p>
      <w:pPr>
        <w:pStyle w:val="Compact"/>
        <w:numPr>
          <w:ilvl w:val="0"/>
          <w:numId w:val="1074"/>
        </w:numPr>
      </w:pPr>
      <w:r>
        <w:t xml:space="preserve">Is the script pushed to its github repository?</w:t>
      </w:r>
    </w:p>
    <w:p>
      <w:pPr>
        <w:pStyle w:val="Compact"/>
        <w:numPr>
          <w:ilvl w:val="0"/>
          <w:numId w:val="1074"/>
        </w:numPr>
      </w:pPr>
      <w:r>
        <w:t xml:space="preserve">Does the code adhere to the</w:t>
      </w:r>
      <w:r>
        <w:t xml:space="preserve"> </w:t>
      </w:r>
      <w:hyperlink r:id="rId168">
        <w:r>
          <w:rPr>
            <w:rStyle w:val="Hyperlink"/>
          </w:rPr>
          <w:t xml:space="preserve">coding style guide</w:t>
        </w:r>
      </w:hyperlink>
      <w:r>
        <w:t xml:space="preserve">?</w:t>
      </w:r>
    </w:p>
    <w:p>
      <w:pPr>
        <w:pStyle w:val="Compact"/>
        <w:numPr>
          <w:ilvl w:val="0"/>
          <w:numId w:val="1074"/>
        </w:numPr>
      </w:pPr>
      <w:r>
        <w:t xml:space="preserve">Are all warnings ignorable? Should any warnings be intentionally suppressed or addressed?</w:t>
      </w:r>
    </w:p>
    <w:bookmarkEnd w:id="298"/>
    <w:bookmarkStart w:id="30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299">
        <w:r>
          <w:rPr>
            <w:rStyle w:val="Hyperlink"/>
            <w:i/>
            <w:iCs/>
          </w:rPr>
          <w:t xml:space="preserve">this article</w:t>
        </w:r>
      </w:hyperlink>
      <w:r>
        <w:rPr>
          <w:i/>
          <w:iCs/>
        </w:rPr>
        <w:t xml:space="preserve">.</w:t>
      </w:r>
    </w:p>
    <w:p>
      <w:pPr>
        <w:pStyle w:val="Compact"/>
        <w:numPr>
          <w:ilvl w:val="0"/>
          <w:numId w:val="1075"/>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75"/>
        </w:numPr>
      </w:pPr>
      <w:r>
        <w:t xml:space="preserve">Are the study results within the manuscript replicable (i.e., if you rerun the code in the study’s repository, the tables and figures will be exactly replicated?)</w:t>
      </w:r>
    </w:p>
    <w:p>
      <w:pPr>
        <w:pStyle w:val="Compact"/>
        <w:numPr>
          <w:ilvl w:val="0"/>
          <w:numId w:val="1075"/>
        </w:numPr>
      </w:pPr>
      <w:r>
        <w:t xml:space="preserve">Is a target journal selected?</w:t>
      </w:r>
    </w:p>
    <w:p>
      <w:pPr>
        <w:pStyle w:val="Compact"/>
        <w:numPr>
          <w:ilvl w:val="0"/>
          <w:numId w:val="1075"/>
        </w:numPr>
      </w:pPr>
      <w:r>
        <w:t xml:space="preserve">Is the title declarative, in other words, does it state the object/findings rather than suggest them?</w:t>
      </w:r>
    </w:p>
    <w:p>
      <w:pPr>
        <w:pStyle w:val="Compact"/>
        <w:numPr>
          <w:ilvl w:val="0"/>
          <w:numId w:val="1075"/>
        </w:numPr>
      </w:pPr>
      <w:r>
        <w:t xml:space="preserve">Is the word count of the manuscript close to the target journal’s allowance?</w:t>
      </w:r>
    </w:p>
    <w:p>
      <w:pPr>
        <w:pStyle w:val="Compact"/>
        <w:numPr>
          <w:ilvl w:val="0"/>
          <w:numId w:val="1075"/>
        </w:numPr>
      </w:pPr>
      <w:r>
        <w:t xml:space="preserve">Does the manuscript adhere to the formatting guide of the target journal?</w:t>
      </w:r>
    </w:p>
    <w:p>
      <w:pPr>
        <w:pStyle w:val="Compact"/>
        <w:numPr>
          <w:ilvl w:val="0"/>
          <w:numId w:val="1075"/>
        </w:numPr>
      </w:pPr>
      <w:r>
        <w:t xml:space="preserve">Does the manuscript use a consistent voice (passive or active – usually active is preferred … pun intended)?</w:t>
      </w:r>
    </w:p>
    <w:p>
      <w:pPr>
        <w:pStyle w:val="Compact"/>
        <w:numPr>
          <w:ilvl w:val="0"/>
          <w:numId w:val="1075"/>
        </w:numPr>
      </w:pPr>
      <w:r>
        <w:t xml:space="preserve">Is each figure and table (including supplementary material) referenced in the main text?</w:t>
      </w:r>
    </w:p>
    <w:p>
      <w:pPr>
        <w:pStyle w:val="Compact"/>
        <w:numPr>
          <w:ilvl w:val="0"/>
          <w:numId w:val="1075"/>
        </w:numPr>
      </w:pPr>
      <w:r>
        <w:t xml:space="preserve">Is there a caption for each figure and table (including supplementary material)?</w:t>
      </w:r>
    </w:p>
    <w:p>
      <w:pPr>
        <w:pStyle w:val="Compact"/>
        <w:numPr>
          <w:ilvl w:val="0"/>
          <w:numId w:val="1075"/>
        </w:numPr>
      </w:pPr>
      <w:r>
        <w:t xml:space="preserve">Are tables/figures and supplementary material numbered in accordance with their appearance in the main text?</w:t>
      </w:r>
    </w:p>
    <w:p>
      <w:pPr>
        <w:pStyle w:val="Compact"/>
        <w:numPr>
          <w:ilvl w:val="0"/>
          <w:numId w:val="1075"/>
        </w:numPr>
      </w:pPr>
      <w:r>
        <w:t xml:space="preserve">Does the text use past tense if it is reporting research findings or future tense if it is a study protocol?</w:t>
      </w:r>
    </w:p>
    <w:p>
      <w:pPr>
        <w:pStyle w:val="Compact"/>
        <w:numPr>
          <w:ilvl w:val="0"/>
          <w:numId w:val="107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75"/>
        </w:numPr>
      </w:pPr>
      <w:r>
        <w:t xml:space="preserve">Does the text use minimal abbreviations, and are all abbreviations defined at first use?</w:t>
      </w:r>
    </w:p>
    <w:p>
      <w:pPr>
        <w:pStyle w:val="Compact"/>
        <w:numPr>
          <w:ilvl w:val="0"/>
          <w:numId w:val="107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7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7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00">
        <w:r>
          <w:rPr>
            <w:rStyle w:val="Hyperlink"/>
          </w:rPr>
          <w:t xml:space="preserve">here</w:t>
        </w:r>
      </w:hyperlink>
      <w:r>
        <w:t xml:space="preserve">)</w:t>
      </w:r>
    </w:p>
    <w:p>
      <w:pPr>
        <w:pStyle w:val="Compact"/>
        <w:numPr>
          <w:ilvl w:val="0"/>
          <w:numId w:val="1075"/>
        </w:numPr>
      </w:pPr>
      <w:r>
        <w:t xml:space="preserve">Have you drafted author contributions? Do they follow the</w:t>
      </w:r>
      <w:r>
        <w:t xml:space="preserve"> </w:t>
      </w:r>
      <w:hyperlink r:id="rId301">
        <w:r>
          <w:rPr>
            <w:rStyle w:val="Hyperlink"/>
          </w:rPr>
          <w:t xml:space="preserve">CRediT Taxonomy</w:t>
        </w:r>
      </w:hyperlink>
      <w:r>
        <w:t xml:space="preserve"> </w:t>
      </w:r>
      <w:r>
        <w:t xml:space="preserve">for author contributions?</w:t>
      </w:r>
    </w:p>
    <w:bookmarkEnd w:id="302"/>
    <w:bookmarkStart w:id="306" w:name="figure-checklist"/>
    <w:p>
      <w:pPr>
        <w:pStyle w:val="Heading2"/>
      </w:pPr>
      <w:r>
        <w:t xml:space="preserve">18.4 Figure checklist</w:t>
      </w:r>
    </w:p>
    <w:p>
      <w:pPr>
        <w:pStyle w:val="Compact"/>
        <w:numPr>
          <w:ilvl w:val="0"/>
          <w:numId w:val="1076"/>
        </w:numPr>
      </w:pPr>
      <w:r>
        <w:t xml:space="preserve">Are the x-axis and y-axis labeled?</w:t>
      </w:r>
    </w:p>
    <w:p>
      <w:pPr>
        <w:pStyle w:val="Compact"/>
        <w:numPr>
          <w:ilvl w:val="0"/>
          <w:numId w:val="1076"/>
        </w:numPr>
      </w:pPr>
      <w:r>
        <w:t xml:space="preserve">If the figure includes panels, is each panel labeled?</w:t>
      </w:r>
    </w:p>
    <w:p>
      <w:pPr>
        <w:pStyle w:val="Compact"/>
        <w:numPr>
          <w:ilvl w:val="0"/>
          <w:numId w:val="1076"/>
        </w:numPr>
      </w:pPr>
      <w:r>
        <w:t xml:space="preserve">Are there sufficient numerical / text labels and breaks on the x-axis and y-axis?</w:t>
      </w:r>
    </w:p>
    <w:p>
      <w:pPr>
        <w:pStyle w:val="Compact"/>
        <w:numPr>
          <w:ilvl w:val="0"/>
          <w:numId w:val="1076"/>
        </w:numPr>
      </w:pPr>
      <w:r>
        <w:t xml:space="preserve">Is the font size appropriate (i.e., large enough to read, not so large that it distracts from the data presented in the figure?)</w:t>
      </w:r>
    </w:p>
    <w:p>
      <w:pPr>
        <w:pStyle w:val="Compact"/>
        <w:numPr>
          <w:ilvl w:val="0"/>
          <w:numId w:val="1076"/>
        </w:numPr>
      </w:pPr>
      <w:r>
        <w:t xml:space="preserve">Are the colors used colorblind friendly? See a colorblind-friendly palette</w:t>
      </w:r>
      <w:r>
        <w:t xml:space="preserve"> </w:t>
      </w:r>
      <w:hyperlink r:id="rId303">
        <w:r>
          <w:rPr>
            <w:rStyle w:val="Hyperlink"/>
          </w:rPr>
          <w:t xml:space="preserve">here</w:t>
        </w:r>
      </w:hyperlink>
      <w:r>
        <w:t xml:space="preserve">, a neat palette generator with colorblind options</w:t>
      </w:r>
      <w:r>
        <w:t xml:space="preserve"> </w:t>
      </w:r>
      <w:hyperlink r:id="rId304">
        <w:r>
          <w:rPr>
            <w:rStyle w:val="Hyperlink"/>
          </w:rPr>
          <w:t xml:space="preserve">here</w:t>
        </w:r>
      </w:hyperlink>
      <w:r>
        <w:t xml:space="preserve">, and an article on why this matters</w:t>
      </w:r>
      <w:r>
        <w:t xml:space="preserve"> </w:t>
      </w:r>
      <w:hyperlink r:id="rId305">
        <w:r>
          <w:rPr>
            <w:rStyle w:val="Hyperlink"/>
          </w:rPr>
          <w:t xml:space="preserve">here</w:t>
        </w:r>
      </w:hyperlink>
    </w:p>
    <w:p>
      <w:pPr>
        <w:pStyle w:val="Compact"/>
        <w:numPr>
          <w:ilvl w:val="0"/>
          <w:numId w:val="1076"/>
        </w:numPr>
      </w:pPr>
      <w:r>
        <w:t xml:space="preserve">Are colors/shapes/line types defined in a legend?</w:t>
      </w:r>
    </w:p>
    <w:p>
      <w:pPr>
        <w:pStyle w:val="Compact"/>
        <w:numPr>
          <w:ilvl w:val="0"/>
          <w:numId w:val="1076"/>
        </w:numPr>
      </w:pPr>
      <w:r>
        <w:t xml:space="preserve">Are the legends and other labels easy to understand with minimal abbreviations?</w:t>
      </w:r>
    </w:p>
    <w:p>
      <w:pPr>
        <w:pStyle w:val="Compact"/>
        <w:numPr>
          <w:ilvl w:val="0"/>
          <w:numId w:val="1076"/>
        </w:numPr>
      </w:pPr>
      <w:r>
        <w:t xml:space="preserve">If there is overplotting, is transparency used to show overlapping data?</w:t>
      </w:r>
    </w:p>
    <w:p>
      <w:pPr>
        <w:pStyle w:val="Compact"/>
        <w:numPr>
          <w:ilvl w:val="0"/>
          <w:numId w:val="1076"/>
        </w:numPr>
      </w:pPr>
      <w:r>
        <w:t xml:space="preserve">Are 95% confidence intervals or other measures of precision shown, if applicable?</w:t>
      </w:r>
    </w:p>
    <w:bookmarkEnd w:id="306"/>
    <w:bookmarkEnd w:id="307"/>
    <w:bookmarkStart w:id="340" w:name="resources"/>
    <w:p>
      <w:pPr>
        <w:pStyle w:val="Heading1"/>
      </w:pPr>
      <w:r>
        <w:t xml:space="preserve">19. Resources</w:t>
      </w:r>
    </w:p>
    <w:p>
      <w:pPr>
        <w:pStyle w:val="FirstParagraph"/>
      </w:pPr>
      <w:r>
        <w:t xml:space="preserve">Adapted by UCD-SeRG team from</w:t>
      </w:r>
      <w:r>
        <w:t xml:space="preserve"> </w:t>
      </w:r>
      <w:hyperlink r:id="rId308">
        <w:r>
          <w:rPr>
            <w:rStyle w:val="Hyperlink"/>
          </w:rPr>
          <w:t xml:space="preserve">original by Jade Benjamin-Chung and Kunal Mishra</w:t>
        </w:r>
      </w:hyperlink>
    </w:p>
    <w:bookmarkStart w:id="315" w:name="resources-for-r"/>
    <w:p>
      <w:pPr>
        <w:pStyle w:val="Heading2"/>
      </w:pPr>
      <w:r>
        <w:t xml:space="preserve">19.1 Resources for R</w:t>
      </w:r>
    </w:p>
    <w:p>
      <w:pPr>
        <w:pStyle w:val="Compact"/>
        <w:numPr>
          <w:ilvl w:val="0"/>
          <w:numId w:val="1077"/>
        </w:numPr>
      </w:pPr>
      <w:hyperlink r:id="rId309">
        <w:r>
          <w:rPr>
            <w:rStyle w:val="Hyperlink"/>
          </w:rPr>
          <w:t xml:space="preserve">dplyr and tidyr cheat sheet</w:t>
        </w:r>
      </w:hyperlink>
    </w:p>
    <w:p>
      <w:pPr>
        <w:pStyle w:val="Compact"/>
        <w:numPr>
          <w:ilvl w:val="0"/>
          <w:numId w:val="1077"/>
        </w:numPr>
      </w:pPr>
      <w:hyperlink r:id="rId310">
        <w:r>
          <w:rPr>
            <w:rStyle w:val="Hyperlink"/>
          </w:rPr>
          <w:t xml:space="preserve">ggplot cheat sheet</w:t>
        </w:r>
      </w:hyperlink>
    </w:p>
    <w:p>
      <w:pPr>
        <w:pStyle w:val="Compact"/>
        <w:numPr>
          <w:ilvl w:val="0"/>
          <w:numId w:val="1077"/>
        </w:numPr>
      </w:pPr>
      <w:hyperlink r:id="rId311">
        <w:r>
          <w:rPr>
            <w:rStyle w:val="Hyperlink"/>
          </w:rPr>
          <w:t xml:space="preserve">data table cheat sheet</w:t>
        </w:r>
      </w:hyperlink>
    </w:p>
    <w:p>
      <w:pPr>
        <w:pStyle w:val="Compact"/>
        <w:numPr>
          <w:ilvl w:val="0"/>
          <w:numId w:val="1077"/>
        </w:numPr>
      </w:pPr>
      <w:hyperlink r:id="rId312">
        <w:r>
          <w:rPr>
            <w:rStyle w:val="Hyperlink"/>
          </w:rPr>
          <w:t xml:space="preserve">RMarkdown cheat sheet</w:t>
        </w:r>
      </w:hyperlink>
    </w:p>
    <w:p>
      <w:pPr>
        <w:pStyle w:val="Compact"/>
        <w:numPr>
          <w:ilvl w:val="0"/>
          <w:numId w:val="1077"/>
        </w:numPr>
      </w:pPr>
      <w:hyperlink r:id="rId313">
        <w:r>
          <w:rPr>
            <w:rStyle w:val="Hyperlink"/>
          </w:rPr>
          <w:t xml:space="preserve">Hadley Wickham’s R Style Guide</w:t>
        </w:r>
      </w:hyperlink>
    </w:p>
    <w:p>
      <w:pPr>
        <w:pStyle w:val="Compact"/>
        <w:numPr>
          <w:ilvl w:val="0"/>
          <w:numId w:val="1077"/>
        </w:numPr>
      </w:pPr>
      <w:hyperlink r:id="rId314">
        <w:r>
          <w:rPr>
            <w:rStyle w:val="Hyperlink"/>
          </w:rPr>
          <w:t xml:space="preserve">Jade’s R-for-epi course</w:t>
        </w:r>
      </w:hyperlink>
    </w:p>
    <w:p>
      <w:pPr>
        <w:pStyle w:val="Compact"/>
        <w:numPr>
          <w:ilvl w:val="0"/>
          <w:numId w:val="1077"/>
        </w:numPr>
      </w:pPr>
      <w:hyperlink r:id="rId143">
        <w:r>
          <w:rPr>
            <w:rStyle w:val="Hyperlink"/>
          </w:rPr>
          <w:t xml:space="preserve">Tidy Eval in 5 Minutes</w:t>
        </w:r>
      </w:hyperlink>
      <w:r>
        <w:t xml:space="preserve"> </w:t>
      </w:r>
      <w:r>
        <w:t xml:space="preserve">(video)</w:t>
      </w:r>
    </w:p>
    <w:p>
      <w:pPr>
        <w:pStyle w:val="Compact"/>
        <w:numPr>
          <w:ilvl w:val="0"/>
          <w:numId w:val="1077"/>
        </w:numPr>
      </w:pPr>
      <w:hyperlink r:id="rId144">
        <w:r>
          <w:rPr>
            <w:rStyle w:val="Hyperlink"/>
          </w:rPr>
          <w:t xml:space="preserve">Tidy Evaluation</w:t>
        </w:r>
      </w:hyperlink>
      <w:r>
        <w:t xml:space="preserve"> </w:t>
      </w:r>
      <w:r>
        <w:t xml:space="preserve">(e-book)</w:t>
      </w:r>
    </w:p>
    <w:p>
      <w:pPr>
        <w:pStyle w:val="Compact"/>
        <w:numPr>
          <w:ilvl w:val="0"/>
          <w:numId w:val="1077"/>
        </w:numPr>
      </w:pPr>
      <w:hyperlink r:id="rId145">
        <w:r>
          <w:rPr>
            <w:rStyle w:val="Hyperlink"/>
          </w:rPr>
          <w:t xml:space="preserve">Data Frame Columns as Arguments to Dplyr Functions</w:t>
        </w:r>
      </w:hyperlink>
      <w:r>
        <w:t xml:space="preserve"> </w:t>
      </w:r>
      <w:r>
        <w:t xml:space="preserve">(blog)</w:t>
      </w:r>
    </w:p>
    <w:p>
      <w:pPr>
        <w:pStyle w:val="Compact"/>
        <w:numPr>
          <w:ilvl w:val="0"/>
          <w:numId w:val="1077"/>
        </w:numPr>
      </w:pPr>
      <w:hyperlink r:id="rId146">
        <w:r>
          <w:rPr>
            <w:rStyle w:val="Hyperlink"/>
          </w:rPr>
          <w:t xml:space="preserve">Standard Evaluation for *_join</w:t>
        </w:r>
      </w:hyperlink>
      <w:r>
        <w:t xml:space="preserve"> </w:t>
      </w:r>
      <w:r>
        <w:t xml:space="preserve">(stackoverflow)</w:t>
      </w:r>
    </w:p>
    <w:p>
      <w:pPr>
        <w:pStyle w:val="Compact"/>
        <w:numPr>
          <w:ilvl w:val="0"/>
          <w:numId w:val="1077"/>
        </w:numPr>
      </w:pPr>
      <w:hyperlink r:id="rId147">
        <w:r>
          <w:rPr>
            <w:rStyle w:val="Hyperlink"/>
          </w:rPr>
          <w:t xml:space="preserve">Programming with dplyr</w:t>
        </w:r>
      </w:hyperlink>
      <w:r>
        <w:t xml:space="preserve"> </w:t>
      </w:r>
      <w:r>
        <w:t xml:space="preserve">(package vignette)</w:t>
      </w:r>
    </w:p>
    <w:bookmarkEnd w:id="315"/>
    <w:bookmarkStart w:id="318" w:name="resources-for-git-github"/>
    <w:p>
      <w:pPr>
        <w:pStyle w:val="Heading2"/>
      </w:pPr>
      <w:r>
        <w:t xml:space="preserve">19.2 Resources for Git &amp; Github</w:t>
      </w:r>
    </w:p>
    <w:p>
      <w:pPr>
        <w:pStyle w:val="Compact"/>
        <w:numPr>
          <w:ilvl w:val="0"/>
          <w:numId w:val="1078"/>
        </w:numPr>
      </w:pPr>
      <w:hyperlink r:id="rId316">
        <w:r>
          <w:rPr>
            <w:rStyle w:val="Hyperlink"/>
          </w:rPr>
          <w:t xml:space="preserve">Data Camp introduction to Git</w:t>
        </w:r>
      </w:hyperlink>
    </w:p>
    <w:p>
      <w:pPr>
        <w:pStyle w:val="Compact"/>
        <w:numPr>
          <w:ilvl w:val="0"/>
          <w:numId w:val="1078"/>
        </w:numPr>
      </w:pPr>
      <w:hyperlink r:id="rId317">
        <w:r>
          <w:rPr>
            <w:rStyle w:val="Hyperlink"/>
          </w:rPr>
          <w:t xml:space="preserve">Introduction to Github</w:t>
        </w:r>
      </w:hyperlink>
    </w:p>
    <w:bookmarkEnd w:id="318"/>
    <w:bookmarkStart w:id="320" w:name="scientific-figures"/>
    <w:p>
      <w:pPr>
        <w:pStyle w:val="Heading2"/>
      </w:pPr>
      <w:r>
        <w:t xml:space="preserve">19.3 Scientific figures</w:t>
      </w:r>
    </w:p>
    <w:p>
      <w:pPr>
        <w:pStyle w:val="Compact"/>
        <w:numPr>
          <w:ilvl w:val="0"/>
          <w:numId w:val="1079"/>
        </w:numPr>
      </w:pPr>
      <w:hyperlink r:id="rId319">
        <w:r>
          <w:rPr>
            <w:rStyle w:val="Hyperlink"/>
          </w:rPr>
          <w:t xml:space="preserve">Ten Simple Rules for Better Figures</w:t>
        </w:r>
      </w:hyperlink>
    </w:p>
    <w:bookmarkEnd w:id="320"/>
    <w:bookmarkStart w:id="325" w:name="writing"/>
    <w:p>
      <w:pPr>
        <w:pStyle w:val="Heading2"/>
      </w:pPr>
      <w:r>
        <w:t xml:space="preserve">19.4 Writing</w:t>
      </w:r>
    </w:p>
    <w:p>
      <w:pPr>
        <w:pStyle w:val="Compact"/>
        <w:numPr>
          <w:ilvl w:val="0"/>
          <w:numId w:val="1080"/>
        </w:numPr>
      </w:pPr>
      <w:hyperlink r:id="rId321">
        <w:r>
          <w:rPr>
            <w:rStyle w:val="Hyperlink"/>
          </w:rPr>
          <w:t xml:space="preserve">Tips on how to write a great science paper</w:t>
        </w:r>
      </w:hyperlink>
    </w:p>
    <w:p>
      <w:pPr>
        <w:pStyle w:val="Compact"/>
        <w:numPr>
          <w:ilvl w:val="0"/>
          <w:numId w:val="1080"/>
        </w:numPr>
      </w:pPr>
      <w:hyperlink r:id="rId31">
        <w:r>
          <w:rPr>
            <w:rStyle w:val="Hyperlink"/>
          </w:rPr>
          <w:t xml:space="preserve">ICMJE Definition of authorship</w:t>
        </w:r>
      </w:hyperlink>
    </w:p>
    <w:p>
      <w:pPr>
        <w:pStyle w:val="Compact"/>
        <w:numPr>
          <w:ilvl w:val="0"/>
          <w:numId w:val="1080"/>
        </w:numPr>
      </w:pPr>
      <w:hyperlink r:id="rId322">
        <w:r>
          <w:rPr>
            <w:rStyle w:val="Hyperlink"/>
          </w:rPr>
          <w:t xml:space="preserve">Nature article on elements of style for scientific writing</w:t>
        </w:r>
      </w:hyperlink>
    </w:p>
    <w:p>
      <w:pPr>
        <w:pStyle w:val="Compact"/>
        <w:numPr>
          <w:ilvl w:val="0"/>
          <w:numId w:val="1080"/>
        </w:numPr>
      </w:pPr>
      <w:hyperlink r:id="rId323">
        <w:r>
          <w:rPr>
            <w:rStyle w:val="Hyperlink"/>
          </w:rPr>
          <w:t xml:space="preserve">The Pathway to Publishing: A Guide to Quantitative Writing in the Health Sciences</w:t>
        </w:r>
      </w:hyperlink>
    </w:p>
    <w:p>
      <w:pPr>
        <w:pStyle w:val="Compact"/>
        <w:numPr>
          <w:ilvl w:val="0"/>
          <w:numId w:val="1080"/>
        </w:numPr>
      </w:pPr>
      <w:hyperlink r:id="rId324">
        <w:r>
          <w:rPr>
            <w:rStyle w:val="Hyperlink"/>
          </w:rPr>
          <w:t xml:space="preserve">Secret, actionable writing tips</w:t>
        </w:r>
      </w:hyperlink>
    </w:p>
    <w:bookmarkEnd w:id="325"/>
    <w:bookmarkStart w:id="330" w:name="presentations"/>
    <w:p>
      <w:pPr>
        <w:pStyle w:val="Heading2"/>
      </w:pPr>
      <w:r>
        <w:t xml:space="preserve">19.5 Presentations</w:t>
      </w:r>
    </w:p>
    <w:p>
      <w:pPr>
        <w:pStyle w:val="Compact"/>
        <w:numPr>
          <w:ilvl w:val="0"/>
          <w:numId w:val="1081"/>
        </w:numPr>
      </w:pPr>
      <w:hyperlink r:id="rId326">
        <w:r>
          <w:rPr>
            <w:rStyle w:val="Hyperlink"/>
          </w:rPr>
          <w:t xml:space="preserve">How to tell a compelling story in scientific presentations</w:t>
        </w:r>
      </w:hyperlink>
    </w:p>
    <w:p>
      <w:pPr>
        <w:pStyle w:val="Compact"/>
        <w:numPr>
          <w:ilvl w:val="0"/>
          <w:numId w:val="1081"/>
        </w:numPr>
      </w:pPr>
      <w:hyperlink r:id="rId327">
        <w:r>
          <w:rPr>
            <w:rStyle w:val="Hyperlink"/>
          </w:rPr>
          <w:t xml:space="preserve">How to give a killer narratively-driven scientific talk</w:t>
        </w:r>
      </w:hyperlink>
    </w:p>
    <w:p>
      <w:pPr>
        <w:pStyle w:val="Compact"/>
        <w:numPr>
          <w:ilvl w:val="0"/>
          <w:numId w:val="1081"/>
        </w:numPr>
      </w:pPr>
      <w:hyperlink r:id="rId328">
        <w:r>
          <w:rPr>
            <w:rStyle w:val="Hyperlink"/>
          </w:rPr>
          <w:t xml:space="preserve">How to make a better poster</w:t>
        </w:r>
      </w:hyperlink>
    </w:p>
    <w:p>
      <w:pPr>
        <w:pStyle w:val="Compact"/>
        <w:numPr>
          <w:ilvl w:val="0"/>
          <w:numId w:val="1081"/>
        </w:numPr>
      </w:pPr>
      <w:hyperlink r:id="rId329">
        <w:r>
          <w:rPr>
            <w:rStyle w:val="Hyperlink"/>
          </w:rPr>
          <w:t xml:space="preserve">How to make an even better poster</w:t>
        </w:r>
      </w:hyperlink>
    </w:p>
    <w:bookmarkEnd w:id="330"/>
    <w:bookmarkStart w:id="332" w:name="professional-advice"/>
    <w:p>
      <w:pPr>
        <w:pStyle w:val="Heading2"/>
      </w:pPr>
      <w:r>
        <w:t xml:space="preserve">19.6 Professional advice</w:t>
      </w:r>
    </w:p>
    <w:p>
      <w:pPr>
        <w:pStyle w:val="Compact"/>
        <w:numPr>
          <w:ilvl w:val="0"/>
          <w:numId w:val="1082"/>
        </w:numPr>
      </w:pPr>
      <w:hyperlink r:id="rId331">
        <w:r>
          <w:rPr>
            <w:rStyle w:val="Hyperlink"/>
          </w:rPr>
          <w:t xml:space="preserve">Professional advice, especially for your first job</w:t>
        </w:r>
      </w:hyperlink>
    </w:p>
    <w:bookmarkEnd w:id="332"/>
    <w:bookmarkStart w:id="335" w:name="funding"/>
    <w:p>
      <w:pPr>
        <w:pStyle w:val="Heading2"/>
      </w:pPr>
      <w:r>
        <w:t xml:space="preserve">19.7 Funding</w:t>
      </w:r>
    </w:p>
    <w:p>
      <w:pPr>
        <w:pStyle w:val="Compact"/>
        <w:numPr>
          <w:ilvl w:val="0"/>
          <w:numId w:val="1083"/>
        </w:numPr>
      </w:pPr>
      <w:hyperlink r:id="rId333">
        <w:r>
          <w:rPr>
            <w:rStyle w:val="Hyperlink"/>
          </w:rPr>
          <w:t xml:space="preserve">Building Your Funding Train</w:t>
        </w:r>
      </w:hyperlink>
    </w:p>
    <w:p>
      <w:pPr>
        <w:pStyle w:val="Compact"/>
        <w:numPr>
          <w:ilvl w:val="0"/>
          <w:numId w:val="1083"/>
        </w:numPr>
      </w:pPr>
      <w:hyperlink r:id="rId334">
        <w:r>
          <w:rPr>
            <w:rStyle w:val="Hyperlink"/>
          </w:rPr>
          <w:t xml:space="preserve">NIH Grant Writing Resources</w:t>
        </w:r>
      </w:hyperlink>
    </w:p>
    <w:bookmarkEnd w:id="335"/>
    <w:bookmarkStart w:id="339" w:name="ethics-and-global-health-research"/>
    <w:p>
      <w:pPr>
        <w:pStyle w:val="Heading2"/>
      </w:pPr>
      <w:r>
        <w:t xml:space="preserve">19.8 Ethics and global health research</w:t>
      </w:r>
    </w:p>
    <w:p>
      <w:pPr>
        <w:pStyle w:val="Compact"/>
        <w:numPr>
          <w:ilvl w:val="0"/>
          <w:numId w:val="1084"/>
        </w:numPr>
      </w:pPr>
      <w:hyperlink r:id="rId336">
        <w:r>
          <w:rPr>
            <w:rStyle w:val="Hyperlink"/>
          </w:rPr>
          <w:t xml:space="preserve">Global Code of Conduct For Research in Resource-Poor Settings</w:t>
        </w:r>
      </w:hyperlink>
    </w:p>
    <w:p>
      <w:pPr>
        <w:pStyle w:val="Compact"/>
        <w:numPr>
          <w:ilvl w:val="0"/>
          <w:numId w:val="1084"/>
        </w:numPr>
      </w:pPr>
      <w:hyperlink r:id="rId337">
        <w:r>
          <w:rPr>
            <w:rStyle w:val="Hyperlink"/>
          </w:rPr>
          <w:t xml:space="preserve">Who is a global health expert? Advice for aspiring global health experts</w:t>
        </w:r>
      </w:hyperlink>
    </w:p>
    <w:p>
      <w:pPr>
        <w:pStyle w:val="Compact"/>
        <w:numPr>
          <w:ilvl w:val="0"/>
          <w:numId w:val="1084"/>
        </w:numPr>
      </w:pPr>
      <w:hyperlink r:id="rId338">
        <w:r>
          <w:rPr>
            <w:rStyle w:val="Hyperlink"/>
          </w:rPr>
          <w:t xml:space="preserve">Transforming Global Health Partnerships</w:t>
        </w:r>
      </w:hyperlink>
    </w:p>
    <w:bookmarkEnd w:id="339"/>
    <w:bookmarkEnd w:id="3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9" Target="media/rId189.png" /><Relationship Type="http://schemas.openxmlformats.org/officeDocument/2006/relationships/image" Id="rId215" Target="media/rId215.jpg" /><Relationship Type="http://schemas.openxmlformats.org/officeDocument/2006/relationships/image" Id="rId219" Target="media/rId219.png" /><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33"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33"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2026-01-10T08:53:42Z</dcterms:created>
  <dcterms:modified xsi:type="dcterms:W3CDTF">2026-01-10T08:53:42Z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