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4.png" ContentType="image/png"/>
  <Override PartName="/word/media/rId241.png" ContentType="image/png"/>
  <Override PartName="/word/media/rId320.jpg" ContentType="image/jpeg"/>
  <Override PartName="/word/media/rId326.png" ContentType="image/png"/>
  <Override PartName="/word/media/rId4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0">
        <w:r>
          <w:rPr>
            <w:rStyle w:val="Hyperlink"/>
          </w:rPr>
          <w:t xml:space="preserve">Standard Evaluation for *_join</w:t>
        </w:r>
      </w:hyperlink>
      <w:r>
        <w:t xml:space="preserve"> </w:t>
      </w:r>
      <w:r>
        <w:t xml:space="preserve">(stackoverflow)</w:t>
      </w:r>
    </w:p>
    <w:p>
      <w:pPr>
        <w:pStyle w:val="Compact"/>
        <w:numPr>
          <w:ilvl w:val="0"/>
          <w:numId w:val="1045"/>
        </w:numPr>
      </w:pPr>
      <w:hyperlink r:id="rId15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w:t>
      </w:r>
      <w:r>
        <w:t xml:space="preserve"> </w:t>
      </w:r>
      <w:hyperlink r:id="rId221">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2"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1"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3" w:name="benefits-and-hazards"/>
    <w:p>
      <w:pPr>
        <w:pStyle w:val="Heading3"/>
      </w:pPr>
      <w:r>
        <w:t xml:space="preserve">17.4.3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2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2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2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2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2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2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2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26"/>
        </w:numPr>
      </w:pPr>
      <w:r>
        <w:rPr>
          <w:b/>
          <w:bCs/>
        </w:rPr>
        <w:t xml:space="preserve">Subtle bugs</w:t>
      </w:r>
      <w:r>
        <w:t xml:space="preserve">:</w:t>
      </w:r>
      <w:r>
        <w:t xml:space="preserve"> </w:t>
      </w:r>
      <w:r>
        <w:t xml:space="preserve">AI-generated code may contain logic errors that are not immediately obvious</w:t>
      </w:r>
    </w:p>
    <w:p>
      <w:pPr>
        <w:numPr>
          <w:ilvl w:val="0"/>
          <w:numId w:val="112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2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2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2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2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2" w:name="further-readingviewing"/>
    <w:p>
      <w:pPr>
        <w:pStyle w:val="Heading4"/>
      </w:pPr>
      <w:r>
        <w:t xml:space="preserve">17.4.3.1 Further reading/viewing</w:t>
      </w:r>
    </w:p>
    <w:p>
      <w:pPr>
        <w:pStyle w:val="Compact"/>
        <w:numPr>
          <w:ilvl w:val="0"/>
          <w:numId w:val="1127"/>
        </w:numPr>
      </w:pPr>
      <w:r>
        <w:rPr>
          <w:i/>
          <w:iCs/>
        </w:rPr>
        <w:t xml:space="preserve">I Robot</w:t>
      </w:r>
      <w:r>
        <w:t xml:space="preserve"> </w:t>
      </w:r>
      <w:r>
        <w:t xml:space="preserve">(Asimov 1950)</w:t>
      </w:r>
    </w:p>
    <w:p>
      <w:pPr>
        <w:pStyle w:val="Compact"/>
        <w:numPr>
          <w:ilvl w:val="0"/>
          <w:numId w:val="1127"/>
        </w:numPr>
      </w:pPr>
      <w:r>
        <w:rPr>
          <w:i/>
          <w:iCs/>
        </w:rPr>
        <w:t xml:space="preserve">Dune</w:t>
      </w:r>
      <w:r>
        <w:t xml:space="preserve"> </w:t>
      </w:r>
      <w:r>
        <w:t xml:space="preserve">(Herbert 1965)</w:t>
      </w:r>
    </w:p>
    <w:p>
      <w:pPr>
        <w:pStyle w:val="Compact"/>
        <w:numPr>
          <w:ilvl w:val="0"/>
          <w:numId w:val="1127"/>
        </w:numPr>
      </w:pPr>
      <w:r>
        <w:t xml:space="preserve">“2001: A Space Odyssey”</w:t>
      </w:r>
      <w:r>
        <w:t xml:space="preserve"> </w:t>
      </w:r>
      <w:r>
        <w:t xml:space="preserve">(1968)</w:t>
      </w:r>
    </w:p>
    <w:p>
      <w:pPr>
        <w:pStyle w:val="Compact"/>
        <w:numPr>
          <w:ilvl w:val="0"/>
          <w:numId w:val="1127"/>
        </w:numPr>
      </w:pPr>
      <w:r>
        <w:t xml:space="preserve">“Terminator 3: Rise of the Machines”</w:t>
      </w:r>
      <w:r>
        <w:t xml:space="preserve"> </w:t>
      </w:r>
      <w:r>
        <w:t xml:space="preserve">(2003)</w:t>
      </w:r>
    </w:p>
    <w:p>
      <w:pPr>
        <w:pStyle w:val="Compact"/>
        <w:numPr>
          <w:ilvl w:val="0"/>
          <w:numId w:val="1127"/>
        </w:numPr>
      </w:pPr>
      <w:r>
        <w:t xml:space="preserve">“The Matrix”</w:t>
      </w:r>
      <w:r>
        <w:t xml:space="preserve"> </w:t>
      </w:r>
      <w:r>
        <w:t xml:space="preserve">(1999)</w:t>
      </w:r>
    </w:p>
    <w:p>
      <w:pPr>
        <w:pStyle w:val="Compact"/>
        <w:numPr>
          <w:ilvl w:val="0"/>
          <w:numId w:val="1127"/>
        </w:numPr>
      </w:pPr>
      <w:r>
        <w:t xml:space="preserve">“Blade Runner”</w:t>
      </w:r>
      <w:r>
        <w:t xml:space="preserve"> </w:t>
      </w:r>
      <w:r>
        <w:t xml:space="preserve">(1982)</w:t>
      </w:r>
    </w:p>
    <w:p>
      <w:pPr>
        <w:pStyle w:val="Compact"/>
        <w:numPr>
          <w:ilvl w:val="0"/>
          <w:numId w:val="1127"/>
        </w:numPr>
      </w:pPr>
      <w:r>
        <w:t xml:space="preserve">“WarGames”</w:t>
      </w:r>
      <w:r>
        <w:t xml:space="preserve"> </w:t>
      </w:r>
      <w:r>
        <w:t xml:space="preserve">(1983)</w:t>
      </w:r>
    </w:p>
    <w:p>
      <w:pPr>
        <w:pStyle w:val="Compact"/>
        <w:numPr>
          <w:ilvl w:val="0"/>
          <w:numId w:val="112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27"/>
        </w:numPr>
      </w:pPr>
      <w:r>
        <w:rPr>
          <w:i/>
          <w:iCs/>
        </w:rPr>
        <w:t xml:space="preserve">Ender’s Game</w:t>
      </w:r>
      <w:r>
        <w:t xml:space="preserve"> </w:t>
      </w:r>
      <w:r>
        <w:t xml:space="preserve">(Card 1985)</w:t>
      </w:r>
    </w:p>
    <w:p>
      <w:pPr>
        <w:pStyle w:val="Compact"/>
        <w:numPr>
          <w:ilvl w:val="0"/>
          <w:numId w:val="112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19" name="Picture"/>
            <a:graphic>
              <a:graphicData uri="http://schemas.openxmlformats.org/drawingml/2006/picture">
                <pic:pic>
                  <pic:nvPicPr>
                    <pic:cNvPr descr="assets/images/matrix-agents.png" id="420" name="Picture"/>
                    <pic:cNvPicPr>
                      <a:picLocks noChangeArrowheads="1" noChangeAspect="1"/>
                    </pic:cNvPicPr>
                  </pic:nvPicPr>
                  <pic:blipFill>
                    <a:blip r:embed="rId41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1">
        <w:r>
          <w:rPr>
            <w:rStyle w:val="Hyperlink"/>
          </w:rPr>
          <w:t xml:space="preserve">Agents</w:t>
        </w:r>
      </w:hyperlink>
    </w:p>
    <w:bookmarkEnd w:id="422"/>
    <w:bookmarkEnd w:id="423"/>
    <w:bookmarkStart w:id="427" w:name="X4df097a63b2e25878cfbc7228b7eb578be2e8c9"/>
    <w:p>
      <w:pPr>
        <w:pStyle w:val="Heading3"/>
      </w:pPr>
      <w:r>
        <w:t xml:space="preserve">17.4.4 Best Practices for Safe and Successful Use</w:t>
      </w:r>
    </w:p>
    <w:p>
      <w:pPr>
        <w:pStyle w:val="FirstParagraph"/>
      </w:pPr>
      <w:r>
        <w:t xml:space="preserve">To work with coding agents safely and successfully:</w:t>
      </w:r>
    </w:p>
    <w:p>
      <w:pPr>
        <w:numPr>
          <w:ilvl w:val="0"/>
          <w:numId w:val="112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2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2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2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2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2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2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2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4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29"/>
              </w:numPr>
            </w:pPr>
            <w:r>
              <w:t xml:space="preserve">Access secrets and credentials</w:t>
            </w:r>
          </w:p>
          <w:p>
            <w:pPr>
              <w:pStyle w:val="Compact"/>
              <w:numPr>
                <w:ilvl w:val="0"/>
                <w:numId w:val="1129"/>
              </w:numPr>
            </w:pPr>
            <w:r>
              <w:t xml:space="preserve">Deploy code to production</w:t>
            </w:r>
          </w:p>
          <w:p>
            <w:pPr>
              <w:pStyle w:val="Compact"/>
              <w:numPr>
                <w:ilvl w:val="0"/>
                <w:numId w:val="112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27"/>
    <w:bookmarkStart w:id="432" w:name="firewall-and-network-configuration"/>
    <w:p>
      <w:pPr>
        <w:pStyle w:val="Heading3"/>
      </w:pPr>
      <w:r>
        <w:t xml:space="preserve">17.4.5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29" w:name="built-in-agent-firewall"/>
    <w:p>
      <w:pPr>
        <w:pStyle w:val="Heading4"/>
      </w:pPr>
      <w:r>
        <w:t xml:space="preserve">17.4.5.1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0"/>
        </w:numPr>
      </w:pPr>
      <w:r>
        <w:t xml:space="preserve">Data exfiltration</w:t>
      </w:r>
    </w:p>
    <w:p>
      <w:pPr>
        <w:pStyle w:val="Compact"/>
        <w:numPr>
          <w:ilvl w:val="0"/>
          <w:numId w:val="1130"/>
        </w:numPr>
      </w:pPr>
      <w:r>
        <w:t xml:space="preserve">Accidental leaks of sensitive information</w:t>
      </w:r>
    </w:p>
    <w:p>
      <w:pPr>
        <w:pStyle w:val="Compact"/>
        <w:numPr>
          <w:ilvl w:val="0"/>
          <w:numId w:val="1130"/>
        </w:numPr>
      </w:pPr>
      <w:r>
        <w:t xml:space="preserve">Execution of malicious instructions</w:t>
      </w:r>
    </w:p>
    <w:p>
      <w:pPr>
        <w:pStyle w:val="FirstParagraph"/>
      </w:pPr>
      <w:r>
        <w:t xml:space="preserve">By default, the agent’s firewall allows access to:</w:t>
      </w:r>
    </w:p>
    <w:p>
      <w:pPr>
        <w:pStyle w:val="Compact"/>
        <w:numPr>
          <w:ilvl w:val="0"/>
          <w:numId w:val="1131"/>
        </w:numPr>
      </w:pPr>
      <w:r>
        <w:t xml:space="preserve">Common OS package repositories (Debian, Ubuntu, Red Hat, etc.)</w:t>
      </w:r>
    </w:p>
    <w:p>
      <w:pPr>
        <w:pStyle w:val="Compact"/>
        <w:numPr>
          <w:ilvl w:val="0"/>
          <w:numId w:val="1131"/>
        </w:numPr>
      </w:pPr>
      <w:r>
        <w:t xml:space="preserve">Popular container registries (Docker Hub, Azure Container Registry, AWS ECR, etc.)</w:t>
      </w:r>
    </w:p>
    <w:p>
      <w:pPr>
        <w:pStyle w:val="Compact"/>
        <w:numPr>
          <w:ilvl w:val="0"/>
          <w:numId w:val="1131"/>
        </w:numPr>
      </w:pPr>
      <w:r>
        <w:t xml:space="preserve">Language-specific package registries (npm, PyPI, Maven, RubyGems, etc.)</w:t>
      </w:r>
    </w:p>
    <w:p>
      <w:pPr>
        <w:pStyle w:val="Compact"/>
        <w:numPr>
          <w:ilvl w:val="0"/>
          <w:numId w:val="113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28">
        <w:r>
          <w:rPr>
            <w:rStyle w:val="Hyperlink"/>
          </w:rPr>
          <w:t xml:space="preserve">Copilot allowlist reference</w:t>
        </w:r>
      </w:hyperlink>
      <w:r>
        <w:t xml:space="preserve">.</w:t>
      </w:r>
    </w:p>
    <w:bookmarkEnd w:id="429"/>
    <w:bookmarkStart w:id="431" w:name="customizing-agent-firewall-settings"/>
    <w:p>
      <w:pPr>
        <w:pStyle w:val="Heading4"/>
      </w:pPr>
      <w:r>
        <w:t xml:space="preserve">17.4.5.2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32"/>
        </w:numPr>
      </w:pPr>
      <w:r>
        <w:t xml:space="preserve">Add custom hosts to the allowlist (for internal dependencies or additional registries)</w:t>
      </w:r>
    </w:p>
    <w:p>
      <w:pPr>
        <w:pStyle w:val="Compact"/>
        <w:numPr>
          <w:ilvl w:val="0"/>
          <w:numId w:val="1132"/>
        </w:numPr>
      </w:pPr>
      <w:r>
        <w:t xml:space="preserve">Opt out of the default recommended allowlist for stricter security</w:t>
      </w:r>
    </w:p>
    <w:p>
      <w:pPr>
        <w:pStyle w:val="Compact"/>
        <w:numPr>
          <w:ilvl w:val="0"/>
          <w:numId w:val="113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0">
        <w:r>
          <w:rPr>
            <w:rStyle w:val="Hyperlink"/>
          </w:rPr>
          <w:t xml:space="preserve">Customizing or disabling the firewall for GitHub Copilot coding agent</w:t>
        </w:r>
      </w:hyperlink>
      <w:r>
        <w:t xml:space="preserve">.</w:t>
      </w:r>
    </w:p>
    <w:bookmarkEnd w:id="431"/>
    <w:bookmarkEnd w:id="432"/>
    <w:bookmarkStart w:id="436" w:name="when-to-use-a-coding-agent"/>
    <w:p>
      <w:pPr>
        <w:pStyle w:val="Heading3"/>
      </w:pPr>
      <w:r>
        <w:t xml:space="preserve">17.4.6 When to use a coding agent</w:t>
      </w:r>
    </w:p>
    <w:p>
      <w:pPr>
        <w:pStyle w:val="FirstParagraph"/>
      </w:pPr>
      <w:r>
        <w:t xml:space="preserve">Coding agent sessions are currently</w:t>
      </w:r>
      <w:r>
        <w:rPr>
          <w:rStyle w:val="FootnoteReference"/>
        </w:rPr>
        <w:footnoteReference w:id="43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6"/>
    <w:bookmarkStart w:id="437" w:name="editing-with-.docx-files"/>
    <w:p>
      <w:pPr>
        <w:pStyle w:val="Heading3"/>
      </w:pPr>
      <w:r>
        <w:t xml:space="preserve">17.4.7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33"/>
        </w:numPr>
      </w:pPr>
      <w:r>
        <w:t xml:space="preserve">Lab members can export Quarto content to Word format for review</w:t>
      </w:r>
    </w:p>
    <w:p>
      <w:pPr>
        <w:pStyle w:val="Compact"/>
        <w:numPr>
          <w:ilvl w:val="0"/>
          <w:numId w:val="1133"/>
        </w:numPr>
      </w:pPr>
      <w:r>
        <w:t xml:space="preserve">Reviewers can make edits, add tracked changes, and insert comments in Word</w:t>
      </w:r>
    </w:p>
    <w:p>
      <w:pPr>
        <w:pStyle w:val="Compact"/>
        <w:numPr>
          <w:ilvl w:val="0"/>
          <w:numId w:val="113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3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3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3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37"/>
    <w:bookmarkStart w:id="470" w:name="copilot-instructions-for-this-repository"/>
    <w:p>
      <w:pPr>
        <w:pStyle w:val="Heading3"/>
      </w:pPr>
      <w:r>
        <w:t xml:space="preserve">17.4.8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35"/>
        </w:numPr>
      </w:pPr>
      <w:r>
        <w:t xml:space="preserve">Markdown and Quarto formatting rules (e.g., blank lines before lists, line breaks in prose)</w:t>
      </w:r>
    </w:p>
    <w:p>
      <w:pPr>
        <w:pStyle w:val="Compact"/>
        <w:numPr>
          <w:ilvl w:val="0"/>
          <w:numId w:val="113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35"/>
        </w:numPr>
      </w:pPr>
      <w:r>
        <w:t xml:space="preserve">File organization patterns (e.g., using Quarto includes for modular content)</w:t>
      </w:r>
    </w:p>
    <w:p>
      <w:pPr>
        <w:pStyle w:val="Compact"/>
        <w:numPr>
          <w:ilvl w:val="0"/>
          <w:numId w:val="1135"/>
        </w:numPr>
      </w:pPr>
      <w:r>
        <w:t xml:space="preserve">How to work with DOCX files for hybrid editing workflows</w:t>
      </w:r>
    </w:p>
    <w:p>
      <w:pPr>
        <w:pStyle w:val="Compact"/>
        <w:numPr>
          <w:ilvl w:val="0"/>
          <w:numId w:val="113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69"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6" w:name="markdown-and-quarto-formatting-1"/>
          <w:p>
            <w:pPr>
              <w:pStyle w:val="Heading2"/>
            </w:pPr>
            <w:r>
              <w:t xml:space="preserve">18.1 Markdown and Quarto Formatting</w:t>
            </w:r>
          </w:p>
          <w:bookmarkStart w:id="451"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36"/>
              </w:numPr>
            </w:pPr>
            <w:hyperlink r:id="rId192">
              <w:r>
                <w:rPr>
                  <w:rStyle w:val="VerbatimChar"/>
                </w:rPr>
                <w:t xml:space="preserve">{dplyr}</w:t>
              </w:r>
            </w:hyperlink>
          </w:p>
          <w:p>
            <w:pPr>
              <w:pStyle w:val="Compact"/>
              <w:numPr>
                <w:ilvl w:val="0"/>
                <w:numId w:val="1136"/>
              </w:numPr>
            </w:pPr>
            <w:hyperlink r:id="rId440">
              <w:r>
                <w:rPr>
                  <w:rStyle w:val="VerbatimChar"/>
                </w:rPr>
                <w:t xml:space="preserve">{ggplot2}</w:t>
              </w:r>
            </w:hyperlink>
          </w:p>
          <w:p>
            <w:pPr>
              <w:pStyle w:val="Compact"/>
              <w:numPr>
                <w:ilvl w:val="0"/>
                <w:numId w:val="1136"/>
              </w:numPr>
            </w:pPr>
            <w:hyperlink r:id="rId441">
              <w:r>
                <w:rPr>
                  <w:rStyle w:val="VerbatimChar"/>
                </w:rPr>
                <w:t xml:space="preserve">{tidyr}</w:t>
              </w:r>
            </w:hyperlink>
          </w:p>
          <w:p>
            <w:pPr>
              <w:pStyle w:val="Compact"/>
              <w:numPr>
                <w:ilvl w:val="0"/>
                <w:numId w:val="1136"/>
              </w:numPr>
            </w:pPr>
            <w:hyperlink r:id="rId442">
              <w:r>
                <w:rPr>
                  <w:rStyle w:val="VerbatimChar"/>
                </w:rPr>
                <w:t xml:space="preserve">{readr}</w:t>
              </w:r>
            </w:hyperlink>
          </w:p>
          <w:p>
            <w:pPr>
              <w:pStyle w:val="Compact"/>
              <w:numPr>
                <w:ilvl w:val="0"/>
                <w:numId w:val="1136"/>
              </w:numPr>
            </w:pPr>
            <w:hyperlink r:id="rId443">
              <w:r>
                <w:rPr>
                  <w:rStyle w:val="VerbatimChar"/>
                </w:rPr>
                <w:t xml:space="preserve">{purrr}</w:t>
              </w:r>
            </w:hyperlink>
          </w:p>
          <w:p>
            <w:pPr>
              <w:pStyle w:val="Compact"/>
              <w:numPr>
                <w:ilvl w:val="0"/>
                <w:numId w:val="1136"/>
              </w:numPr>
            </w:pPr>
            <w:hyperlink r:id="rId444">
              <w:r>
                <w:rPr>
                  <w:rStyle w:val="VerbatimChar"/>
                </w:rPr>
                <w:t xml:space="preserve">{tibble}</w:t>
              </w:r>
            </w:hyperlink>
          </w:p>
          <w:p>
            <w:pPr>
              <w:pStyle w:val="Compact"/>
              <w:numPr>
                <w:ilvl w:val="0"/>
                <w:numId w:val="1136"/>
              </w:numPr>
            </w:pPr>
            <w:hyperlink r:id="rId445">
              <w:r>
                <w:rPr>
                  <w:rStyle w:val="VerbatimChar"/>
                </w:rPr>
                <w:t xml:space="preserve">{stringr}</w:t>
              </w:r>
            </w:hyperlink>
          </w:p>
          <w:p>
            <w:pPr>
              <w:pStyle w:val="Compact"/>
              <w:numPr>
                <w:ilvl w:val="0"/>
                <w:numId w:val="1136"/>
              </w:numPr>
            </w:pPr>
            <w:hyperlink r:id="rId446">
              <w:r>
                <w:rPr>
                  <w:rStyle w:val="VerbatimChar"/>
                </w:rPr>
                <w:t xml:space="preserve">{forcats}</w:t>
              </w:r>
            </w:hyperlink>
          </w:p>
          <w:p>
            <w:pPr>
              <w:pStyle w:val="Compact"/>
              <w:numPr>
                <w:ilvl w:val="0"/>
                <w:numId w:val="1136"/>
              </w:numPr>
            </w:pPr>
            <w:hyperlink r:id="rId206">
              <w:r>
                <w:rPr>
                  <w:rStyle w:val="VerbatimChar"/>
                </w:rPr>
                <w:t xml:space="preserve">{styler}</w:t>
              </w:r>
            </w:hyperlink>
          </w:p>
          <w:p>
            <w:pPr>
              <w:pStyle w:val="Compact"/>
              <w:numPr>
                <w:ilvl w:val="0"/>
                <w:numId w:val="1136"/>
              </w:numPr>
            </w:pPr>
            <w:hyperlink r:id="rId218">
              <w:r>
                <w:rPr>
                  <w:rStyle w:val="VerbatimChar"/>
                </w:rPr>
                <w:t xml:space="preserve">{lintr}</w:t>
              </w:r>
            </w:hyperlink>
          </w:p>
          <w:p>
            <w:pPr>
              <w:pStyle w:val="Compact"/>
              <w:numPr>
                <w:ilvl w:val="0"/>
                <w:numId w:val="1136"/>
              </w:numPr>
            </w:pPr>
            <w:hyperlink r:id="rId110">
              <w:r>
                <w:rPr>
                  <w:rStyle w:val="VerbatimChar"/>
                </w:rPr>
                <w:t xml:space="preserve">{roxygen2}</w:t>
              </w:r>
            </w:hyperlink>
          </w:p>
          <w:p>
            <w:pPr>
              <w:pStyle w:val="Compact"/>
              <w:numPr>
                <w:ilvl w:val="0"/>
                <w:numId w:val="1136"/>
              </w:numPr>
            </w:pPr>
            <w:hyperlink r:id="rId177">
              <w:r>
                <w:rPr>
                  <w:rStyle w:val="VerbatimChar"/>
                </w:rPr>
                <w:t xml:space="preserve">{testthat}</w:t>
              </w:r>
            </w:hyperlink>
          </w:p>
          <w:p>
            <w:pPr>
              <w:pStyle w:val="Compact"/>
              <w:numPr>
                <w:ilvl w:val="0"/>
                <w:numId w:val="1136"/>
              </w:numPr>
            </w:pPr>
            <w:hyperlink r:id="rId174">
              <w:r>
                <w:rPr>
                  <w:rStyle w:val="VerbatimChar"/>
                </w:rPr>
                <w:t xml:space="preserve">{usethis}</w:t>
              </w:r>
            </w:hyperlink>
          </w:p>
          <w:p>
            <w:pPr>
              <w:pStyle w:val="Compact"/>
              <w:numPr>
                <w:ilvl w:val="0"/>
                <w:numId w:val="1136"/>
              </w:numPr>
            </w:pPr>
            <w:hyperlink r:id="rId175">
              <w:r>
                <w:rPr>
                  <w:rStyle w:val="VerbatimChar"/>
                </w:rPr>
                <w:t xml:space="preserve">{devtools}</w:t>
              </w:r>
            </w:hyperlink>
          </w:p>
          <w:p>
            <w:pPr>
              <w:pStyle w:val="Compact"/>
              <w:numPr>
                <w:ilvl w:val="0"/>
                <w:numId w:val="1136"/>
              </w:numPr>
            </w:pPr>
            <w:hyperlink r:id="rId447">
              <w:r>
                <w:rPr>
                  <w:rStyle w:val="VerbatimChar"/>
                </w:rPr>
                <w:t xml:space="preserve">{renv}</w:t>
              </w:r>
            </w:hyperlink>
          </w:p>
          <w:p>
            <w:pPr>
              <w:pStyle w:val="Compact"/>
              <w:numPr>
                <w:ilvl w:val="0"/>
                <w:numId w:val="1136"/>
              </w:numPr>
            </w:pPr>
            <w:hyperlink r:id="rId448">
              <w:r>
                <w:rPr>
                  <w:rStyle w:val="VerbatimChar"/>
                </w:rPr>
                <w:t xml:space="preserve">{targets}</w:t>
              </w:r>
            </w:hyperlink>
          </w:p>
          <w:p>
            <w:pPr>
              <w:pStyle w:val="Compact"/>
              <w:numPr>
                <w:ilvl w:val="0"/>
                <w:numId w:val="1136"/>
              </w:numPr>
            </w:pPr>
            <w:hyperlink r:id="rId449">
              <w:r>
                <w:rPr>
                  <w:rStyle w:val="VerbatimChar"/>
                </w:rPr>
                <w:t xml:space="preserve">{data.table}</w:t>
              </w:r>
            </w:hyperlink>
          </w:p>
          <w:p>
            <w:pPr>
              <w:pStyle w:val="Compact"/>
              <w:numPr>
                <w:ilvl w:val="0"/>
                <w:numId w:val="1136"/>
              </w:numPr>
            </w:pPr>
            <w:hyperlink r:id="rId450">
              <w:r>
                <w:rPr>
                  <w:rStyle w:val="VerbatimChar"/>
                </w:rPr>
                <w:t xml:space="preserve">{assertthat}</w:t>
              </w:r>
            </w:hyperlink>
          </w:p>
          <w:bookmarkEnd w:id="451"/>
          <w:bookmarkStart w:id="452"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37"/>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37"/>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7"/>
              </w:numPr>
            </w:pPr>
            <w:r>
              <w:t xml:space="preserve">Lists in all .qmd files throughout the repository</w:t>
            </w:r>
          </w:p>
          <w:bookmarkEnd w:id="452"/>
          <w:bookmarkStart w:id="453"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38"/>
              </w:numPr>
            </w:pPr>
            <w:r>
              <w:t xml:space="preserve">Improves readability of source .qmd files</w:t>
            </w:r>
          </w:p>
          <w:p>
            <w:pPr>
              <w:pStyle w:val="Compact"/>
              <w:numPr>
                <w:ilvl w:val="0"/>
                <w:numId w:val="1138"/>
              </w:numPr>
            </w:pPr>
            <w:r>
              <w:t xml:space="preserve">Makes git diffs clearer and easier to review</w:t>
            </w:r>
          </w:p>
          <w:p>
            <w:pPr>
              <w:pStyle w:val="Compact"/>
              <w:numPr>
                <w:ilvl w:val="0"/>
                <w:numId w:val="1138"/>
              </w:numPr>
            </w:pPr>
            <w:r>
              <w:t xml:space="preserve">Helps identify specific changes in version control</w:t>
            </w:r>
          </w:p>
          <w:p>
            <w:pPr>
              <w:pStyle w:val="Compact"/>
              <w:numPr>
                <w:ilvl w:val="0"/>
                <w:numId w:val="1138"/>
              </w:numPr>
            </w:pPr>
            <w:r>
              <w:t xml:space="preserve">Prevents horizontal scrolling when editing</w:t>
            </w:r>
          </w:p>
          <w:p>
            <w:pPr>
              <w:pStyle w:val="Compact"/>
              <w:numPr>
                <w:ilvl w:val="0"/>
                <w:numId w:val="1138"/>
              </w:numPr>
            </w:pPr>
            <w:r>
              <w:t xml:space="preserve">Follows semantic line breaks best practice</w:t>
            </w:r>
          </w:p>
          <w:p>
            <w:pPr>
              <w:pStyle w:val="FirstParagraph"/>
            </w:pPr>
            <w:r>
              <w:rPr>
                <w:b/>
                <w:bCs/>
              </w:rPr>
              <w:t xml:space="preserve">Guidelines:</w:t>
            </w:r>
          </w:p>
          <w:p>
            <w:pPr>
              <w:pStyle w:val="Compact"/>
              <w:numPr>
                <w:ilvl w:val="0"/>
                <w:numId w:val="1139"/>
              </w:numPr>
            </w:pPr>
            <w:r>
              <w:t xml:space="preserve">Break after complete sentences (at periods)</w:t>
            </w:r>
          </w:p>
          <w:p>
            <w:pPr>
              <w:pStyle w:val="Compact"/>
              <w:numPr>
                <w:ilvl w:val="0"/>
                <w:numId w:val="1139"/>
              </w:numPr>
            </w:pPr>
            <w:r>
              <w:t xml:space="preserve">Break after long phrases or clauses (at commas or conjunctions)</w:t>
            </w:r>
          </w:p>
          <w:p>
            <w:pPr>
              <w:pStyle w:val="Compact"/>
              <w:numPr>
                <w:ilvl w:val="0"/>
                <w:numId w:val="1139"/>
              </w:numPr>
            </w:pPr>
            <w:r>
              <w:t xml:space="preserve">Break after approximately 60-80 characters when appropriate</w:t>
            </w:r>
          </w:p>
          <w:p>
            <w:pPr>
              <w:pStyle w:val="Compact"/>
              <w:numPr>
                <w:ilvl w:val="0"/>
                <w:numId w:val="1139"/>
              </w:numPr>
            </w:pPr>
            <w:r>
              <w:t xml:space="preserve">Keep related short phrases together on one line</w:t>
            </w:r>
          </w:p>
          <w:p>
            <w:pPr>
              <w:pStyle w:val="Compact"/>
              <w:numPr>
                <w:ilvl w:val="0"/>
                <w:numId w:val="1139"/>
              </w:numPr>
            </w:pPr>
            <w:r>
              <w:t xml:space="preserve">Don’t break in the middle of inline code, links, or formatting</w:t>
            </w:r>
          </w:p>
          <w:bookmarkEnd w:id="453"/>
          <w:bookmarkStart w:id="454" w:name="why-this-matters"/>
          <w:p>
            <w:pPr>
              <w:pStyle w:val="Heading3"/>
            </w:pPr>
            <w:r>
              <w:t xml:space="preserve">18.1.4 Why This Matters</w:t>
            </w:r>
          </w:p>
          <w:p>
            <w:pPr>
              <w:pStyle w:val="Compact"/>
              <w:numPr>
                <w:ilvl w:val="0"/>
                <w:numId w:val="1140"/>
              </w:numPr>
            </w:pPr>
            <w:r>
              <w:t xml:space="preserve">Ensures consistent markdown rendering across different platforms</w:t>
            </w:r>
          </w:p>
          <w:p>
            <w:pPr>
              <w:pStyle w:val="Compact"/>
              <w:numPr>
                <w:ilvl w:val="0"/>
                <w:numId w:val="1140"/>
              </w:numPr>
            </w:pPr>
            <w:r>
              <w:t xml:space="preserve">Improves readability in both source and rendered forms</w:t>
            </w:r>
          </w:p>
          <w:p>
            <w:pPr>
              <w:pStyle w:val="Compact"/>
              <w:numPr>
                <w:ilvl w:val="0"/>
                <w:numId w:val="1140"/>
              </w:numPr>
            </w:pPr>
            <w:r>
              <w:t xml:space="preserve">Prevents rendering issues in Quarto books</w:t>
            </w:r>
          </w:p>
          <w:p>
            <w:pPr>
              <w:pStyle w:val="Compact"/>
              <w:numPr>
                <w:ilvl w:val="0"/>
                <w:numId w:val="1140"/>
              </w:numPr>
            </w:pPr>
            <w:r>
              <w:t xml:space="preserve">Follows markdown best practices</w:t>
            </w:r>
          </w:p>
          <w:bookmarkEnd w:id="454"/>
          <w:bookmarkStart w:id="455"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1"/>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1"/>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1"/>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1"/>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1"/>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1"/>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4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3"/>
              </w:numPr>
            </w:pPr>
            <w:r>
              <w:t xml:space="preserve">Automatic numbering of figures, tables, and equations</w:t>
            </w:r>
          </w:p>
          <w:p>
            <w:pPr>
              <w:pStyle w:val="Compact"/>
              <w:numPr>
                <w:ilvl w:val="0"/>
                <w:numId w:val="1143"/>
              </w:numPr>
            </w:pPr>
            <w:r>
              <w:t xml:space="preserve">Automatic updates when content is reordered</w:t>
            </w:r>
          </w:p>
          <w:p>
            <w:pPr>
              <w:pStyle w:val="Compact"/>
              <w:numPr>
                <w:ilvl w:val="0"/>
                <w:numId w:val="1143"/>
              </w:numPr>
            </w:pPr>
            <w:r>
              <w:t xml:space="preserve">Clickable cross-references in HTML and PDF output</w:t>
            </w:r>
          </w:p>
          <w:p>
            <w:pPr>
              <w:pStyle w:val="Compact"/>
              <w:numPr>
                <w:ilvl w:val="0"/>
                <w:numId w:val="1143"/>
              </w:numPr>
            </w:pPr>
            <w:r>
              <w:t xml:space="preserve">Consistent formatting across all output formats</w:t>
            </w:r>
          </w:p>
          <w:p>
            <w:pPr>
              <w:pStyle w:val="Compact"/>
              <w:numPr>
                <w:ilvl w:val="0"/>
                <w:numId w:val="1143"/>
              </w:numPr>
            </w:pPr>
            <w:r>
              <w:t xml:space="preserve">Better accessibility for screen readers</w:t>
            </w:r>
          </w:p>
          <w:bookmarkEnd w:id="455"/>
          <w:bookmarkEnd w:id="456"/>
          <w:bookmarkStart w:id="457" w:name="r-code-style"/>
          <w:p>
            <w:pPr>
              <w:pStyle w:val="Heading2"/>
            </w:pPr>
            <w:r>
              <w:t xml:space="preserve">18.2 R Code Style</w:t>
            </w:r>
          </w:p>
          <w:p>
            <w:pPr>
              <w:pStyle w:val="Compact"/>
              <w:numPr>
                <w:ilvl w:val="0"/>
                <w:numId w:val="1144"/>
              </w:numPr>
            </w:pPr>
            <w:r>
              <w:t xml:space="preserve">Follow the tidyverse style guide: https://style.tidyverse.org</w:t>
            </w:r>
          </w:p>
          <w:p>
            <w:pPr>
              <w:pStyle w:val="Compact"/>
              <w:numPr>
                <w:ilvl w:val="0"/>
                <w:numId w:val="1144"/>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4"/>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44"/>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44"/>
              </w:numPr>
            </w:pPr>
            <w:r>
              <w:t xml:space="preserve">All R projects should use R package structure</w:t>
            </w:r>
          </w:p>
          <w:bookmarkEnd w:id="457"/>
          <w:bookmarkStart w:id="466" w:name="file-organization"/>
          <w:p>
            <w:pPr>
              <w:pStyle w:val="Heading2"/>
            </w:pPr>
            <w:r>
              <w:t xml:space="preserve">18.3 File Organization</w:t>
            </w:r>
          </w:p>
          <w:bookmarkStart w:id="465"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58" w:name="why-use-includes"/>
          <w:p>
            <w:pPr>
              <w:pStyle w:val="Heading4"/>
            </w:pPr>
            <w:r>
              <w:t xml:space="preserve">18.3.1.1 Why Use Includes?</w:t>
            </w:r>
          </w:p>
          <w:p>
            <w:pPr>
              <w:numPr>
                <w:ilvl w:val="0"/>
                <w:numId w:val="1145"/>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45"/>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45"/>
              </w:numPr>
            </w:pPr>
            <w:r>
              <w:rPr>
                <w:b/>
                <w:bCs/>
              </w:rPr>
              <w:t xml:space="preserve">Modular Maintenance</w:t>
            </w:r>
            <w:r>
              <w:t xml:space="preserve">: Each section lives in its own file, making it easier to:</w:t>
            </w:r>
          </w:p>
          <w:p>
            <w:pPr>
              <w:pStyle w:val="Compact"/>
              <w:numPr>
                <w:ilvl w:val="1"/>
                <w:numId w:val="1146"/>
              </w:numPr>
            </w:pPr>
            <w:r>
              <w:t xml:space="preserve">Find and edit specific content</w:t>
            </w:r>
          </w:p>
          <w:p>
            <w:pPr>
              <w:pStyle w:val="Compact"/>
              <w:numPr>
                <w:ilvl w:val="1"/>
                <w:numId w:val="1146"/>
              </w:numPr>
            </w:pPr>
            <w:r>
              <w:t xml:space="preserve">Reuse sections across chapters if needed</w:t>
            </w:r>
          </w:p>
          <w:p>
            <w:pPr>
              <w:pStyle w:val="Compact"/>
              <w:numPr>
                <w:ilvl w:val="1"/>
                <w:numId w:val="1146"/>
              </w:numPr>
            </w:pPr>
            <w:r>
              <w:t xml:space="preserve">Work on different sections simultaneously without merge conflicts</w:t>
            </w:r>
          </w:p>
          <w:p>
            <w:pPr>
              <w:pStyle w:val="Compact"/>
              <w:numPr>
                <w:ilvl w:val="1"/>
                <w:numId w:val="1146"/>
              </w:numPr>
            </w:pPr>
            <w:r>
              <w:t xml:space="preserve">Test and preview individual sections</w:t>
            </w:r>
          </w:p>
          <w:p>
            <w:pPr>
              <w:numPr>
                <w:ilvl w:val="0"/>
                <w:numId w:val="1145"/>
              </w:numPr>
            </w:pPr>
            <w:r>
              <w:rPr>
                <w:b/>
                <w:bCs/>
              </w:rPr>
              <w:t xml:space="preserve">Clear Structure</w:t>
            </w:r>
            <w:r>
              <w:t xml:space="preserve">: The main chapter file becomes a table of contents showing the organization at a glance.</w:t>
            </w:r>
          </w:p>
          <w:bookmarkEnd w:id="458"/>
          <w:bookmarkStart w:id="459"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47"/>
              </w:numPr>
            </w:pPr>
            <w:r>
              <w:t xml:space="preserve">Contains the chapter title and introduction</w:t>
            </w:r>
          </w:p>
          <w:p>
            <w:pPr>
              <w:pStyle w:val="Compact"/>
              <w:numPr>
                <w:ilvl w:val="0"/>
                <w:numId w:val="1147"/>
              </w:numPr>
            </w:pPr>
            <w:r>
              <w:t xml:space="preserve">Contains section headings (##, ###, etc.)</w:t>
            </w:r>
          </w:p>
          <w:p>
            <w:pPr>
              <w:pStyle w:val="Compact"/>
              <w:numPr>
                <w:ilvl w:val="0"/>
                <w:numId w:val="1147"/>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47"/>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bookmarkEnd w:id="459"/>
          <w:bookmarkStart w:id="460"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0"/>
          <w:bookmarkStart w:id="461" w:name="file-naming-conventions"/>
          <w:p>
            <w:pPr>
              <w:pStyle w:val="Heading4"/>
            </w:pPr>
            <w:r>
              <w:t xml:space="preserve">18.3.1.4 File Naming Conventions</w:t>
            </w:r>
          </w:p>
          <w:p>
            <w:pPr>
              <w:pStyle w:val="Compact"/>
              <w:numPr>
                <w:ilvl w:val="0"/>
                <w:numId w:val="1149"/>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49"/>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49"/>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49"/>
              </w:numPr>
            </w:pPr>
            <w:r>
              <w:t xml:space="preserve">Use descriptive names that clearly indicate the content</w:t>
            </w:r>
          </w:p>
          <w:p>
            <w:pPr>
              <w:pStyle w:val="Compact"/>
              <w:numPr>
                <w:ilvl w:val="0"/>
                <w:numId w:val="1149"/>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1"/>
          <w:bookmarkStart w:id="462"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2"/>
          <w:bookmarkStart w:id="463"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0"/>
              </w:numPr>
            </w:pPr>
            <w:r>
              <w:t xml:space="preserve">Adding a new section to a chapter</w:t>
            </w:r>
          </w:p>
          <w:p>
            <w:pPr>
              <w:pStyle w:val="Compact"/>
              <w:numPr>
                <w:ilvl w:val="0"/>
                <w:numId w:val="1150"/>
              </w:numPr>
            </w:pPr>
            <w:r>
              <w:t xml:space="preserve">A section becomes long enough to benefit from being in its own file (&gt;20-30 lines)</w:t>
            </w:r>
          </w:p>
          <w:p>
            <w:pPr>
              <w:pStyle w:val="Compact"/>
              <w:numPr>
                <w:ilvl w:val="0"/>
                <w:numId w:val="1150"/>
              </w:numPr>
            </w:pPr>
            <w:r>
              <w:t xml:space="preserve">Content might be reused elsewhere</w:t>
            </w:r>
          </w:p>
          <w:p>
            <w:pPr>
              <w:pStyle w:val="Compact"/>
              <w:numPr>
                <w:ilvl w:val="0"/>
                <w:numId w:val="1150"/>
              </w:numPr>
            </w:pPr>
            <w:r>
              <w:t xml:space="preserve">You want to work on a section independently</w:t>
            </w:r>
          </w:p>
          <w:bookmarkEnd w:id="463"/>
          <w:bookmarkStart w:id="464"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1"/>
              </w:numPr>
            </w:pPr>
            <w:r>
              <w:t xml:space="preserve">Create a subdirectory matching the chapter name</w:t>
            </w:r>
          </w:p>
          <w:p>
            <w:pPr>
              <w:pStyle w:val="Compact"/>
              <w:numPr>
                <w:ilvl w:val="0"/>
                <w:numId w:val="1151"/>
              </w:numPr>
            </w:pPr>
            <w:r>
              <w:t xml:space="preserve">Extract each section into its own include file</w:t>
            </w:r>
          </w:p>
          <w:p>
            <w:pPr>
              <w:pStyle w:val="Compact"/>
              <w:numPr>
                <w:ilvl w:val="0"/>
                <w:numId w:val="1151"/>
              </w:numPr>
            </w:pPr>
            <w:r>
              <w:t xml:space="preserve">Update the main chapter file to use includes</w:t>
            </w:r>
          </w:p>
          <w:p>
            <w:pPr>
              <w:pStyle w:val="Compact"/>
              <w:numPr>
                <w:ilvl w:val="0"/>
                <w:numId w:val="1151"/>
              </w:numPr>
            </w:pPr>
            <w:r>
              <w:t xml:space="preserve">Keep headings in the main file</w:t>
            </w:r>
          </w:p>
          <w:p>
            <w:pPr>
              <w:pStyle w:val="Compact"/>
              <w:numPr>
                <w:ilvl w:val="0"/>
                <w:numId w:val="1151"/>
              </w:numPr>
            </w:pPr>
            <w:r>
              <w:t xml:space="preserve">Ensure blank lines before include statements</w:t>
            </w:r>
          </w:p>
          <w:p>
            <w:pPr>
              <w:pStyle w:val="Compact"/>
              <w:numPr>
                <w:ilvl w:val="0"/>
                <w:numId w:val="1151"/>
              </w:numPr>
            </w:pPr>
            <w:r>
              <w:t xml:space="preserve">Test that rendering still works correctly</w:t>
            </w:r>
          </w:p>
          <w:bookmarkEnd w:id="464"/>
          <w:bookmarkEnd w:id="465"/>
          <w:bookmarkEnd w:id="466"/>
          <w:bookmarkStart w:id="467"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52"/>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52"/>
              </w:numPr>
            </w:pPr>
            <w:r>
              <w:rPr>
                <w:b/>
                <w:bCs/>
              </w:rPr>
              <w:t xml:space="preserve">Review comments</w:t>
            </w:r>
            <w:r>
              <w:t xml:space="preserve">: Look for and address any comments in the DOCX file that may provide context or instructions for edits</w:t>
            </w:r>
          </w:p>
          <w:p>
            <w:pPr>
              <w:pStyle w:val="Compact"/>
              <w:numPr>
                <w:ilvl w:val="0"/>
                <w:numId w:val="1152"/>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52"/>
              </w:numPr>
            </w:pPr>
            <w:r>
              <w:rPr>
                <w:b/>
                <w:bCs/>
              </w:rPr>
              <w:t xml:space="preserve">Preserve formatting</w:t>
            </w:r>
            <w:r>
              <w:t xml:space="preserve">: Ensure that formatting, citations, and cross-references are properly converted to Quarto/markdown syntax</w:t>
            </w:r>
          </w:p>
          <w:p>
            <w:pPr>
              <w:pStyle w:val="Compact"/>
              <w:numPr>
                <w:ilvl w:val="0"/>
                <w:numId w:val="1152"/>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67"/>
          <w:bookmarkStart w:id="468" w:name="additional-guidelines"/>
          <w:p>
            <w:pPr>
              <w:pStyle w:val="Heading2"/>
            </w:pPr>
            <w:r>
              <w:t xml:space="preserve">18.5 Additional Guidelines</w:t>
            </w:r>
          </w:p>
          <w:p>
            <w:pPr>
              <w:pStyle w:val="Compact"/>
              <w:numPr>
                <w:ilvl w:val="0"/>
                <w:numId w:val="1153"/>
              </w:numPr>
            </w:pPr>
            <w:r>
              <w:t xml:space="preserve">Maintain consistency with existing code style</w:t>
            </w:r>
          </w:p>
          <w:p>
            <w:pPr>
              <w:pStyle w:val="Compact"/>
              <w:numPr>
                <w:ilvl w:val="0"/>
                <w:numId w:val="1153"/>
              </w:numPr>
            </w:pPr>
            <w:r>
              <w:t xml:space="preserve">Preserve all existing content when refactoring</w:t>
            </w:r>
          </w:p>
          <w:p>
            <w:pPr>
              <w:pStyle w:val="Compact"/>
              <w:numPr>
                <w:ilvl w:val="0"/>
                <w:numId w:val="1153"/>
              </w:numPr>
            </w:pPr>
            <w:r>
              <w:t xml:space="preserve">Add blank lines before all lists</w:t>
            </w:r>
          </w:p>
          <w:p>
            <w:pPr>
              <w:pStyle w:val="Compact"/>
              <w:numPr>
                <w:ilvl w:val="0"/>
                <w:numId w:val="1153"/>
              </w:numPr>
            </w:pPr>
            <w:r>
              <w:t xml:space="preserve">Follow the lab’s R package development workflow (as described throughout this repo)</w:t>
            </w:r>
          </w:p>
          <w:p/>
        </w:tc>
      </w:tr>
    </w:tbl>
    <w:bookmarkEnd w:id="468"/>
    <w:bookmarkEnd w:id="469"/>
    <w:p>
      <w:r>
        <w:br w:type="page"/>
      </w:r>
    </w:p>
    <w:bookmarkEnd w:id="470"/>
    <w:bookmarkEnd w:id="471"/>
    <w:bookmarkEnd w:id="472"/>
    <w:bookmarkStart w:id="482" w:name="checklists"/>
    <w:p>
      <w:pPr>
        <w:pStyle w:val="Heading1"/>
      </w:pPr>
      <w:r>
        <w:t xml:space="preserve">19. Checklists</w:t>
      </w:r>
    </w:p>
    <w:p>
      <w:pPr>
        <w:pStyle w:val="FirstParagraph"/>
      </w:pPr>
      <w:r>
        <w:t xml:space="preserve">Adapted by UCD-SeRG team from</w:t>
      </w:r>
      <w:r>
        <w:t xml:space="preserve"> </w:t>
      </w:r>
      <w:hyperlink r:id="rId473">
        <w:r>
          <w:rPr>
            <w:rStyle w:val="Hyperlink"/>
          </w:rPr>
          <w:t xml:space="preserve">original by Jade Benjamin-Chung</w:t>
        </w:r>
      </w:hyperlink>
    </w:p>
    <w:bookmarkStart w:id="474" w:name="pre-analysis-plan-checklist"/>
    <w:p>
      <w:pPr>
        <w:pStyle w:val="Heading2"/>
      </w:pPr>
      <w:r>
        <w:t xml:space="preserve">19.1 Pre-analysis plan checklist</w:t>
      </w:r>
    </w:p>
    <w:p>
      <w:pPr>
        <w:pStyle w:val="Compact"/>
        <w:numPr>
          <w:ilvl w:val="0"/>
          <w:numId w:val="1154"/>
        </w:numPr>
      </w:pPr>
      <w:r>
        <w:t xml:space="preserve">Brief background on the study (a condensed version of the introduction section of the paper)</w:t>
      </w:r>
    </w:p>
    <w:p>
      <w:pPr>
        <w:pStyle w:val="Compact"/>
        <w:numPr>
          <w:ilvl w:val="0"/>
          <w:numId w:val="1154"/>
        </w:numPr>
      </w:pPr>
      <w:r>
        <w:t xml:space="preserve">Hypotheses / objectives</w:t>
      </w:r>
    </w:p>
    <w:p>
      <w:pPr>
        <w:pStyle w:val="Compact"/>
        <w:numPr>
          <w:ilvl w:val="0"/>
          <w:numId w:val="1154"/>
        </w:numPr>
      </w:pPr>
      <w:r>
        <w:t xml:space="preserve">Study design</w:t>
      </w:r>
    </w:p>
    <w:p>
      <w:pPr>
        <w:pStyle w:val="Compact"/>
        <w:numPr>
          <w:ilvl w:val="0"/>
          <w:numId w:val="1154"/>
        </w:numPr>
      </w:pPr>
      <w:r>
        <w:t xml:space="preserve">Description of data</w:t>
      </w:r>
    </w:p>
    <w:p>
      <w:pPr>
        <w:pStyle w:val="Compact"/>
        <w:numPr>
          <w:ilvl w:val="0"/>
          <w:numId w:val="1154"/>
        </w:numPr>
      </w:pPr>
      <w:r>
        <w:t xml:space="preserve">Definition of outcomes</w:t>
      </w:r>
    </w:p>
    <w:p>
      <w:pPr>
        <w:pStyle w:val="Compact"/>
        <w:numPr>
          <w:ilvl w:val="0"/>
          <w:numId w:val="1154"/>
        </w:numPr>
      </w:pPr>
      <w:r>
        <w:t xml:space="preserve">Definition of interventions / exposures</w:t>
      </w:r>
    </w:p>
    <w:p>
      <w:pPr>
        <w:pStyle w:val="Compact"/>
        <w:numPr>
          <w:ilvl w:val="0"/>
          <w:numId w:val="1154"/>
        </w:numPr>
      </w:pPr>
      <w:r>
        <w:t xml:space="preserve">Definition of covariates</w:t>
      </w:r>
    </w:p>
    <w:p>
      <w:pPr>
        <w:pStyle w:val="Compact"/>
        <w:numPr>
          <w:ilvl w:val="0"/>
          <w:numId w:val="1154"/>
        </w:numPr>
      </w:pPr>
      <w:r>
        <w:t xml:space="preserve">Statistical power calculation</w:t>
      </w:r>
    </w:p>
    <w:p>
      <w:pPr>
        <w:pStyle w:val="Compact"/>
        <w:numPr>
          <w:ilvl w:val="0"/>
          <w:numId w:val="1154"/>
        </w:numPr>
      </w:pPr>
      <w:r>
        <w:t xml:space="preserve">Statistical model description</w:t>
      </w:r>
    </w:p>
    <w:p>
      <w:pPr>
        <w:pStyle w:val="Compact"/>
        <w:numPr>
          <w:ilvl w:val="0"/>
          <w:numId w:val="1154"/>
        </w:numPr>
      </w:pPr>
      <w:r>
        <w:t xml:space="preserve">Covariate selection / screening</w:t>
      </w:r>
    </w:p>
    <w:p>
      <w:pPr>
        <w:pStyle w:val="Compact"/>
        <w:numPr>
          <w:ilvl w:val="0"/>
          <w:numId w:val="1154"/>
        </w:numPr>
      </w:pPr>
      <w:r>
        <w:t xml:space="preserve">Standard error estimation method</w:t>
      </w:r>
    </w:p>
    <w:p>
      <w:pPr>
        <w:pStyle w:val="Compact"/>
        <w:numPr>
          <w:ilvl w:val="0"/>
          <w:numId w:val="1154"/>
        </w:numPr>
      </w:pPr>
      <w:r>
        <w:t xml:space="preserve">Missing data analysis</w:t>
      </w:r>
    </w:p>
    <w:p>
      <w:pPr>
        <w:pStyle w:val="Compact"/>
        <w:numPr>
          <w:ilvl w:val="0"/>
          <w:numId w:val="1154"/>
        </w:numPr>
      </w:pPr>
      <w:r>
        <w:t xml:space="preserve">Assessment of effect modification / subgroup analyses</w:t>
      </w:r>
    </w:p>
    <w:p>
      <w:pPr>
        <w:pStyle w:val="Compact"/>
        <w:numPr>
          <w:ilvl w:val="0"/>
          <w:numId w:val="1154"/>
        </w:numPr>
      </w:pPr>
      <w:r>
        <w:t xml:space="preserve">Sensitivity analyses</w:t>
      </w:r>
    </w:p>
    <w:p>
      <w:pPr>
        <w:pStyle w:val="Compact"/>
        <w:numPr>
          <w:ilvl w:val="0"/>
          <w:numId w:val="1154"/>
        </w:numPr>
      </w:pPr>
      <w:r>
        <w:t xml:space="preserve">Negative control analyses</w:t>
      </w:r>
    </w:p>
    <w:bookmarkEnd w:id="474"/>
    <w:bookmarkStart w:id="476" w:name="code-checklist"/>
    <w:p>
      <w:pPr>
        <w:pStyle w:val="Heading2"/>
      </w:pPr>
      <w:r>
        <w:t xml:space="preserve">19.2 Code checklist</w:t>
      </w:r>
    </w:p>
    <w:p>
      <w:pPr>
        <w:pStyle w:val="Compact"/>
        <w:numPr>
          <w:ilvl w:val="0"/>
          <w:numId w:val="1155"/>
        </w:numPr>
      </w:pPr>
      <w:r>
        <w:t xml:space="preserve">Does the script run without errors?</w:t>
      </w:r>
    </w:p>
    <w:p>
      <w:pPr>
        <w:pStyle w:val="Compact"/>
        <w:numPr>
          <w:ilvl w:val="0"/>
          <w:numId w:val="1155"/>
        </w:numPr>
      </w:pPr>
      <w:r>
        <w:t xml:space="preserve">Is code self-contained within repo and/or associated Box folder?</w:t>
      </w:r>
    </w:p>
    <w:p>
      <w:pPr>
        <w:pStyle w:val="Compact"/>
        <w:numPr>
          <w:ilvl w:val="0"/>
          <w:numId w:val="1155"/>
        </w:numPr>
      </w:pPr>
      <w:r>
        <w:t xml:space="preserve">Is all commented out code / remarks removed?</w:t>
      </w:r>
    </w:p>
    <w:p>
      <w:pPr>
        <w:pStyle w:val="Compact"/>
        <w:numPr>
          <w:ilvl w:val="0"/>
          <w:numId w:val="1155"/>
        </w:numPr>
      </w:pPr>
      <w:r>
        <w:t xml:space="preserve">Does the header accurately describe the process completed in the script?</w:t>
      </w:r>
    </w:p>
    <w:p>
      <w:pPr>
        <w:pStyle w:val="Compact"/>
        <w:numPr>
          <w:ilvl w:val="0"/>
          <w:numId w:val="1155"/>
        </w:numPr>
      </w:pPr>
      <w:r>
        <w:t xml:space="preserve">Is the script pushed to its github repository?</w:t>
      </w:r>
    </w:p>
    <w:p>
      <w:pPr>
        <w:pStyle w:val="Compact"/>
        <w:numPr>
          <w:ilvl w:val="0"/>
          <w:numId w:val="1155"/>
        </w:numPr>
      </w:pPr>
      <w:r>
        <w:t xml:space="preserve">Does the code adhere to the</w:t>
      </w:r>
      <w:r>
        <w:t xml:space="preserve"> </w:t>
      </w:r>
      <w:hyperlink r:id="rId475">
        <w:r>
          <w:rPr>
            <w:rStyle w:val="Hyperlink"/>
          </w:rPr>
          <w:t xml:space="preserve">coding style guide</w:t>
        </w:r>
      </w:hyperlink>
      <w:r>
        <w:t xml:space="preserve">?</w:t>
      </w:r>
    </w:p>
    <w:p>
      <w:pPr>
        <w:pStyle w:val="Compact"/>
        <w:numPr>
          <w:ilvl w:val="0"/>
          <w:numId w:val="1155"/>
        </w:numPr>
      </w:pPr>
      <w:r>
        <w:t xml:space="preserve">Are all warnings ignorable? Should any warnings be intentionally suppressed or addressed?</w:t>
      </w:r>
    </w:p>
    <w:bookmarkEnd w:id="476"/>
    <w:bookmarkStart w:id="478"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6"/>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6"/>
        </w:numPr>
      </w:pPr>
      <w:r>
        <w:t xml:space="preserve">Are the study results within the manuscript replicable (i.e., if you rerun the code in the study’s repository, the tables and figures will be exactly replicated?)</w:t>
      </w:r>
    </w:p>
    <w:p>
      <w:pPr>
        <w:pStyle w:val="Compact"/>
        <w:numPr>
          <w:ilvl w:val="0"/>
          <w:numId w:val="1156"/>
        </w:numPr>
      </w:pPr>
      <w:r>
        <w:t xml:space="preserve">Is a target journal selected?</w:t>
      </w:r>
    </w:p>
    <w:p>
      <w:pPr>
        <w:pStyle w:val="Compact"/>
        <w:numPr>
          <w:ilvl w:val="0"/>
          <w:numId w:val="1156"/>
        </w:numPr>
      </w:pPr>
      <w:r>
        <w:t xml:space="preserve">Is the title declarative, in other words, does it state the object/findings rather than suggest them?</w:t>
      </w:r>
    </w:p>
    <w:p>
      <w:pPr>
        <w:pStyle w:val="Compact"/>
        <w:numPr>
          <w:ilvl w:val="0"/>
          <w:numId w:val="1156"/>
        </w:numPr>
      </w:pPr>
      <w:r>
        <w:t xml:space="preserve">Is the word count of the manuscript close to the target journal’s allowance?</w:t>
      </w:r>
    </w:p>
    <w:p>
      <w:pPr>
        <w:pStyle w:val="Compact"/>
        <w:numPr>
          <w:ilvl w:val="0"/>
          <w:numId w:val="1156"/>
        </w:numPr>
      </w:pPr>
      <w:r>
        <w:t xml:space="preserve">Does the manuscript adhere to the formatting guide of the target journal?</w:t>
      </w:r>
    </w:p>
    <w:p>
      <w:pPr>
        <w:pStyle w:val="Compact"/>
        <w:numPr>
          <w:ilvl w:val="0"/>
          <w:numId w:val="1156"/>
        </w:numPr>
      </w:pPr>
      <w:r>
        <w:t xml:space="preserve">Does the manuscript use a consistent voice (passive or active – usually active is preferred … pun intended)?</w:t>
      </w:r>
    </w:p>
    <w:p>
      <w:pPr>
        <w:pStyle w:val="Compact"/>
        <w:numPr>
          <w:ilvl w:val="0"/>
          <w:numId w:val="1156"/>
        </w:numPr>
      </w:pPr>
      <w:r>
        <w:t xml:space="preserve">Is each figure and table (including supplementary material) referenced in the main text?</w:t>
      </w:r>
    </w:p>
    <w:p>
      <w:pPr>
        <w:pStyle w:val="Compact"/>
        <w:numPr>
          <w:ilvl w:val="0"/>
          <w:numId w:val="1156"/>
        </w:numPr>
      </w:pPr>
      <w:r>
        <w:t xml:space="preserve">Is there a caption for each figure and table (including supplementary material)?</w:t>
      </w:r>
    </w:p>
    <w:p>
      <w:pPr>
        <w:pStyle w:val="Compact"/>
        <w:numPr>
          <w:ilvl w:val="0"/>
          <w:numId w:val="1156"/>
        </w:numPr>
      </w:pPr>
      <w:r>
        <w:t xml:space="preserve">Are tables/figures and supplementary material numbered in accordance with their appearance in the main text?</w:t>
      </w:r>
    </w:p>
    <w:p>
      <w:pPr>
        <w:pStyle w:val="Compact"/>
        <w:numPr>
          <w:ilvl w:val="0"/>
          <w:numId w:val="1156"/>
        </w:numPr>
      </w:pPr>
      <w:r>
        <w:t xml:space="preserve">Does the text use past tense if it is reporting research findings or future tense if it is a study protocol?</w:t>
      </w:r>
    </w:p>
    <w:p>
      <w:pPr>
        <w:pStyle w:val="Compact"/>
        <w:numPr>
          <w:ilvl w:val="0"/>
          <w:numId w:val="115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6"/>
        </w:numPr>
      </w:pPr>
      <w:r>
        <w:t xml:space="preserve">Does the text use minimal abbreviations, and are all abbreviations defined at first use?</w:t>
      </w:r>
    </w:p>
    <w:p>
      <w:pPr>
        <w:pStyle w:val="Compact"/>
        <w:numPr>
          <w:ilvl w:val="0"/>
          <w:numId w:val="115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77">
        <w:r>
          <w:rPr>
            <w:rStyle w:val="Hyperlink"/>
          </w:rPr>
          <w:t xml:space="preserve">here</w:t>
        </w:r>
      </w:hyperlink>
      <w:r>
        <w:t xml:space="preserve">)</w:t>
      </w:r>
    </w:p>
    <w:p>
      <w:pPr>
        <w:pStyle w:val="Compact"/>
        <w:numPr>
          <w:ilvl w:val="0"/>
          <w:numId w:val="1156"/>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78"/>
    <w:bookmarkStart w:id="481" w:name="figure-checklist"/>
    <w:p>
      <w:pPr>
        <w:pStyle w:val="Heading2"/>
      </w:pPr>
      <w:r>
        <w:t xml:space="preserve">19.4 Figure checklist</w:t>
      </w:r>
    </w:p>
    <w:p>
      <w:pPr>
        <w:pStyle w:val="Compact"/>
        <w:numPr>
          <w:ilvl w:val="0"/>
          <w:numId w:val="1157"/>
        </w:numPr>
      </w:pPr>
      <w:r>
        <w:t xml:space="preserve">Are the x-axis and y-axis labeled?</w:t>
      </w:r>
    </w:p>
    <w:p>
      <w:pPr>
        <w:pStyle w:val="Compact"/>
        <w:numPr>
          <w:ilvl w:val="0"/>
          <w:numId w:val="1157"/>
        </w:numPr>
      </w:pPr>
      <w:r>
        <w:t xml:space="preserve">If the figure includes panels, is each panel labeled?</w:t>
      </w:r>
    </w:p>
    <w:p>
      <w:pPr>
        <w:pStyle w:val="Compact"/>
        <w:numPr>
          <w:ilvl w:val="0"/>
          <w:numId w:val="1157"/>
        </w:numPr>
      </w:pPr>
      <w:r>
        <w:t xml:space="preserve">Are there sufficient numerical / text labels and breaks on the x-axis and y-axis?</w:t>
      </w:r>
    </w:p>
    <w:p>
      <w:pPr>
        <w:pStyle w:val="Compact"/>
        <w:numPr>
          <w:ilvl w:val="0"/>
          <w:numId w:val="1157"/>
        </w:numPr>
      </w:pPr>
      <w:r>
        <w:t xml:space="preserve">Is the font size appropriate (i.e., large enough to read, not so large that it distracts from the data presented in the figure?)</w:t>
      </w:r>
    </w:p>
    <w:p>
      <w:pPr>
        <w:pStyle w:val="Compact"/>
        <w:numPr>
          <w:ilvl w:val="0"/>
          <w:numId w:val="1157"/>
        </w:numPr>
      </w:pPr>
      <w:r>
        <w:t xml:space="preserve">Are the colors used colorblind friendly? See a colorblind-friendly palette</w:t>
      </w:r>
      <w:r>
        <w:t xml:space="preserve"> </w:t>
      </w:r>
      <w:hyperlink r:id="rId479">
        <w:r>
          <w:rPr>
            <w:rStyle w:val="Hyperlink"/>
          </w:rPr>
          <w:t xml:space="preserve">here</w:t>
        </w:r>
      </w:hyperlink>
      <w:r>
        <w:t xml:space="preserve">, a neat palette generator with colorblind options</w:t>
      </w:r>
      <w:r>
        <w:t xml:space="preserve"> </w:t>
      </w:r>
      <w:hyperlink r:id="rId480">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7"/>
        </w:numPr>
      </w:pPr>
      <w:r>
        <w:t xml:space="preserve">Are colors/shapes/line types defined in a legend?</w:t>
      </w:r>
    </w:p>
    <w:p>
      <w:pPr>
        <w:pStyle w:val="Compact"/>
        <w:numPr>
          <w:ilvl w:val="0"/>
          <w:numId w:val="1157"/>
        </w:numPr>
      </w:pPr>
      <w:r>
        <w:t xml:space="preserve">Are the legends and other labels easy to understand with minimal abbreviations?</w:t>
      </w:r>
    </w:p>
    <w:p>
      <w:pPr>
        <w:pStyle w:val="Compact"/>
        <w:numPr>
          <w:ilvl w:val="0"/>
          <w:numId w:val="1157"/>
        </w:numPr>
      </w:pPr>
      <w:r>
        <w:t xml:space="preserve">If there is overplotting, is transparency used to show overlapping data?</w:t>
      </w:r>
    </w:p>
    <w:p>
      <w:pPr>
        <w:pStyle w:val="Compact"/>
        <w:numPr>
          <w:ilvl w:val="0"/>
          <w:numId w:val="1157"/>
        </w:numPr>
      </w:pPr>
      <w:r>
        <w:t xml:space="preserve">Are 95% confidence intervals or other measures of precision shown, if applicable?</w:t>
      </w:r>
    </w:p>
    <w:p>
      <w:r>
        <w:br w:type="page"/>
      </w:r>
    </w:p>
    <w:bookmarkEnd w:id="481"/>
    <w:bookmarkEnd w:id="482"/>
    <w:bookmarkStart w:id="514" w:name="resources-2"/>
    <w:p>
      <w:pPr>
        <w:pStyle w:val="Heading1"/>
      </w:pPr>
      <w:r>
        <w:t xml:space="preserve">20. Resources</w:t>
      </w:r>
    </w:p>
    <w:p>
      <w:pPr>
        <w:pStyle w:val="FirstParagraph"/>
      </w:pPr>
      <w:r>
        <w:t xml:space="preserve">Adapted by UCD-SeRG team from</w:t>
      </w:r>
      <w:r>
        <w:t xml:space="preserve"> </w:t>
      </w:r>
      <w:hyperlink r:id="rId483">
        <w:r>
          <w:rPr>
            <w:rStyle w:val="Hyperlink"/>
          </w:rPr>
          <w:t xml:space="preserve">original by Jade Benjamin-Chung and Kunal Mishra</w:t>
        </w:r>
      </w:hyperlink>
    </w:p>
    <w:bookmarkStart w:id="494" w:name="resources-for-r"/>
    <w:p>
      <w:pPr>
        <w:pStyle w:val="Heading2"/>
      </w:pPr>
      <w:r>
        <w:t xml:space="preserve">20.1 Resources for R</w:t>
      </w:r>
    </w:p>
    <w:bookmarkStart w:id="485" w:name="books-and-comprehensive-guides"/>
    <w:p>
      <w:pPr>
        <w:pStyle w:val="Heading3"/>
      </w:pPr>
      <w:r>
        <w:t xml:space="preserve">20.1.1 Books and Comprehensive Guides</w:t>
      </w:r>
    </w:p>
    <w:p>
      <w:pPr>
        <w:pStyle w:val="Compact"/>
        <w:numPr>
          <w:ilvl w:val="0"/>
          <w:numId w:val="1158"/>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8"/>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8"/>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8"/>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8"/>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8"/>
        </w:numPr>
      </w:pPr>
      <w:hyperlink r:id="rId484">
        <w:r>
          <w:rPr>
            <w:rStyle w:val="Hyperlink"/>
          </w:rPr>
          <w:t xml:space="preserve">Jade’s R-for-epi course</w:t>
        </w:r>
      </w:hyperlink>
    </w:p>
    <w:bookmarkEnd w:id="485"/>
    <w:bookmarkStart w:id="490" w:name="cheat-sheets"/>
    <w:p>
      <w:pPr>
        <w:pStyle w:val="Heading3"/>
      </w:pPr>
      <w:r>
        <w:t xml:space="preserve">20.1.2 Cheat Sheets</w:t>
      </w:r>
    </w:p>
    <w:p>
      <w:pPr>
        <w:pStyle w:val="Compact"/>
        <w:numPr>
          <w:ilvl w:val="0"/>
          <w:numId w:val="1159"/>
        </w:numPr>
      </w:pPr>
      <w:hyperlink r:id="rId486">
        <w:r>
          <w:rPr>
            <w:rStyle w:val="Hyperlink"/>
          </w:rPr>
          <w:t xml:space="preserve">dplyr and tidyr cheat sheet</w:t>
        </w:r>
      </w:hyperlink>
    </w:p>
    <w:p>
      <w:pPr>
        <w:pStyle w:val="Compact"/>
        <w:numPr>
          <w:ilvl w:val="0"/>
          <w:numId w:val="1159"/>
        </w:numPr>
      </w:pPr>
      <w:hyperlink r:id="rId487">
        <w:r>
          <w:rPr>
            <w:rStyle w:val="Hyperlink"/>
          </w:rPr>
          <w:t xml:space="preserve">ggplot cheat sheet</w:t>
        </w:r>
      </w:hyperlink>
    </w:p>
    <w:p>
      <w:pPr>
        <w:pStyle w:val="Compact"/>
        <w:numPr>
          <w:ilvl w:val="0"/>
          <w:numId w:val="1159"/>
        </w:numPr>
      </w:pPr>
      <w:hyperlink r:id="rId488">
        <w:r>
          <w:rPr>
            <w:rStyle w:val="Hyperlink"/>
          </w:rPr>
          <w:t xml:space="preserve">data table cheat sheet</w:t>
        </w:r>
      </w:hyperlink>
    </w:p>
    <w:p>
      <w:pPr>
        <w:pStyle w:val="Compact"/>
        <w:numPr>
          <w:ilvl w:val="0"/>
          <w:numId w:val="1159"/>
        </w:numPr>
      </w:pPr>
      <w:hyperlink r:id="rId489">
        <w:r>
          <w:rPr>
            <w:rStyle w:val="Hyperlink"/>
          </w:rPr>
          <w:t xml:space="preserve">RMarkdown cheat sheet</w:t>
        </w:r>
      </w:hyperlink>
    </w:p>
    <w:bookmarkEnd w:id="490"/>
    <w:bookmarkStart w:id="492" w:name="style-and-best-practices"/>
    <w:p>
      <w:pPr>
        <w:pStyle w:val="Heading3"/>
      </w:pPr>
      <w:r>
        <w:t xml:space="preserve">20.1.3 Style and Best Practices</w:t>
      </w:r>
    </w:p>
    <w:p>
      <w:pPr>
        <w:pStyle w:val="Compact"/>
        <w:numPr>
          <w:ilvl w:val="0"/>
          <w:numId w:val="1160"/>
        </w:numPr>
      </w:pPr>
      <w:hyperlink r:id="rId491">
        <w:r>
          <w:rPr>
            <w:rStyle w:val="Hyperlink"/>
          </w:rPr>
          <w:t xml:space="preserve">Hadley Wickham’s R Style Guide</w:t>
        </w:r>
      </w:hyperlink>
    </w:p>
    <w:bookmarkEnd w:id="492"/>
    <w:bookmarkStart w:id="493" w:name="tidy-evaluation-resources"/>
    <w:p>
      <w:pPr>
        <w:pStyle w:val="Heading3"/>
      </w:pPr>
      <w:r>
        <w:t xml:space="preserve">20.1.4 Tidy Evaluation Resources</w:t>
      </w:r>
    </w:p>
    <w:p>
      <w:pPr>
        <w:pStyle w:val="Compact"/>
        <w:numPr>
          <w:ilvl w:val="0"/>
          <w:numId w:val="1161"/>
        </w:numPr>
      </w:pPr>
      <w:hyperlink r:id="rId147">
        <w:r>
          <w:rPr>
            <w:rStyle w:val="Hyperlink"/>
          </w:rPr>
          <w:t xml:space="preserve">Tidy Eval in 5 Minutes</w:t>
        </w:r>
      </w:hyperlink>
      <w:r>
        <w:t xml:space="preserve"> </w:t>
      </w:r>
      <w:r>
        <w:t xml:space="preserve">(video)</w:t>
      </w:r>
    </w:p>
    <w:p>
      <w:pPr>
        <w:pStyle w:val="Compact"/>
        <w:numPr>
          <w:ilvl w:val="0"/>
          <w:numId w:val="1161"/>
        </w:numPr>
      </w:pPr>
      <w:hyperlink r:id="rId148">
        <w:r>
          <w:rPr>
            <w:rStyle w:val="Hyperlink"/>
          </w:rPr>
          <w:t xml:space="preserve">Tidy Evaluation</w:t>
        </w:r>
      </w:hyperlink>
      <w:r>
        <w:t xml:space="preserve"> </w:t>
      </w:r>
      <w:r>
        <w:t xml:space="preserve">(e-book)</w:t>
      </w:r>
    </w:p>
    <w:p>
      <w:pPr>
        <w:pStyle w:val="Compact"/>
        <w:numPr>
          <w:ilvl w:val="0"/>
          <w:numId w:val="1161"/>
        </w:numPr>
      </w:pPr>
      <w:hyperlink r:id="rId149">
        <w:r>
          <w:rPr>
            <w:rStyle w:val="Hyperlink"/>
          </w:rPr>
          <w:t xml:space="preserve">Data Frame Columns as Arguments to Dplyr Functions</w:t>
        </w:r>
      </w:hyperlink>
      <w:r>
        <w:t xml:space="preserve"> </w:t>
      </w:r>
      <w:r>
        <w:t xml:space="preserve">(blog)</w:t>
      </w:r>
    </w:p>
    <w:p>
      <w:pPr>
        <w:pStyle w:val="Compact"/>
        <w:numPr>
          <w:ilvl w:val="0"/>
          <w:numId w:val="1161"/>
        </w:numPr>
      </w:pPr>
      <w:hyperlink r:id="rId150">
        <w:r>
          <w:rPr>
            <w:rStyle w:val="Hyperlink"/>
          </w:rPr>
          <w:t xml:space="preserve">Standard Evaluation for *_join</w:t>
        </w:r>
      </w:hyperlink>
      <w:r>
        <w:t xml:space="preserve"> </w:t>
      </w:r>
      <w:r>
        <w:t xml:space="preserve">(stackoverflow)</w:t>
      </w:r>
    </w:p>
    <w:p>
      <w:pPr>
        <w:pStyle w:val="Compact"/>
        <w:numPr>
          <w:ilvl w:val="0"/>
          <w:numId w:val="1161"/>
        </w:numPr>
      </w:pPr>
      <w:hyperlink r:id="rId151">
        <w:r>
          <w:rPr>
            <w:rStyle w:val="Hyperlink"/>
          </w:rPr>
          <w:t xml:space="preserve">Programming with dplyr</w:t>
        </w:r>
      </w:hyperlink>
      <w:r>
        <w:t xml:space="preserve"> </w:t>
      </w:r>
      <w:r>
        <w:t xml:space="preserve">(package vignette)</w:t>
      </w:r>
    </w:p>
    <w:bookmarkEnd w:id="493"/>
    <w:bookmarkEnd w:id="494"/>
    <w:bookmarkStart w:id="497" w:name="resources-for-git-github"/>
    <w:p>
      <w:pPr>
        <w:pStyle w:val="Heading2"/>
      </w:pPr>
      <w:r>
        <w:t xml:space="preserve">20.2 Resources for Git &amp; Github</w:t>
      </w:r>
    </w:p>
    <w:p>
      <w:pPr>
        <w:pStyle w:val="Compact"/>
        <w:numPr>
          <w:ilvl w:val="0"/>
          <w:numId w:val="11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62"/>
        </w:numPr>
      </w:pPr>
      <w:hyperlink r:id="rId495">
        <w:r>
          <w:rPr>
            <w:rStyle w:val="Hyperlink"/>
          </w:rPr>
          <w:t xml:space="preserve">Data Camp introduction to Git</w:t>
        </w:r>
      </w:hyperlink>
    </w:p>
    <w:p>
      <w:pPr>
        <w:pStyle w:val="Compact"/>
        <w:numPr>
          <w:ilvl w:val="0"/>
          <w:numId w:val="1162"/>
        </w:numPr>
      </w:pPr>
      <w:hyperlink r:id="rId496">
        <w:r>
          <w:rPr>
            <w:rStyle w:val="Hyperlink"/>
          </w:rPr>
          <w:t xml:space="preserve">Introduction to Github</w:t>
        </w:r>
      </w:hyperlink>
    </w:p>
    <w:bookmarkEnd w:id="497"/>
    <w:bookmarkStart w:id="498" w:name="scientific-figures"/>
    <w:p>
      <w:pPr>
        <w:pStyle w:val="Heading2"/>
      </w:pPr>
      <w:r>
        <w:t xml:space="preserve">20.3 Scientific figures</w:t>
      </w:r>
    </w:p>
    <w:p>
      <w:pPr>
        <w:pStyle w:val="Compact"/>
        <w:numPr>
          <w:ilvl w:val="0"/>
          <w:numId w:val="1163"/>
        </w:numPr>
      </w:pPr>
      <w:r>
        <w:t xml:space="preserve">Ten Simple Rules for Better Figures</w:t>
      </w:r>
      <w:r>
        <w:t xml:space="preserve"> </w:t>
      </w:r>
      <w:r>
        <w:t xml:space="preserve">(Rougier, Droettboom, and Bourne 2014)</w:t>
      </w:r>
    </w:p>
    <w:bookmarkEnd w:id="498"/>
    <w:bookmarkStart w:id="501" w:name="writing"/>
    <w:p>
      <w:pPr>
        <w:pStyle w:val="Heading2"/>
      </w:pPr>
      <w:r>
        <w:t xml:space="preserve">20.4 Writing</w:t>
      </w:r>
    </w:p>
    <w:p>
      <w:pPr>
        <w:pStyle w:val="Compact"/>
        <w:numPr>
          <w:ilvl w:val="0"/>
          <w:numId w:val="1164"/>
        </w:numPr>
      </w:pPr>
      <w:r>
        <w:t xml:space="preserve">Unpacking the Scientific Toolbox</w:t>
      </w:r>
      <w:r>
        <w:t xml:space="preserve"> </w:t>
      </w:r>
      <w:r>
        <w:t xml:space="preserve">(Silbiger and Stubler 2019)</w:t>
      </w:r>
    </w:p>
    <w:p>
      <w:pPr>
        <w:pStyle w:val="Compact"/>
        <w:numPr>
          <w:ilvl w:val="0"/>
          <w:numId w:val="1164"/>
        </w:numPr>
      </w:pPr>
      <w:r>
        <w:t xml:space="preserve">ICMJE Definition of authorship</w:t>
      </w:r>
      <w:r>
        <w:t xml:space="preserve"> </w:t>
      </w:r>
      <w:r>
        <w:t xml:space="preserve">(International Committee of Medical Journal Editors, n.d.)</w:t>
      </w:r>
    </w:p>
    <w:p>
      <w:pPr>
        <w:pStyle w:val="Compact"/>
        <w:numPr>
          <w:ilvl w:val="0"/>
          <w:numId w:val="1164"/>
        </w:numPr>
      </w:pPr>
      <w:r>
        <w:t xml:space="preserve">Computational science: …why scientific programming does not compute</w:t>
      </w:r>
      <w:r>
        <w:t xml:space="preserve"> </w:t>
      </w:r>
      <w:r>
        <w:t xml:space="preserve">(Merali and Giles 2010)</w:t>
      </w:r>
    </w:p>
    <w:p>
      <w:pPr>
        <w:pStyle w:val="Compact"/>
        <w:numPr>
          <w:ilvl w:val="0"/>
          <w:numId w:val="1164"/>
        </w:numPr>
      </w:pPr>
      <w:hyperlink r:id="rId499">
        <w:r>
          <w:rPr>
            <w:rStyle w:val="Hyperlink"/>
          </w:rPr>
          <w:t xml:space="preserve">The Pathway to Publishing: A Guide to Quantitative Writing in the Health Sciences</w:t>
        </w:r>
      </w:hyperlink>
    </w:p>
    <w:p>
      <w:pPr>
        <w:pStyle w:val="Compact"/>
        <w:numPr>
          <w:ilvl w:val="0"/>
          <w:numId w:val="1164"/>
        </w:numPr>
      </w:pPr>
      <w:hyperlink r:id="rId500">
        <w:r>
          <w:rPr>
            <w:rStyle w:val="Hyperlink"/>
          </w:rPr>
          <w:t xml:space="preserve">Secret, actionable writing tips</w:t>
        </w:r>
      </w:hyperlink>
    </w:p>
    <w:bookmarkEnd w:id="501"/>
    <w:bookmarkStart w:id="505" w:name="presentations"/>
    <w:p>
      <w:pPr>
        <w:pStyle w:val="Heading2"/>
      </w:pPr>
      <w:r>
        <w:t xml:space="preserve">20.5 Presentations</w:t>
      </w:r>
    </w:p>
    <w:p>
      <w:pPr>
        <w:pStyle w:val="Compact"/>
        <w:numPr>
          <w:ilvl w:val="0"/>
          <w:numId w:val="1165"/>
        </w:numPr>
      </w:pPr>
      <w:r>
        <w:t xml:space="preserve">How to tell a compelling story in scientific presentations</w:t>
      </w:r>
      <w:r>
        <w:t xml:space="preserve"> </w:t>
      </w:r>
      <w:r>
        <w:t xml:space="preserve">(Van Noorden 2021)</w:t>
      </w:r>
    </w:p>
    <w:p>
      <w:pPr>
        <w:pStyle w:val="Compact"/>
        <w:numPr>
          <w:ilvl w:val="0"/>
          <w:numId w:val="1165"/>
        </w:numPr>
      </w:pPr>
      <w:hyperlink r:id="rId502">
        <w:r>
          <w:rPr>
            <w:rStyle w:val="Hyperlink"/>
          </w:rPr>
          <w:t xml:space="preserve">How to give a killer narratively-driven scientific talk</w:t>
        </w:r>
      </w:hyperlink>
    </w:p>
    <w:p>
      <w:pPr>
        <w:pStyle w:val="Compact"/>
        <w:numPr>
          <w:ilvl w:val="0"/>
          <w:numId w:val="1165"/>
        </w:numPr>
      </w:pPr>
      <w:hyperlink r:id="rId503">
        <w:r>
          <w:rPr>
            <w:rStyle w:val="Hyperlink"/>
          </w:rPr>
          <w:t xml:space="preserve">How to make a better poster</w:t>
        </w:r>
      </w:hyperlink>
    </w:p>
    <w:p>
      <w:pPr>
        <w:pStyle w:val="Compact"/>
        <w:numPr>
          <w:ilvl w:val="0"/>
          <w:numId w:val="1165"/>
        </w:numPr>
      </w:pPr>
      <w:hyperlink r:id="rId504">
        <w:r>
          <w:rPr>
            <w:rStyle w:val="Hyperlink"/>
          </w:rPr>
          <w:t xml:space="preserve">How to make an even better poster</w:t>
        </w:r>
      </w:hyperlink>
    </w:p>
    <w:bookmarkEnd w:id="505"/>
    <w:bookmarkStart w:id="507" w:name="professional-advice"/>
    <w:p>
      <w:pPr>
        <w:pStyle w:val="Heading2"/>
      </w:pPr>
      <w:r>
        <w:t xml:space="preserve">20.6 Professional advice</w:t>
      </w:r>
    </w:p>
    <w:p>
      <w:pPr>
        <w:pStyle w:val="Compact"/>
        <w:numPr>
          <w:ilvl w:val="0"/>
          <w:numId w:val="1166"/>
        </w:numPr>
      </w:pPr>
      <w:hyperlink r:id="rId506">
        <w:r>
          <w:rPr>
            <w:rStyle w:val="Hyperlink"/>
          </w:rPr>
          <w:t xml:space="preserve">Professional advice, especially for your first job</w:t>
        </w:r>
      </w:hyperlink>
    </w:p>
    <w:bookmarkEnd w:id="507"/>
    <w:bookmarkStart w:id="510" w:name="funding"/>
    <w:p>
      <w:pPr>
        <w:pStyle w:val="Heading2"/>
      </w:pPr>
      <w:r>
        <w:t xml:space="preserve">20.7 Funding</w:t>
      </w:r>
    </w:p>
    <w:p>
      <w:pPr>
        <w:pStyle w:val="Compact"/>
        <w:numPr>
          <w:ilvl w:val="0"/>
          <w:numId w:val="1167"/>
        </w:numPr>
      </w:pPr>
      <w:hyperlink r:id="rId508">
        <w:r>
          <w:rPr>
            <w:rStyle w:val="Hyperlink"/>
          </w:rPr>
          <w:t xml:space="preserve">Building Your Funding Train</w:t>
        </w:r>
      </w:hyperlink>
    </w:p>
    <w:p>
      <w:pPr>
        <w:pStyle w:val="Compact"/>
        <w:numPr>
          <w:ilvl w:val="0"/>
          <w:numId w:val="1167"/>
        </w:numPr>
      </w:pPr>
      <w:hyperlink r:id="rId509">
        <w:r>
          <w:rPr>
            <w:rStyle w:val="Hyperlink"/>
          </w:rPr>
          <w:t xml:space="preserve">NIH Grant Writing Resources</w:t>
        </w:r>
      </w:hyperlink>
    </w:p>
    <w:bookmarkEnd w:id="510"/>
    <w:bookmarkStart w:id="513" w:name="ethics-and-global-health-research"/>
    <w:p>
      <w:pPr>
        <w:pStyle w:val="Heading2"/>
      </w:pPr>
      <w:r>
        <w:t xml:space="preserve">20.8 Ethics and global health research</w:t>
      </w:r>
    </w:p>
    <w:p>
      <w:pPr>
        <w:pStyle w:val="Compact"/>
        <w:numPr>
          <w:ilvl w:val="0"/>
          <w:numId w:val="1168"/>
        </w:numPr>
      </w:pPr>
      <w:hyperlink r:id="rId511">
        <w:r>
          <w:rPr>
            <w:rStyle w:val="Hyperlink"/>
          </w:rPr>
          <w:t xml:space="preserve">Global Code of Conduct For Research in Resource-Poor Settings</w:t>
        </w:r>
      </w:hyperlink>
    </w:p>
    <w:p>
      <w:pPr>
        <w:pStyle w:val="Compact"/>
        <w:numPr>
          <w:ilvl w:val="0"/>
          <w:numId w:val="1168"/>
        </w:numPr>
      </w:pPr>
      <w:r>
        <w:t xml:space="preserve">Addressing power asymmetries in global health</w:t>
      </w:r>
      <w:r>
        <w:t xml:space="preserve"> </w:t>
      </w:r>
      <w:r>
        <w:t xml:space="preserve">(Abimbola et al. 2022)</w:t>
      </w:r>
    </w:p>
    <w:p>
      <w:pPr>
        <w:pStyle w:val="Compact"/>
        <w:numPr>
          <w:ilvl w:val="0"/>
          <w:numId w:val="1168"/>
        </w:numPr>
      </w:pPr>
      <w:hyperlink r:id="rId512">
        <w:r>
          <w:rPr>
            <w:rStyle w:val="Hyperlink"/>
          </w:rPr>
          <w:t xml:space="preserve">Transforming Global Health Partnerships</w:t>
        </w:r>
      </w:hyperlink>
    </w:p>
    <w:p>
      <w:r>
        <w:br w:type="page"/>
      </w:r>
    </w:p>
    <w:bookmarkEnd w:id="513"/>
    <w:bookmarkEnd w:id="514"/>
    <w:bookmarkStart w:id="532" w:name="professional-development"/>
    <w:p>
      <w:pPr>
        <w:pStyle w:val="Heading1"/>
      </w:pPr>
      <w:r>
        <w:t xml:space="preserve">21. Professional Development</w:t>
      </w:r>
    </w:p>
    <w:p>
      <w:pPr>
        <w:pStyle w:val="FirstParagraph"/>
      </w:pPr>
      <w:r>
        <w:t xml:space="preserve">Adapted by UCD-SeRG team from</w:t>
      </w:r>
      <w:r>
        <w:t xml:space="preserve"> </w:t>
      </w:r>
      <w:hyperlink r:id="rId515">
        <w:r>
          <w:rPr>
            <w:rStyle w:val="Hyperlink"/>
          </w:rPr>
          <w:t xml:space="preserve">original by Jade Benjamin-Chung</w:t>
        </w:r>
      </w:hyperlink>
    </w:p>
    <w:bookmarkStart w:id="516"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69"/>
        </w:numPr>
      </w:pPr>
      <w:r>
        <w:t xml:space="preserve">Regular, open communication between mentees and mentors</w:t>
      </w:r>
    </w:p>
    <w:p>
      <w:pPr>
        <w:pStyle w:val="Compact"/>
        <w:numPr>
          <w:ilvl w:val="0"/>
          <w:numId w:val="1169"/>
        </w:numPr>
      </w:pPr>
      <w:r>
        <w:t xml:space="preserve">Mutual respect and trust</w:t>
      </w:r>
    </w:p>
    <w:p>
      <w:pPr>
        <w:pStyle w:val="Compact"/>
        <w:numPr>
          <w:ilvl w:val="0"/>
          <w:numId w:val="1169"/>
        </w:numPr>
      </w:pPr>
      <w:r>
        <w:t xml:space="preserve">Clear expectations and goals</w:t>
      </w:r>
    </w:p>
    <w:p>
      <w:pPr>
        <w:pStyle w:val="Compact"/>
        <w:numPr>
          <w:ilvl w:val="0"/>
          <w:numId w:val="1169"/>
        </w:numPr>
      </w:pPr>
      <w:r>
        <w:t xml:space="preserve">Constructive feedback</w:t>
      </w:r>
    </w:p>
    <w:p>
      <w:pPr>
        <w:pStyle w:val="Compact"/>
        <w:numPr>
          <w:ilvl w:val="0"/>
          <w:numId w:val="1169"/>
        </w:numPr>
      </w:pPr>
      <w:r>
        <w:t xml:space="preserve">Support for both research and career development</w:t>
      </w:r>
    </w:p>
    <w:bookmarkEnd w:id="516"/>
    <w:bookmarkStart w:id="519"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0"/>
        </w:numPr>
      </w:pPr>
      <w:r>
        <w:t xml:space="preserve">Short-term and long-term career goals</w:t>
      </w:r>
    </w:p>
    <w:p>
      <w:pPr>
        <w:pStyle w:val="Compact"/>
        <w:numPr>
          <w:ilvl w:val="0"/>
          <w:numId w:val="1170"/>
        </w:numPr>
      </w:pPr>
      <w:r>
        <w:t xml:space="preserve">Skills to develop</w:t>
      </w:r>
    </w:p>
    <w:p>
      <w:pPr>
        <w:pStyle w:val="Compact"/>
        <w:numPr>
          <w:ilvl w:val="0"/>
          <w:numId w:val="1170"/>
        </w:numPr>
      </w:pPr>
      <w:r>
        <w:t xml:space="preserve">Training needs and opportunities</w:t>
      </w:r>
    </w:p>
    <w:p>
      <w:pPr>
        <w:pStyle w:val="Compact"/>
        <w:numPr>
          <w:ilvl w:val="0"/>
          <w:numId w:val="1170"/>
        </w:numPr>
      </w:pPr>
      <w:r>
        <w:t xml:space="preserve">Timeline and milestones</w:t>
      </w:r>
    </w:p>
    <w:p>
      <w:pPr>
        <w:pStyle w:val="Compact"/>
        <w:numPr>
          <w:ilvl w:val="0"/>
          <w:numId w:val="1170"/>
        </w:numPr>
      </w:pPr>
      <w:r>
        <w:t xml:space="preserve">Progress toward goals</w:t>
      </w:r>
    </w:p>
    <w:p>
      <w:pPr>
        <w:pStyle w:val="FirstParagraph"/>
      </w:pPr>
      <w:r>
        <w:t xml:space="preserve">Update your IDP at least annually and discuss it with your PI. Useful resources:</w:t>
      </w:r>
    </w:p>
    <w:p>
      <w:pPr>
        <w:pStyle w:val="Compact"/>
        <w:numPr>
          <w:ilvl w:val="0"/>
          <w:numId w:val="1171"/>
        </w:numPr>
      </w:pPr>
      <w:hyperlink r:id="rId517">
        <w:r>
          <w:rPr>
            <w:rStyle w:val="Hyperlink"/>
          </w:rPr>
          <w:t xml:space="preserve">myIDP - Individual Development Plan tool</w:t>
        </w:r>
      </w:hyperlink>
    </w:p>
    <w:p>
      <w:pPr>
        <w:pStyle w:val="Compact"/>
        <w:numPr>
          <w:ilvl w:val="0"/>
          <w:numId w:val="1171"/>
        </w:numPr>
      </w:pPr>
      <w:hyperlink r:id="rId518">
        <w:r>
          <w:rPr>
            <w:rStyle w:val="Hyperlink"/>
          </w:rPr>
          <w:t xml:space="preserve">NIH OITE Career Resources</w:t>
        </w:r>
      </w:hyperlink>
    </w:p>
    <w:bookmarkEnd w:id="519"/>
    <w:bookmarkStart w:id="522"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72"/>
        </w:numPr>
      </w:pPr>
      <w:r>
        <w:t xml:space="preserve">Discuss conference opportunities with PIs early</w:t>
      </w:r>
    </w:p>
    <w:p>
      <w:pPr>
        <w:pStyle w:val="Compact"/>
        <w:numPr>
          <w:ilvl w:val="0"/>
          <w:numId w:val="1172"/>
        </w:numPr>
      </w:pPr>
      <w:r>
        <w:t xml:space="preserve">Submit abstracts with PI approval</w:t>
      </w:r>
    </w:p>
    <w:p>
      <w:pPr>
        <w:pStyle w:val="Compact"/>
        <w:numPr>
          <w:ilvl w:val="0"/>
          <w:numId w:val="1172"/>
        </w:numPr>
      </w:pPr>
      <w:r>
        <w:t xml:space="preserve">Practice presentations in lab meeting before the conference</w:t>
      </w:r>
    </w:p>
    <w:p>
      <w:pPr>
        <w:pStyle w:val="Compact"/>
        <w:numPr>
          <w:ilvl w:val="0"/>
          <w:numId w:val="117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73"/>
        </w:numPr>
      </w:pPr>
      <w:hyperlink r:id="rId520">
        <w:r>
          <w:rPr>
            <w:rStyle w:val="Hyperlink"/>
          </w:rPr>
          <w:t xml:space="preserve">How to tell a compelling story in scientific presentations</w:t>
        </w:r>
      </w:hyperlink>
    </w:p>
    <w:p>
      <w:pPr>
        <w:pStyle w:val="Compact"/>
        <w:numPr>
          <w:ilvl w:val="0"/>
          <w:numId w:val="1173"/>
        </w:numPr>
      </w:pPr>
      <w:hyperlink r:id="rId502">
        <w:r>
          <w:rPr>
            <w:rStyle w:val="Hyperlink"/>
          </w:rPr>
          <w:t xml:space="preserve">How to give a killer narratively-driven scientific talk</w:t>
        </w:r>
      </w:hyperlink>
    </w:p>
    <w:p>
      <w:pPr>
        <w:pStyle w:val="Compact"/>
        <w:numPr>
          <w:ilvl w:val="0"/>
          <w:numId w:val="1173"/>
        </w:numPr>
      </w:pPr>
      <w:hyperlink r:id="rId521">
        <w:r>
          <w:rPr>
            <w:rStyle w:val="Hyperlink"/>
          </w:rPr>
          <w:t xml:space="preserve">How to make a better poster</w:t>
        </w:r>
      </w:hyperlink>
    </w:p>
    <w:p>
      <w:pPr>
        <w:pStyle w:val="Compact"/>
        <w:numPr>
          <w:ilvl w:val="0"/>
          <w:numId w:val="1173"/>
        </w:numPr>
      </w:pPr>
      <w:hyperlink r:id="rId504">
        <w:r>
          <w:rPr>
            <w:rStyle w:val="Hyperlink"/>
          </w:rPr>
          <w:t xml:space="preserve">How to make an even better poster</w:t>
        </w:r>
      </w:hyperlink>
    </w:p>
    <w:bookmarkEnd w:id="522"/>
    <w:bookmarkStart w:id="526"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74"/>
        </w:numPr>
      </w:pPr>
      <w:r>
        <w:t xml:space="preserve">Label x-axis and y-axis clearly</w:t>
      </w:r>
    </w:p>
    <w:p>
      <w:pPr>
        <w:pStyle w:val="Compact"/>
        <w:numPr>
          <w:ilvl w:val="0"/>
          <w:numId w:val="1174"/>
        </w:numPr>
      </w:pPr>
      <w:r>
        <w:t xml:space="preserve">Use panel labels when including multiple subplots</w:t>
      </w:r>
    </w:p>
    <w:p>
      <w:pPr>
        <w:pStyle w:val="Compact"/>
        <w:numPr>
          <w:ilvl w:val="0"/>
          <w:numId w:val="1174"/>
        </w:numPr>
      </w:pPr>
      <w:r>
        <w:t xml:space="preserve">Include sufficient tick marks and labels</w:t>
      </w:r>
    </w:p>
    <w:p>
      <w:pPr>
        <w:pStyle w:val="Compact"/>
        <w:numPr>
          <w:ilvl w:val="0"/>
          <w:numId w:val="1174"/>
        </w:numPr>
      </w:pPr>
      <w:r>
        <w:t xml:space="preserve">Use appropriate font sizes (readable but not distracting)</w:t>
      </w:r>
    </w:p>
    <w:p>
      <w:pPr>
        <w:pStyle w:val="Compact"/>
        <w:numPr>
          <w:ilvl w:val="0"/>
          <w:numId w:val="1174"/>
        </w:numPr>
      </w:pPr>
      <w:r>
        <w:t xml:space="preserve">Use colorblind-friendly palettes (see</w:t>
      </w:r>
      <w:r>
        <w:t xml:space="preserve"> </w:t>
      </w:r>
      <w:hyperlink r:id="rId523">
        <w:r>
          <w:rPr>
            <w:rStyle w:val="Hyperlink"/>
          </w:rPr>
          <w:t xml:space="preserve">ColorBrewer</w:t>
        </w:r>
      </w:hyperlink>
      <w:r>
        <w:t xml:space="preserve"> </w:t>
      </w:r>
      <w:r>
        <w:t xml:space="preserve">or</w:t>
      </w:r>
      <w:r>
        <w:t xml:space="preserve"> </w:t>
      </w:r>
      <w:hyperlink r:id="rId524">
        <w:r>
          <w:rPr>
            <w:rStyle w:val="Hyperlink"/>
          </w:rPr>
          <w:t xml:space="preserve">iwanthue</w:t>
        </w:r>
      </w:hyperlink>
      <w:r>
        <w:t xml:space="preserve">)</w:t>
      </w:r>
    </w:p>
    <w:p>
      <w:pPr>
        <w:pStyle w:val="Compact"/>
        <w:numPr>
          <w:ilvl w:val="0"/>
          <w:numId w:val="1174"/>
        </w:numPr>
      </w:pPr>
      <w:r>
        <w:t xml:space="preserve">Define colors, shapes, and line types in legends</w:t>
      </w:r>
    </w:p>
    <w:p>
      <w:pPr>
        <w:pStyle w:val="Compact"/>
        <w:numPr>
          <w:ilvl w:val="0"/>
          <w:numId w:val="1174"/>
        </w:numPr>
      </w:pPr>
      <w:r>
        <w:t xml:space="preserve">Minimize abbreviations in labels and legends</w:t>
      </w:r>
    </w:p>
    <w:p>
      <w:pPr>
        <w:pStyle w:val="Compact"/>
        <w:numPr>
          <w:ilvl w:val="0"/>
          <w:numId w:val="1174"/>
        </w:numPr>
      </w:pPr>
      <w:r>
        <w:t xml:space="preserve">Use transparency to show overlapping data</w:t>
      </w:r>
    </w:p>
    <w:p>
      <w:pPr>
        <w:pStyle w:val="Compact"/>
        <w:numPr>
          <w:ilvl w:val="0"/>
          <w:numId w:val="1174"/>
        </w:numPr>
      </w:pPr>
      <w:r>
        <w:t xml:space="preserve">Show measures of precision (e.g., 95% confidence intervals)</w:t>
      </w:r>
    </w:p>
    <w:p>
      <w:pPr>
        <w:pStyle w:val="FirstParagraph"/>
      </w:pPr>
      <w:r>
        <w:rPr>
          <w:b/>
          <w:bCs/>
        </w:rPr>
        <w:t xml:space="preserve">Resources:</w:t>
      </w:r>
    </w:p>
    <w:p>
      <w:pPr>
        <w:pStyle w:val="Compact"/>
        <w:numPr>
          <w:ilvl w:val="0"/>
          <w:numId w:val="1175"/>
        </w:numPr>
      </w:pPr>
      <w:hyperlink r:id="rId525">
        <w:r>
          <w:rPr>
            <w:rStyle w:val="Hyperlink"/>
          </w:rPr>
          <w:t xml:space="preserve">Ten Simple Rules for Better Figures</w:t>
        </w:r>
      </w:hyperlink>
    </w:p>
    <w:bookmarkEnd w:id="526"/>
    <w:bookmarkStart w:id="529" w:name="grant-writing"/>
    <w:p>
      <w:pPr>
        <w:pStyle w:val="Heading2"/>
      </w:pPr>
      <w:r>
        <w:t xml:space="preserve">21.5 Grant Writing</w:t>
      </w:r>
    </w:p>
    <w:p>
      <w:pPr>
        <w:pStyle w:val="Compact"/>
        <w:numPr>
          <w:ilvl w:val="0"/>
          <w:numId w:val="1176"/>
        </w:numPr>
      </w:pPr>
      <w:r>
        <w:t xml:space="preserve">Graduate students and postdocs are encouraged to apply for fellowships (e.g., NIH F31, NSF GRFP, K awards)</w:t>
      </w:r>
    </w:p>
    <w:p>
      <w:pPr>
        <w:pStyle w:val="Compact"/>
        <w:numPr>
          <w:ilvl w:val="0"/>
          <w:numId w:val="1176"/>
        </w:numPr>
      </w:pPr>
      <w:r>
        <w:t xml:space="preserve">PIs will support fellowship applications with feedback, letters of support, and mentoring</w:t>
      </w:r>
    </w:p>
    <w:p>
      <w:pPr>
        <w:pStyle w:val="Compact"/>
        <w:numPr>
          <w:ilvl w:val="0"/>
          <w:numId w:val="1176"/>
        </w:numPr>
      </w:pPr>
      <w:r>
        <w:t xml:space="preserve">Start planning fellowship applications well in advance of deadlines (typically 3-6 months)</w:t>
      </w:r>
    </w:p>
    <w:p>
      <w:pPr>
        <w:pStyle w:val="Compact"/>
        <w:numPr>
          <w:ilvl w:val="0"/>
          <w:numId w:val="1176"/>
        </w:numPr>
      </w:pPr>
      <w:r>
        <w:t xml:space="preserve">Attend grant writing workshops and seek feedback from multiple sources</w:t>
      </w:r>
    </w:p>
    <w:p>
      <w:pPr>
        <w:pStyle w:val="FirstParagraph"/>
      </w:pPr>
      <w:r>
        <w:rPr>
          <w:b/>
          <w:bCs/>
        </w:rPr>
        <w:t xml:space="preserve">Resources:</w:t>
      </w:r>
    </w:p>
    <w:p>
      <w:pPr>
        <w:pStyle w:val="Compact"/>
        <w:numPr>
          <w:ilvl w:val="0"/>
          <w:numId w:val="1177"/>
        </w:numPr>
      </w:pPr>
      <w:hyperlink r:id="rId527">
        <w:r>
          <w:rPr>
            <w:rStyle w:val="Hyperlink"/>
          </w:rPr>
          <w:t xml:space="preserve">Building Your Funding Train</w:t>
        </w:r>
      </w:hyperlink>
    </w:p>
    <w:p>
      <w:pPr>
        <w:pStyle w:val="Compact"/>
        <w:numPr>
          <w:ilvl w:val="0"/>
          <w:numId w:val="1177"/>
        </w:numPr>
      </w:pPr>
      <w:hyperlink r:id="rId528">
        <w:r>
          <w:rPr>
            <w:rStyle w:val="Hyperlink"/>
          </w:rPr>
          <w:t xml:space="preserve">NIH Funding Opportunities</w:t>
        </w:r>
      </w:hyperlink>
    </w:p>
    <w:p>
      <w:pPr>
        <w:pStyle w:val="Compact"/>
        <w:numPr>
          <w:ilvl w:val="0"/>
          <w:numId w:val="1177"/>
        </w:numPr>
      </w:pPr>
      <w:hyperlink r:id="rId509">
        <w:r>
          <w:rPr>
            <w:rStyle w:val="Hyperlink"/>
          </w:rPr>
          <w:t xml:space="preserve">NIH Grant Writing Resources</w:t>
        </w:r>
      </w:hyperlink>
    </w:p>
    <w:bookmarkEnd w:id="529"/>
    <w:bookmarkStart w:id="530"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78"/>
        </w:numPr>
      </w:pPr>
      <w:r>
        <w:t xml:space="preserve">Graduate students are encouraged to gain teaching experience</w:t>
      </w:r>
    </w:p>
    <w:p>
      <w:pPr>
        <w:pStyle w:val="Compact"/>
        <w:numPr>
          <w:ilvl w:val="0"/>
          <w:numId w:val="1178"/>
        </w:numPr>
      </w:pPr>
      <w:r>
        <w:t xml:space="preserve">We support science communication and outreach activities</w:t>
      </w:r>
    </w:p>
    <w:p>
      <w:pPr>
        <w:pStyle w:val="Compact"/>
        <w:numPr>
          <w:ilvl w:val="0"/>
          <w:numId w:val="1178"/>
        </w:numPr>
      </w:pPr>
      <w:r>
        <w:t xml:space="preserve">Discuss opportunities with PIs</w:t>
      </w:r>
    </w:p>
    <w:bookmarkEnd w:id="530"/>
    <w:bookmarkStart w:id="531"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79"/>
        </w:numPr>
      </w:pPr>
      <w:r>
        <w:t xml:space="preserve">Attend seminars and departmental events</w:t>
      </w:r>
    </w:p>
    <w:p>
      <w:pPr>
        <w:pStyle w:val="Compact"/>
        <w:numPr>
          <w:ilvl w:val="0"/>
          <w:numId w:val="1179"/>
        </w:numPr>
      </w:pPr>
      <w:r>
        <w:t xml:space="preserve">Connect with researchers in your field</w:t>
      </w:r>
    </w:p>
    <w:p>
      <w:pPr>
        <w:pStyle w:val="Compact"/>
        <w:numPr>
          <w:ilvl w:val="0"/>
          <w:numId w:val="1179"/>
        </w:numPr>
      </w:pPr>
      <w:r>
        <w:t xml:space="preserve">Join professional societies</w:t>
      </w:r>
    </w:p>
    <w:p>
      <w:pPr>
        <w:pStyle w:val="Compact"/>
        <w:numPr>
          <w:ilvl w:val="0"/>
          <w:numId w:val="1179"/>
        </w:numPr>
      </w:pPr>
      <w:r>
        <w:t xml:space="preserve">Use professional social media platforms to share research and engage with the scientific community</w:t>
      </w:r>
    </w:p>
    <w:p>
      <w:r>
        <w:br w:type="page"/>
      </w:r>
    </w:p>
    <w:bookmarkEnd w:id="531"/>
    <w:bookmarkEnd w:id="532"/>
    <w:bookmarkStart w:id="540"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5">
        <w:r>
          <w:rPr>
            <w:rStyle w:val="Hyperlink"/>
          </w:rPr>
          <w:t xml:space="preserve">original by Jade Benjamin-Chung</w:t>
        </w:r>
      </w:hyperlink>
    </w:p>
    <w:bookmarkStart w:id="533"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0"/>
        </w:numPr>
      </w:pPr>
      <w:r>
        <w:rPr>
          <w:b/>
          <w:bCs/>
        </w:rPr>
        <w:t xml:space="preserve">Planning</w:t>
      </w:r>
      <w:r>
        <w:t xml:space="preserve">: Discuss target journals, outline, and timeline with PIs</w:t>
      </w:r>
    </w:p>
    <w:p>
      <w:pPr>
        <w:pStyle w:val="Compact"/>
        <w:numPr>
          <w:ilvl w:val="0"/>
          <w:numId w:val="1180"/>
        </w:numPr>
      </w:pPr>
      <w:r>
        <w:rPr>
          <w:b/>
          <w:bCs/>
        </w:rPr>
        <w:t xml:space="preserve">Drafting</w:t>
      </w:r>
      <w:r>
        <w:t xml:space="preserve">: Lead author prepares initial draft</w:t>
      </w:r>
    </w:p>
    <w:p>
      <w:pPr>
        <w:pStyle w:val="Compact"/>
        <w:numPr>
          <w:ilvl w:val="0"/>
          <w:numId w:val="1180"/>
        </w:numPr>
      </w:pPr>
      <w:r>
        <w:rPr>
          <w:b/>
          <w:bCs/>
        </w:rPr>
        <w:t xml:space="preserve">Internal review</w:t>
      </w:r>
      <w:r>
        <w:t xml:space="preserve">: Co-authors review and provide feedback</w:t>
      </w:r>
    </w:p>
    <w:p>
      <w:pPr>
        <w:pStyle w:val="Compact"/>
        <w:numPr>
          <w:ilvl w:val="0"/>
          <w:numId w:val="1180"/>
        </w:numPr>
      </w:pPr>
      <w:r>
        <w:rPr>
          <w:b/>
          <w:bCs/>
        </w:rPr>
        <w:t xml:space="preserve">Revision</w:t>
      </w:r>
      <w:r>
        <w:t xml:space="preserve">: Lead author incorporates feedback iteratively</w:t>
      </w:r>
    </w:p>
    <w:p>
      <w:pPr>
        <w:pStyle w:val="Compact"/>
        <w:numPr>
          <w:ilvl w:val="0"/>
          <w:numId w:val="1180"/>
        </w:numPr>
      </w:pPr>
      <w:r>
        <w:rPr>
          <w:b/>
          <w:bCs/>
        </w:rPr>
        <w:t xml:space="preserve">PI approval</w:t>
      </w:r>
      <w:r>
        <w:t xml:space="preserve">: Obtain final approval from PIs before submission</w:t>
      </w:r>
    </w:p>
    <w:p>
      <w:pPr>
        <w:pStyle w:val="Compact"/>
        <w:numPr>
          <w:ilvl w:val="0"/>
          <w:numId w:val="1180"/>
        </w:numPr>
      </w:pPr>
      <w:r>
        <w:rPr>
          <w:b/>
          <w:bCs/>
        </w:rPr>
        <w:t xml:space="preserve">Submission</w:t>
      </w:r>
      <w:r>
        <w:t xml:space="preserve">: Submit to journal</w:t>
      </w:r>
    </w:p>
    <w:p>
      <w:pPr>
        <w:pStyle w:val="Compact"/>
        <w:numPr>
          <w:ilvl w:val="0"/>
          <w:numId w:val="1180"/>
        </w:numPr>
      </w:pPr>
      <w:r>
        <w:rPr>
          <w:b/>
          <w:bCs/>
        </w:rPr>
        <w:t xml:space="preserve">Revisions</w:t>
      </w:r>
      <w:r>
        <w:t xml:space="preserve">: Lead author coordinates response to peer reviewers</w:t>
      </w:r>
    </w:p>
    <w:p>
      <w:pPr>
        <w:pStyle w:val="Compact"/>
        <w:numPr>
          <w:ilvl w:val="0"/>
          <w:numId w:val="1180"/>
        </w:numPr>
      </w:pPr>
      <w:r>
        <w:rPr>
          <w:b/>
          <w:bCs/>
        </w:rPr>
        <w:t xml:space="preserve">Publication</w:t>
      </w:r>
      <w:r>
        <w:t xml:space="preserve">: Celebrate and share!</w:t>
      </w:r>
    </w:p>
    <w:bookmarkEnd w:id="533"/>
    <w:bookmarkStart w:id="536" w:name="preprints-and-open-access"/>
    <w:p>
      <w:pPr>
        <w:pStyle w:val="Heading2"/>
      </w:pPr>
      <w:r>
        <w:t xml:space="preserve">22.2 Preprints and Open Access</w:t>
      </w:r>
    </w:p>
    <w:p>
      <w:pPr>
        <w:pStyle w:val="Compact"/>
        <w:numPr>
          <w:ilvl w:val="0"/>
          <w:numId w:val="1181"/>
        </w:numPr>
      </w:pPr>
      <w:r>
        <w:t xml:space="preserve">We encourage posting preprints prior to or during peer review on platforms like</w:t>
      </w:r>
      <w:r>
        <w:t xml:space="preserve"> </w:t>
      </w:r>
      <w:hyperlink r:id="rId534">
        <w:r>
          <w:rPr>
            <w:rStyle w:val="Hyperlink"/>
          </w:rPr>
          <w:t xml:space="preserve">medRxiv</w:t>
        </w:r>
      </w:hyperlink>
      <w:r>
        <w:t xml:space="preserve"> </w:t>
      </w:r>
      <w:r>
        <w:t xml:space="preserve">or</w:t>
      </w:r>
      <w:r>
        <w:t xml:space="preserve"> </w:t>
      </w:r>
      <w:hyperlink r:id="rId535">
        <w:r>
          <w:rPr>
            <w:rStyle w:val="Hyperlink"/>
          </w:rPr>
          <w:t xml:space="preserve">bioRxiv</w:t>
        </w:r>
      </w:hyperlink>
    </w:p>
    <w:p>
      <w:pPr>
        <w:pStyle w:val="Compact"/>
        <w:numPr>
          <w:ilvl w:val="0"/>
          <w:numId w:val="1181"/>
        </w:numPr>
      </w:pPr>
      <w:r>
        <w:t xml:space="preserve">Preprints allow rapid dissemination of findings and can be cited in grant applications</w:t>
      </w:r>
    </w:p>
    <w:p>
      <w:pPr>
        <w:pStyle w:val="Compact"/>
        <w:numPr>
          <w:ilvl w:val="0"/>
          <w:numId w:val="1181"/>
        </w:numPr>
      </w:pPr>
      <w:r>
        <w:t xml:space="preserve">We support publishing in open access journals when possible to maximize accessibility</w:t>
      </w:r>
    </w:p>
    <w:p>
      <w:pPr>
        <w:pStyle w:val="Compact"/>
        <w:numPr>
          <w:ilvl w:val="0"/>
          <w:numId w:val="118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4">
        <w:r>
          <w:rPr>
            <w:rStyle w:val="Hyperlink"/>
          </w:rPr>
          <w:t xml:space="preserve">medRxiv</w:t>
        </w:r>
      </w:hyperlink>
      <w:r>
        <w:t xml:space="preserve">.</w:t>
      </w:r>
    </w:p>
    <w:bookmarkEnd w:id="536"/>
    <w:bookmarkStart w:id="538"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82"/>
        </w:numPr>
      </w:pPr>
      <w:r>
        <w:t xml:space="preserve">CONSORT for randomized trials</w:t>
      </w:r>
    </w:p>
    <w:p>
      <w:pPr>
        <w:pStyle w:val="Compact"/>
        <w:numPr>
          <w:ilvl w:val="0"/>
          <w:numId w:val="1182"/>
        </w:numPr>
      </w:pPr>
      <w:r>
        <w:t xml:space="preserve">STROBE for observational studies</w:t>
      </w:r>
    </w:p>
    <w:p>
      <w:pPr>
        <w:pStyle w:val="Compact"/>
        <w:numPr>
          <w:ilvl w:val="0"/>
          <w:numId w:val="1182"/>
        </w:numPr>
      </w:pPr>
      <w:r>
        <w:t xml:space="preserve">PRISMA for systematic reviews</w:t>
      </w:r>
    </w:p>
    <w:p>
      <w:pPr>
        <w:pStyle w:val="Compact"/>
        <w:numPr>
          <w:ilvl w:val="0"/>
          <w:numId w:val="1182"/>
        </w:numPr>
      </w:pPr>
      <w:r>
        <w:t xml:space="preserve">Others as appropriate (see</w:t>
      </w:r>
      <w:r>
        <w:t xml:space="preserve"> </w:t>
      </w:r>
      <w:hyperlink r:id="rId537">
        <w:r>
          <w:rPr>
            <w:rStyle w:val="Hyperlink"/>
          </w:rPr>
          <w:t xml:space="preserve">EQUATOR Network</w:t>
        </w:r>
      </w:hyperlink>
      <w:r>
        <w:t xml:space="preserve">)</w:t>
      </w:r>
    </w:p>
    <w:bookmarkEnd w:id="538"/>
    <w:bookmarkStart w:id="539" w:name="manuscript-checklist-1"/>
    <w:p>
      <w:pPr>
        <w:pStyle w:val="Heading2"/>
      </w:pPr>
      <w:r>
        <w:t xml:space="preserve">22.4 Manuscript Checklist</w:t>
      </w:r>
    </w:p>
    <w:p>
      <w:pPr>
        <w:pStyle w:val="FirstParagraph"/>
      </w:pPr>
      <w:r>
        <w:t xml:space="preserve">Before submitting a manuscript:</w:t>
      </w:r>
    </w:p>
    <w:p>
      <w:pPr>
        <w:pStyle w:val="Compact"/>
        <w:numPr>
          <w:ilvl w:val="0"/>
          <w:numId w:val="1183"/>
        </w:numPr>
      </w:pPr>
      <w:r>
        <w:t xml:space="preserve">Completed relevant reporting checklist</w:t>
      </w:r>
    </w:p>
    <w:p>
      <w:pPr>
        <w:pStyle w:val="Compact"/>
        <w:numPr>
          <w:ilvl w:val="0"/>
          <w:numId w:val="1184"/>
        </w:numPr>
      </w:pPr>
      <w:r>
        <w:t xml:space="preserve">Results are reproducible (rerunning code replicates tables/figures exactly)</w:t>
      </w:r>
    </w:p>
    <w:p>
      <w:pPr>
        <w:pStyle w:val="Compact"/>
        <w:numPr>
          <w:ilvl w:val="0"/>
          <w:numId w:val="1185"/>
        </w:numPr>
      </w:pPr>
      <w:r>
        <w:t xml:space="preserve">Target journal selected</w:t>
      </w:r>
    </w:p>
    <w:p>
      <w:pPr>
        <w:pStyle w:val="Compact"/>
        <w:numPr>
          <w:ilvl w:val="0"/>
          <w:numId w:val="1186"/>
        </w:numPr>
      </w:pPr>
      <w:r>
        <w:t xml:space="preserve">Title is declarative and states findings clearly</w:t>
      </w:r>
    </w:p>
    <w:p>
      <w:pPr>
        <w:pStyle w:val="Compact"/>
        <w:numPr>
          <w:ilvl w:val="0"/>
          <w:numId w:val="1187"/>
        </w:numPr>
      </w:pPr>
      <w:r>
        <w:t xml:space="preserve">Word count meets journal requirements</w:t>
      </w:r>
    </w:p>
    <w:p>
      <w:pPr>
        <w:pStyle w:val="Compact"/>
        <w:numPr>
          <w:ilvl w:val="0"/>
          <w:numId w:val="1188"/>
        </w:numPr>
      </w:pPr>
      <w:r>
        <w:t xml:space="preserve">Manuscript follows journal formatting guidelines</w:t>
      </w:r>
    </w:p>
    <w:p>
      <w:pPr>
        <w:pStyle w:val="Compact"/>
        <w:numPr>
          <w:ilvl w:val="0"/>
          <w:numId w:val="1189"/>
        </w:numPr>
      </w:pPr>
      <w:r>
        <w:t xml:space="preserve">Consistent voice throughout (typically active voice)</w:t>
      </w:r>
    </w:p>
    <w:p>
      <w:pPr>
        <w:pStyle w:val="Compact"/>
        <w:numPr>
          <w:ilvl w:val="0"/>
          <w:numId w:val="1190"/>
        </w:numPr>
      </w:pPr>
      <w:r>
        <w:t xml:space="preserve">All figures and tables referenced in main text</w:t>
      </w:r>
    </w:p>
    <w:p>
      <w:pPr>
        <w:pStyle w:val="Compact"/>
        <w:numPr>
          <w:ilvl w:val="0"/>
          <w:numId w:val="1191"/>
        </w:numPr>
      </w:pPr>
      <w:r>
        <w:t xml:space="preserve">Captions for all figures and tables</w:t>
      </w:r>
    </w:p>
    <w:p>
      <w:pPr>
        <w:pStyle w:val="Compact"/>
        <w:numPr>
          <w:ilvl w:val="0"/>
          <w:numId w:val="1192"/>
        </w:numPr>
      </w:pPr>
      <w:r>
        <w:t xml:space="preserve">Tables/figures numbered by order of appearance</w:t>
      </w:r>
    </w:p>
    <w:p>
      <w:pPr>
        <w:pStyle w:val="Compact"/>
        <w:numPr>
          <w:ilvl w:val="0"/>
          <w:numId w:val="1193"/>
        </w:numPr>
      </w:pPr>
      <w:r>
        <w:t xml:space="preserve">Abbreviations defined at first use and used sparingly</w:t>
      </w:r>
    </w:p>
    <w:p>
      <w:pPr>
        <w:pStyle w:val="Compact"/>
        <w:numPr>
          <w:ilvl w:val="0"/>
          <w:numId w:val="119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5"/>
        </w:numPr>
      </w:pPr>
      <w:r>
        <w:t xml:space="preserve">Avoid directionless statements (specify direction of associations)</w:t>
      </w:r>
    </w:p>
    <w:p>
      <w:pPr>
        <w:pStyle w:val="Compact"/>
        <w:numPr>
          <w:ilvl w:val="0"/>
          <w:numId w:val="1196"/>
        </w:numPr>
      </w:pPr>
      <w:r>
        <w:t xml:space="preserve">Causal language only when supported by study design</w:t>
      </w:r>
    </w:p>
    <w:p>
      <w:pPr>
        <w:pStyle w:val="Compact"/>
        <w:numPr>
          <w:ilvl w:val="0"/>
          <w:numId w:val="1197"/>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8"/>
        </w:numPr>
      </w:pPr>
      <w:r>
        <w:t xml:space="preserve">Author contributions drafted using CRediT Taxonomy</w:t>
      </w:r>
    </w:p>
    <w:p>
      <w:r>
        <w:br w:type="page"/>
      </w:r>
    </w:p>
    <w:bookmarkEnd w:id="539"/>
    <w:bookmarkEnd w:id="540"/>
    <w:bookmarkStart w:id="621" w:name="references"/>
    <w:p>
      <w:pPr>
        <w:pStyle w:val="Heading1"/>
      </w:pPr>
      <w:r>
        <w:t xml:space="preserve">References</w:t>
      </w:r>
    </w:p>
    <w:bookmarkStart w:id="620" w:name="refs"/>
    <w:bookmarkStart w:id="542" w:name="ref-space_odyssey"/>
    <w:p>
      <w:pPr>
        <w:pStyle w:val="Bibliography"/>
      </w:pPr>
      <w:r>
        <w:t xml:space="preserve">“2001: A Space Odyssey.”</w:t>
      </w:r>
      <w:r>
        <w:t xml:space="preserve"> </w:t>
      </w:r>
      <w:r>
        <w:t xml:space="preserve">1968. Film.</w:t>
      </w:r>
      <w:r>
        <w:t xml:space="preserve"> </w:t>
      </w:r>
      <w:hyperlink r:id="rId541">
        <w:r>
          <w:rPr>
            <w:rStyle w:val="Hyperlink"/>
          </w:rPr>
          <w:t xml:space="preserve">https://en.wikipedia.org/wiki/2001:_A_Space_Odyssey_(film)</w:t>
        </w:r>
      </w:hyperlink>
      <w:r>
        <w:t xml:space="preserve">.</w:t>
      </w:r>
    </w:p>
    <w:bookmarkEnd w:id="542"/>
    <w:bookmarkStart w:id="54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3">
        <w:r>
          <w:rPr>
            <w:rStyle w:val="Hyperlink"/>
          </w:rPr>
          <w:t xml:space="preserve">https://doi.org/10.1371/journal.pgph.0002269</w:t>
        </w:r>
      </w:hyperlink>
      <w:r>
        <w:t xml:space="preserve">.</w:t>
      </w:r>
    </w:p>
    <w:bookmarkEnd w:id="544"/>
    <w:bookmarkStart w:id="54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5">
        <w:r>
          <w:rPr>
            <w:rStyle w:val="Hyperlink"/>
          </w:rPr>
          <w:t xml:space="preserve">https://search.library.ucdavis.edu/permalink/01UCD_INST/9fle3i/alma990000226350403126</w:t>
        </w:r>
      </w:hyperlink>
      <w:r>
        <w:t xml:space="preserve">.</w:t>
      </w:r>
    </w:p>
    <w:bookmarkEnd w:id="546"/>
    <w:bookmarkStart w:id="54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7">
        <w:r>
          <w:rPr>
            <w:rStyle w:val="Hyperlink"/>
          </w:rPr>
          <w:t xml:space="preserve">https://doi.org/10.1038/d41586-019-01431-z</w:t>
        </w:r>
      </w:hyperlink>
      <w:r>
        <w:t xml:space="preserve">.</w:t>
      </w:r>
    </w:p>
    <w:bookmarkEnd w:id="548"/>
    <w:bookmarkStart w:id="550" w:name="ref-battlestar_galactica_2004"/>
    <w:p>
      <w:pPr>
        <w:pStyle w:val="Bibliography"/>
      </w:pPr>
      <w:r>
        <w:t xml:space="preserve">“Battlestar Galactica.”</w:t>
      </w:r>
      <w:r>
        <w:t xml:space="preserve"> </w:t>
      </w:r>
      <w:r>
        <w:t xml:space="preserve">2004. Television Series.</w:t>
      </w:r>
      <w:r>
        <w:t xml:space="preserve"> </w:t>
      </w:r>
      <w:hyperlink r:id="rId549">
        <w:r>
          <w:rPr>
            <w:rStyle w:val="Hyperlink"/>
          </w:rPr>
          <w:t xml:space="preserve">https://en.wikipedia.org/wiki/Battlestar_Galactica_(2004_TV_series)</w:t>
        </w:r>
      </w:hyperlink>
      <w:r>
        <w:t xml:space="preserve">.</w:t>
      </w:r>
    </w:p>
    <w:bookmarkEnd w:id="550"/>
    <w:bookmarkStart w:id="55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5">
        <w:r>
          <w:rPr>
            <w:rStyle w:val="Hyperlink"/>
          </w:rPr>
          <w:t xml:space="preserve">https://jadebc.github.io/lab-manual/</w:t>
        </w:r>
      </w:hyperlink>
      <w:r>
        <w:t xml:space="preserve">.</w:t>
      </w:r>
    </w:p>
    <w:bookmarkEnd w:id="551"/>
    <w:bookmarkStart w:id="553" w:name="ref-blade_runner"/>
    <w:p>
      <w:pPr>
        <w:pStyle w:val="Bibliography"/>
      </w:pPr>
      <w:r>
        <w:t xml:space="preserve">“Blade Runner.”</w:t>
      </w:r>
      <w:r>
        <w:t xml:space="preserve"> </w:t>
      </w:r>
      <w:r>
        <w:t xml:space="preserve">1982. Film.</w:t>
      </w:r>
      <w:r>
        <w:t xml:space="preserve"> </w:t>
      </w:r>
      <w:hyperlink r:id="rId552">
        <w:r>
          <w:rPr>
            <w:rStyle w:val="Hyperlink"/>
          </w:rPr>
          <w:t xml:space="preserve">https://en.wikipedia.org/wiki/Blade_Runner</w:t>
        </w:r>
      </w:hyperlink>
      <w:r>
        <w:t xml:space="preserve">.</w:t>
      </w:r>
    </w:p>
    <w:bookmarkEnd w:id="553"/>
    <w:bookmarkStart w:id="55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4">
        <w:r>
          <w:rPr>
            <w:rStyle w:val="Hyperlink"/>
          </w:rPr>
          <w:t xml:space="preserve">https://happygitwithr.com/</w:t>
        </w:r>
      </w:hyperlink>
      <w:r>
        <w:t xml:space="preserve">.</w:t>
      </w:r>
    </w:p>
    <w:bookmarkEnd w:id="555"/>
    <w:bookmarkStart w:id="557"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6">
        <w:r>
          <w:rPr>
            <w:rStyle w:val="Hyperlink"/>
          </w:rPr>
          <w:t xml:space="preserve">https://en.wikipedia.org/wiki/Ender%27s_Game</w:t>
        </w:r>
      </w:hyperlink>
      <w:r>
        <w:t xml:space="preserve">.</w:t>
      </w:r>
    </w:p>
    <w:bookmarkEnd w:id="557"/>
    <w:bookmarkStart w:id="5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8">
        <w:r>
          <w:rPr>
            <w:rStyle w:val="Hyperlink"/>
          </w:rPr>
          <w:t xml:space="preserve">https://doi.org/10.1038/s41467-020-19160-7</w:t>
        </w:r>
      </w:hyperlink>
      <w:r>
        <w:t xml:space="preserve">.</w:t>
      </w:r>
    </w:p>
    <w:bookmarkEnd w:id="559"/>
    <w:bookmarkStart w:id="5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0">
        <w:r>
          <w:rPr>
            <w:rStyle w:val="Hyperlink"/>
          </w:rPr>
          <w:t xml:space="preserve">http://creativecommons.org/licenses/by-nc/4.0/</w:t>
        </w:r>
      </w:hyperlink>
      <w:r>
        <w:t xml:space="preserve">.</w:t>
      </w:r>
    </w:p>
    <w:bookmarkEnd w:id="561"/>
    <w:bookmarkStart w:id="563" w:name="ref-credit"/>
    <w:p>
      <w:pPr>
        <w:pStyle w:val="Bibliography"/>
      </w:pPr>
      <w:r>
        <w:t xml:space="preserve">“CRediT: Contributor Roles Taxonomy.”</w:t>
      </w:r>
      <w:r>
        <w:t xml:space="preserve"> </w:t>
      </w:r>
      <w:r>
        <w:t xml:space="preserve">n.d. PLOS ONE.</w:t>
      </w:r>
      <w:r>
        <w:t xml:space="preserve"> </w:t>
      </w:r>
      <w:hyperlink r:id="rId562">
        <w:r>
          <w:rPr>
            <w:rStyle w:val="Hyperlink"/>
          </w:rPr>
          <w:t xml:space="preserve">https://journals.plos.org/plosone/s/authorship</w:t>
        </w:r>
      </w:hyperlink>
      <w:r>
        <w:t xml:space="preserve">.</w:t>
      </w:r>
    </w:p>
    <w:bookmarkEnd w:id="563"/>
    <w:bookmarkStart w:id="565" w:name="ref-dryad"/>
    <w:p>
      <w:pPr>
        <w:pStyle w:val="Bibliography"/>
      </w:pPr>
      <w:r>
        <w:t xml:space="preserve">“Dryad Digital Repository.”</w:t>
      </w:r>
      <w:r>
        <w:t xml:space="preserve"> </w:t>
      </w:r>
      <w:r>
        <w:t xml:space="preserve">n.d. Dryad.</w:t>
      </w:r>
      <w:r>
        <w:t xml:space="preserve"> </w:t>
      </w:r>
      <w:hyperlink r:id="rId564">
        <w:r>
          <w:rPr>
            <w:rStyle w:val="Hyperlink"/>
          </w:rPr>
          <w:t xml:space="preserve">https://datadryad.org/</w:t>
        </w:r>
      </w:hyperlink>
      <w:r>
        <w:t xml:space="preserve">.</w:t>
      </w:r>
    </w:p>
    <w:bookmarkEnd w:id="565"/>
    <w:bookmarkStart w:id="5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7">
        <w:r>
          <w:rPr>
            <w:rStyle w:val="Hyperlink"/>
          </w:rPr>
          <w:t xml:space="preserve">https://www.equator-network.org/</w:t>
        </w:r>
      </w:hyperlink>
      <w:r>
        <w:t xml:space="preserve">.</w:t>
      </w:r>
    </w:p>
    <w:bookmarkEnd w:id="566"/>
    <w:bookmarkStart w:id="5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7">
        <w:r>
          <w:rPr>
            <w:rStyle w:val="Hyperlink"/>
          </w:rPr>
          <w:t xml:space="preserve">https://engineering-shiny.org/</w:t>
        </w:r>
      </w:hyperlink>
      <w:r>
        <w:t xml:space="preserve">.</w:t>
      </w:r>
    </w:p>
    <w:bookmarkEnd w:id="568"/>
    <w:bookmarkStart w:id="570"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9">
        <w:r>
          <w:rPr>
            <w:rStyle w:val="Hyperlink"/>
          </w:rPr>
          <w:t xml:space="preserve">https://www.youtube.com/watch?v=B1BdQcJ2ZYY</w:t>
        </w:r>
      </w:hyperlink>
      <w:r>
        <w:t xml:space="preserve">.</w:t>
      </w:r>
    </w:p>
    <w:bookmarkEnd w:id="570"/>
    <w:bookmarkStart w:id="572" w:name="ref-githubdesktop"/>
    <w:p>
      <w:pPr>
        <w:pStyle w:val="Bibliography"/>
      </w:pPr>
      <w:r>
        <w:t xml:space="preserve">“GitHub Desktop.”</w:t>
      </w:r>
      <w:r>
        <w:t xml:space="preserve"> </w:t>
      </w:r>
      <w:r>
        <w:t xml:space="preserve">n.d. GitHub.</w:t>
      </w:r>
      <w:r>
        <w:t xml:space="preserve"> </w:t>
      </w:r>
      <w:hyperlink r:id="rId571">
        <w:r>
          <w:rPr>
            <w:rStyle w:val="Hyperlink"/>
          </w:rPr>
          <w:t xml:space="preserve">https://desktop.github.com/</w:t>
        </w:r>
      </w:hyperlink>
      <w:r>
        <w:t xml:space="preserve">.</w:t>
      </w:r>
    </w:p>
    <w:bookmarkEnd w:id="572"/>
    <w:bookmarkStart w:id="574" w:name="ref-dune"/>
    <w:p>
      <w:pPr>
        <w:pStyle w:val="Bibliography"/>
      </w:pPr>
      <w:r>
        <w:t xml:space="preserve">Herbert, Frank. 1965.</w:t>
      </w:r>
      <w:r>
        <w:t xml:space="preserve"> </w:t>
      </w:r>
      <w:r>
        <w:t xml:space="preserve">“Dune.”</w:t>
      </w:r>
      <w:r>
        <w:t xml:space="preserve"> </w:t>
      </w:r>
      <w:r>
        <w:t xml:space="preserve">Novel.</w:t>
      </w:r>
      <w:r>
        <w:t xml:space="preserve"> </w:t>
      </w:r>
      <w:hyperlink r:id="rId573">
        <w:r>
          <w:rPr>
            <w:rStyle w:val="Hyperlink"/>
          </w:rPr>
          <w:t xml:space="preserve">https://en.wikipedia.org/wiki/Organizations_of_the_Dune_universe#Thinking_machines</w:t>
        </w:r>
      </w:hyperlink>
      <w:r>
        <w:t xml:space="preserve">.</w:t>
      </w:r>
    </w:p>
    <w:bookmarkEnd w:id="574"/>
    <w:bookmarkStart w:id="576" w:name="ref-plos_data"/>
    <w:p>
      <w:pPr>
        <w:pStyle w:val="Bibliography"/>
      </w:pPr>
      <w:r>
        <w:t xml:space="preserve">“How to Store and Manage Your Data.”</w:t>
      </w:r>
      <w:r>
        <w:t xml:space="preserve"> </w:t>
      </w:r>
      <w:r>
        <w:t xml:space="preserve">n.d. PLOS.</w:t>
      </w:r>
      <w:r>
        <w:t xml:space="preserve"> </w:t>
      </w:r>
      <w:hyperlink r:id="rId575">
        <w:r>
          <w:rPr>
            <w:rStyle w:val="Hyperlink"/>
          </w:rPr>
          <w:t xml:space="preserve">https://plos.org/resource/how-to-store-and-manage-your-data/</w:t>
        </w:r>
      </w:hyperlink>
      <w:r>
        <w:t xml:space="preserve">.</w:t>
      </w:r>
    </w:p>
    <w:bookmarkEnd w:id="576"/>
    <w:bookmarkStart w:id="5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7"/>
    <w:bookmarkStart w:id="578" w:name="ref-medRxiv"/>
    <w:p>
      <w:pPr>
        <w:pStyle w:val="Bibliography"/>
      </w:pPr>
      <w:r>
        <w:t xml:space="preserve">“medRxiv: The Preprint Server for Health Sciences.”</w:t>
      </w:r>
      <w:r>
        <w:t xml:space="preserve"> </w:t>
      </w:r>
      <w:r>
        <w:t xml:space="preserve">n.d. Cold Spring Harbor Laboratory.</w:t>
      </w:r>
      <w:r>
        <w:t xml:space="preserve"> </w:t>
      </w:r>
      <w:hyperlink r:id="rId534">
        <w:r>
          <w:rPr>
            <w:rStyle w:val="Hyperlink"/>
          </w:rPr>
          <w:t xml:space="preserve">https://www.medrxiv.org/</w:t>
        </w:r>
      </w:hyperlink>
      <w:r>
        <w:t xml:space="preserve">.</w:t>
      </w:r>
    </w:p>
    <w:bookmarkEnd w:id="578"/>
    <w:bookmarkStart w:id="58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9">
        <w:r>
          <w:rPr>
            <w:rStyle w:val="Hyperlink"/>
          </w:rPr>
          <w:t xml:space="preserve">https://doi.org/10.1038/467775a</w:t>
        </w:r>
      </w:hyperlink>
      <w:r>
        <w:t xml:space="preserve">.</w:t>
      </w:r>
    </w:p>
    <w:bookmarkEnd w:id="580"/>
    <w:bookmarkStart w:id="58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1">
        <w:r>
          <w:rPr>
            <w:rStyle w:val="Hyperlink"/>
          </w:rPr>
          <w:t xml:space="preserve">https://doi.org/10.1038/s41562-016-0021</w:t>
        </w:r>
      </w:hyperlink>
      <w:r>
        <w:t xml:space="preserve">.</w:t>
      </w:r>
    </w:p>
    <w:bookmarkEnd w:id="582"/>
    <w:bookmarkStart w:id="58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3">
        <w:r>
          <w:rPr>
            <w:rStyle w:val="Hyperlink"/>
          </w:rPr>
          <w:t xml:space="preserve">https://doi.org/10.1038/526182a</w:t>
        </w:r>
      </w:hyperlink>
      <w:r>
        <w:t xml:space="preserve">.</w:t>
      </w:r>
    </w:p>
    <w:bookmarkEnd w:id="584"/>
    <w:bookmarkStart w:id="586" w:name="ref-osf"/>
    <w:p>
      <w:pPr>
        <w:pStyle w:val="Bibliography"/>
      </w:pPr>
      <w:r>
        <w:t xml:space="preserve">“Open Science Framework.”</w:t>
      </w:r>
      <w:r>
        <w:t xml:space="preserve"> </w:t>
      </w:r>
      <w:r>
        <w:t xml:space="preserve">n.d. Center for Open Science.</w:t>
      </w:r>
      <w:r>
        <w:t xml:space="preserve"> </w:t>
      </w:r>
      <w:hyperlink r:id="rId585">
        <w:r>
          <w:rPr>
            <w:rStyle w:val="Hyperlink"/>
          </w:rPr>
          <w:t xml:space="preserve">https://osf.io/</w:t>
        </w:r>
      </w:hyperlink>
      <w:r>
        <w:t xml:space="preserve">.</w:t>
      </w:r>
    </w:p>
    <w:bookmarkEnd w:id="586"/>
    <w:bookmarkStart w:id="588" w:name="ref-gitfixum"/>
    <w:p>
      <w:pPr>
        <w:pStyle w:val="Bibliography"/>
      </w:pPr>
      <w:r>
        <w:t xml:space="preserve">Robertson, Seth. n.d.</w:t>
      </w:r>
      <w:r>
        <w:t xml:space="preserve"> </w:t>
      </w:r>
      <w:r>
        <w:t xml:space="preserve">“On Undoing, Fixing, or Removing Commits in Git.”</w:t>
      </w:r>
      <w:r>
        <w:t xml:space="preserve"> </w:t>
      </w:r>
      <w:hyperlink r:id="rId587">
        <w:r>
          <w:rPr>
            <w:rStyle w:val="Hyperlink"/>
          </w:rPr>
          <w:t xml:space="preserve">https://sethrobertson.github.io/GitFixUm/fixup.html</w:t>
        </w:r>
      </w:hyperlink>
      <w:r>
        <w:t xml:space="preserve">.</w:t>
      </w:r>
    </w:p>
    <w:bookmarkEnd w:id="588"/>
    <w:bookmarkStart w:id="59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9">
        <w:r>
          <w:rPr>
            <w:rStyle w:val="Hyperlink"/>
          </w:rPr>
          <w:t xml:space="preserve">https://doi.org/10.1371/journal.pcbi.1003833</w:t>
        </w:r>
      </w:hyperlink>
      <w:r>
        <w:t xml:space="preserve">.</w:t>
      </w:r>
    </w:p>
    <w:bookmarkEnd w:id="590"/>
    <w:bookmarkStart w:id="59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1">
        <w:r>
          <w:rPr>
            <w:rStyle w:val="Hyperlink"/>
          </w:rPr>
          <w:t xml:space="preserve">https://doi.org/10.1038/d41586-019-02918-5</w:t>
        </w:r>
      </w:hyperlink>
      <w:r>
        <w:t xml:space="preserve">.</w:t>
      </w:r>
    </w:p>
    <w:bookmarkEnd w:id="592"/>
    <w:bookmarkStart w:id="594" w:name="ref-slurm"/>
    <w:p>
      <w:pPr>
        <w:pStyle w:val="Bibliography"/>
      </w:pPr>
      <w:r>
        <w:t xml:space="preserve">“Slurm Workload Manager: Sbatch Documentation.”</w:t>
      </w:r>
      <w:r>
        <w:t xml:space="preserve"> </w:t>
      </w:r>
      <w:r>
        <w:t xml:space="preserve">n.d. SchedMD.</w:t>
      </w:r>
      <w:r>
        <w:t xml:space="preserve"> </w:t>
      </w:r>
      <w:hyperlink r:id="rId593">
        <w:r>
          <w:rPr>
            <w:rStyle w:val="Hyperlink"/>
          </w:rPr>
          <w:t xml:space="preserve">https://slurm.schedmd.com/sbatch.html</w:t>
        </w:r>
      </w:hyperlink>
      <w:r>
        <w:t xml:space="preserve">.</w:t>
      </w:r>
    </w:p>
    <w:bookmarkEnd w:id="594"/>
    <w:bookmarkStart w:id="59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5">
        <w:r>
          <w:rPr>
            <w:rStyle w:val="Hyperlink"/>
          </w:rPr>
          <w:t xml:space="preserve">https://doi.org/10.1038/d41586-019-00067-3</w:t>
        </w:r>
      </w:hyperlink>
      <w:r>
        <w:t xml:space="preserve">.</w:t>
      </w:r>
    </w:p>
    <w:bookmarkEnd w:id="596"/>
    <w:bookmarkStart w:id="598" w:name="ref-terminator"/>
    <w:p>
      <w:pPr>
        <w:pStyle w:val="Bibliography"/>
      </w:pPr>
      <w:r>
        <w:t xml:space="preserve">“Terminator 3: Rise of the Machines.”</w:t>
      </w:r>
      <w:r>
        <w:t xml:space="preserve"> </w:t>
      </w:r>
      <w:r>
        <w:t xml:space="preserve">2003. Film.</w:t>
      </w:r>
      <w:r>
        <w:t xml:space="preserve"> </w:t>
      </w:r>
      <w:hyperlink r:id="rId597">
        <w:r>
          <w:rPr>
            <w:rStyle w:val="Hyperlink"/>
          </w:rPr>
          <w:t xml:space="preserve">https://en.wikipedia.org/wiki/Terminator_3:_Rise_of_the_Machines</w:t>
        </w:r>
      </w:hyperlink>
      <w:r>
        <w:t xml:space="preserve">.</w:t>
      </w:r>
    </w:p>
    <w:bookmarkEnd w:id="598"/>
    <w:bookmarkStart w:id="600" w:name="ref-matrix"/>
    <w:p>
      <w:pPr>
        <w:pStyle w:val="Bibliography"/>
      </w:pPr>
      <w:r>
        <w:t xml:space="preserve">“The Matrix.”</w:t>
      </w:r>
      <w:r>
        <w:t xml:space="preserve"> </w:t>
      </w:r>
      <w:r>
        <w:t xml:space="preserve">1999. Film.</w:t>
      </w:r>
      <w:r>
        <w:t xml:space="preserve"> </w:t>
      </w:r>
      <w:hyperlink r:id="rId599">
        <w:r>
          <w:rPr>
            <w:rStyle w:val="Hyperlink"/>
          </w:rPr>
          <w:t xml:space="preserve">https://en.wikipedia.org/wiki/The_Matrix</w:t>
        </w:r>
      </w:hyperlink>
      <w:r>
        <w:t xml:space="preserve">.</w:t>
      </w:r>
    </w:p>
    <w:bookmarkEnd w:id="600"/>
    <w:bookmarkStart w:id="60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1">
        <w:r>
          <w:rPr>
            <w:rStyle w:val="Hyperlink"/>
          </w:rPr>
          <w:t xml:space="preserve">https://code-review.tidyverse.org/</w:t>
        </w:r>
      </w:hyperlink>
      <w:r>
        <w:t xml:space="preserve">.</w:t>
      </w:r>
    </w:p>
    <w:bookmarkEnd w:id="602"/>
    <w:bookmarkStart w:id="60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3">
        <w:r>
          <w:rPr>
            <w:rStyle w:val="Hyperlink"/>
          </w:rPr>
          <w:t xml:space="preserve">https://doi.org/10.1038/d41586-021-03603-2</w:t>
        </w:r>
      </w:hyperlink>
      <w:r>
        <w:t xml:space="preserve">.</w:t>
      </w:r>
    </w:p>
    <w:bookmarkEnd w:id="604"/>
    <w:bookmarkStart w:id="606" w:name="ref-wargames"/>
    <w:p>
      <w:pPr>
        <w:pStyle w:val="Bibliography"/>
      </w:pPr>
      <w:r>
        <w:t xml:space="preserve">“WarGames.”</w:t>
      </w:r>
      <w:r>
        <w:t xml:space="preserve"> </w:t>
      </w:r>
      <w:r>
        <w:t xml:space="preserve">1983. Film.</w:t>
      </w:r>
      <w:r>
        <w:t xml:space="preserve"> </w:t>
      </w:r>
      <w:hyperlink r:id="rId605">
        <w:r>
          <w:rPr>
            <w:rStyle w:val="Hyperlink"/>
          </w:rPr>
          <w:t xml:space="preserve">https://en.wikipedia.org/wiki/WarGames</w:t>
        </w:r>
      </w:hyperlink>
      <w:r>
        <w:t xml:space="preserve">.</w:t>
      </w:r>
    </w:p>
    <w:bookmarkEnd w:id="606"/>
    <w:bookmarkStart w:id="60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7">
        <w:r>
          <w:rPr>
            <w:rStyle w:val="Hyperlink"/>
          </w:rPr>
          <w:t xml:space="preserve">https://adv-r.hadley.nz/</w:t>
        </w:r>
      </w:hyperlink>
      <w:r>
        <w:t xml:space="preserve">.</w:t>
      </w:r>
    </w:p>
    <w:bookmarkEnd w:id="608"/>
    <w:bookmarkStart w:id="610" w:name="ref-wickham2021shiny"/>
    <w:p>
      <w:pPr>
        <w:pStyle w:val="Bibliography"/>
      </w:pPr>
      <w:r>
        <w:t xml:space="preserve">———. 2021.</w:t>
      </w:r>
      <w:r>
        <w:t xml:space="preserve"> </w:t>
      </w:r>
      <w:r>
        <w:rPr>
          <w:i/>
          <w:iCs/>
        </w:rPr>
        <w:t xml:space="preserve">Mastering Shiny</w:t>
      </w:r>
      <w:r>
        <w:t xml:space="preserve">. O’Reilly Media.</w:t>
      </w:r>
      <w:r>
        <w:t xml:space="preserve"> </w:t>
      </w:r>
      <w:hyperlink r:id="rId609">
        <w:r>
          <w:rPr>
            <w:rStyle w:val="Hyperlink"/>
          </w:rPr>
          <w:t xml:space="preserve">https://mastering-shiny.org/</w:t>
        </w:r>
      </w:hyperlink>
      <w:r>
        <w:t xml:space="preserve">.</w:t>
      </w:r>
    </w:p>
    <w:bookmarkEnd w:id="610"/>
    <w:bookmarkStart w:id="612" w:name="ref-wickham2023tidyverse"/>
    <w:p>
      <w:pPr>
        <w:pStyle w:val="Bibliography"/>
      </w:pPr>
      <w:r>
        <w:t xml:space="preserve">———. 2023a.</w:t>
      </w:r>
      <w:r>
        <w:t xml:space="preserve"> </w:t>
      </w:r>
      <w:r>
        <w:rPr>
          <w:i/>
          <w:iCs/>
        </w:rPr>
        <w:t xml:space="preserve">The Tidyverse Style Guide</w:t>
      </w:r>
      <w:r>
        <w:t xml:space="preserve">.</w:t>
      </w:r>
      <w:r>
        <w:t xml:space="preserve"> </w:t>
      </w:r>
      <w:hyperlink r:id="rId611">
        <w:r>
          <w:rPr>
            <w:rStyle w:val="Hyperlink"/>
          </w:rPr>
          <w:t xml:space="preserve">https://style.tidyverse.org/</w:t>
        </w:r>
      </w:hyperlink>
      <w:r>
        <w:t xml:space="preserve">.</w:t>
      </w:r>
    </w:p>
    <w:bookmarkEnd w:id="612"/>
    <w:bookmarkStart w:id="614" w:name="ref-wickham2023tidydesign"/>
    <w:p>
      <w:pPr>
        <w:pStyle w:val="Bibliography"/>
      </w:pPr>
      <w:r>
        <w:t xml:space="preserve">———. 2023b.</w:t>
      </w:r>
      <w:r>
        <w:t xml:space="preserve"> </w:t>
      </w:r>
      <w:r>
        <w:rPr>
          <w:i/>
          <w:iCs/>
        </w:rPr>
        <w:t xml:space="preserve">Tidyverse Design Guide</w:t>
      </w:r>
      <w:r>
        <w:t xml:space="preserve">.</w:t>
      </w:r>
      <w:r>
        <w:t xml:space="preserve"> </w:t>
      </w:r>
      <w:hyperlink r:id="rId613">
        <w:r>
          <w:rPr>
            <w:rStyle w:val="Hyperlink"/>
          </w:rPr>
          <w:t xml:space="preserve">https://design.tidyverse.org/</w:t>
        </w:r>
      </w:hyperlink>
      <w:r>
        <w:t xml:space="preserve">.</w:t>
      </w:r>
    </w:p>
    <w:bookmarkEnd w:id="614"/>
    <w:bookmarkStart w:id="61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5">
        <w:r>
          <w:rPr>
            <w:rStyle w:val="Hyperlink"/>
          </w:rPr>
          <w:t xml:space="preserve">https://r-pkgs.org/</w:t>
        </w:r>
      </w:hyperlink>
      <w:r>
        <w:t xml:space="preserve">.</w:t>
      </w:r>
    </w:p>
    <w:bookmarkEnd w:id="616"/>
    <w:bookmarkStart w:id="61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7">
        <w:r>
          <w:rPr>
            <w:rStyle w:val="Hyperlink"/>
          </w:rPr>
          <w:t xml:space="preserve">https://r4ds.hadley.nz/</w:t>
        </w:r>
      </w:hyperlink>
      <w:r>
        <w:t xml:space="preserve">.</w:t>
      </w:r>
    </w:p>
    <w:bookmarkEnd w:id="618"/>
    <w:bookmarkStart w:id="61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9"/>
    <w:bookmarkEnd w:id="620"/>
    <w:bookmarkEnd w:id="6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4" Target="media/rId424.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18" Target="media/rId418.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91" Target="http://adv-r.had.co.nz/Style.html" TargetMode="External" /><Relationship Type="http://schemas.openxmlformats.org/officeDocument/2006/relationships/hyperlink" Id="rId523" Target="http://colorbrewer2.org/" TargetMode="External" /><Relationship Type="http://schemas.openxmlformats.org/officeDocument/2006/relationships/hyperlink" Id="rId560" Target="http://creativecommons.org/licenses/by-nc/4.0/" TargetMode="External" /><Relationship Type="http://schemas.openxmlformats.org/officeDocument/2006/relationships/hyperlink" Id="rId221" Target="http://r-pkgs.had.co.nz/style.html"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79"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7" Target="https://adv-r.hadley.nz/"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1" Target="https://code-review.tidyverse.org/" TargetMode="External" /><Relationship Type="http://schemas.openxmlformats.org/officeDocument/2006/relationships/hyperlink" Id="rId450" Target="https://cran.r-project.org/package=assertthat"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4" Target="https://datadryad.org/" TargetMode="External" /><Relationship Type="http://schemas.openxmlformats.org/officeDocument/2006/relationships/hyperlink" Id="rId613" Target="https://design.tidyverse.org/" TargetMode="External" /><Relationship Type="http://schemas.openxmlformats.org/officeDocument/2006/relationships/hyperlink" Id="rId571"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35" Target="https://docs.github.com/en/copilot/how-tos/use-copilot-agents/coding-agent/customize-the-agent-environment#preinstalling-tools-or-dependencies-in-copilots-environment" TargetMode="External" /><Relationship Type="http://schemas.openxmlformats.org/officeDocument/2006/relationships/hyperlink" Id="rId430" Target="https://docs.github.com/en/copilot/how-tos/use-copilot-agents/coding-agent/customize-the-agent-firewall" TargetMode="External" /><Relationship Type="http://schemas.openxmlformats.org/officeDocument/2006/relationships/hyperlink" Id="rId428"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506" Target="https://docs.google.com/document/d/1ckgRCcr7FFPyymyMA6Y_-cB_vftOyrrxT28c6gRg0PI/edit" TargetMode="External" /><Relationship Type="http://schemas.openxmlformats.org/officeDocument/2006/relationships/hyperlink" Id="rId448" Target="https://docs.ropensci.org/targets/" TargetMode="External" /><Relationship Type="http://schemas.openxmlformats.org/officeDocument/2006/relationships/hyperlink" Id="rId579" Target="https://doi.org/10.1038/467775a" TargetMode="External" /><Relationship Type="http://schemas.openxmlformats.org/officeDocument/2006/relationships/hyperlink" Id="rId583" Target="https://doi.org/10.1038/526182a" TargetMode="External" /><Relationship Type="http://schemas.openxmlformats.org/officeDocument/2006/relationships/hyperlink" Id="rId595" Target="https://doi.org/10.1038/d41586-019-00067-3" TargetMode="External" /><Relationship Type="http://schemas.openxmlformats.org/officeDocument/2006/relationships/hyperlink" Id="rId547" Target="https://doi.org/10.1038/d41586-019-01431-z" TargetMode="External" /><Relationship Type="http://schemas.openxmlformats.org/officeDocument/2006/relationships/hyperlink" Id="rId591" Target="https://doi.org/10.1038/d41586-019-02918-5" TargetMode="External" /><Relationship Type="http://schemas.openxmlformats.org/officeDocument/2006/relationships/hyperlink" Id="rId603" Target="https://doi.org/10.1038/d41586-021-03603-2" TargetMode="External" /><Relationship Type="http://schemas.openxmlformats.org/officeDocument/2006/relationships/hyperlink" Id="rId558" Target="https://doi.org/10.1038/s41467-020-19160-7" TargetMode="External" /><Relationship Type="http://schemas.openxmlformats.org/officeDocument/2006/relationships/hyperlink" Id="rId581" Target="https://doi.org/10.1038/s41562-016-0021" TargetMode="External" /><Relationship Type="http://schemas.openxmlformats.org/officeDocument/2006/relationships/hyperlink" Id="rId589" Target="https://doi.org/10.1371/journal.pcbi.1003833" TargetMode="External" /><Relationship Type="http://schemas.openxmlformats.org/officeDocument/2006/relationships/hyperlink" Id="rId543"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51" Target="https://dplyr.tidyverse.org/articles/programming.html" TargetMode="External" /><Relationship Type="http://schemas.openxmlformats.org/officeDocument/2006/relationships/hyperlink" Id="rId541"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1" Target="https://en.wikipedia.org/wiki/Agent_(The_Matrix)" TargetMode="External" /><Relationship Type="http://schemas.openxmlformats.org/officeDocument/2006/relationships/hyperlink" Id="rId549" Target="https://en.wikipedia.org/wiki/Battlestar_Galactica_(2004_TV_series)" TargetMode="External" /><Relationship Type="http://schemas.openxmlformats.org/officeDocument/2006/relationships/hyperlink" Id="rId552" Target="https://en.wikipedia.org/wiki/Blade_Runner" TargetMode="External" /><Relationship Type="http://schemas.openxmlformats.org/officeDocument/2006/relationships/hyperlink" Id="rId556" Target="https://en.wikipedia.org/wiki/Ender%27s_Game" TargetMode="External" /><Relationship Type="http://schemas.openxmlformats.org/officeDocument/2006/relationships/hyperlink" Id="rId573" Target="https://en.wikipedia.org/wiki/Organizations_of_the_Dune_universe#Thinking_machines" TargetMode="External" /><Relationship Type="http://schemas.openxmlformats.org/officeDocument/2006/relationships/hyperlink" Id="rId597" Target="https://en.wikipedia.org/wiki/Terminator_3:_Rise_of_the_Machines" TargetMode="External" /><Relationship Type="http://schemas.openxmlformats.org/officeDocument/2006/relationships/hyperlink" Id="rId599"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5" Target="https://en.wikipedia.org/wiki/WarGames" TargetMode="External" /><Relationship Type="http://schemas.openxmlformats.org/officeDocument/2006/relationships/hyperlink" Id="rId567" Target="https://engineering-shiny.org/" TargetMode="External" /><Relationship Type="http://schemas.openxmlformats.org/officeDocument/2006/relationships/hyperlink" Id="rId446" Target="https://forcats.tidyverse.org/" TargetMode="External" /><Relationship Type="http://schemas.openxmlformats.org/officeDocument/2006/relationships/hyperlink" Id="rId440" Target="https://ggplot2.tidyverse.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34"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528" Target="https://grants.nih.gov" TargetMode="External" /><Relationship Type="http://schemas.openxmlformats.org/officeDocument/2006/relationships/hyperlink" Id="rId527" Target="https://grantwriting.stanford.edu/funding-train/" TargetMode="External" /><Relationship Type="http://schemas.openxmlformats.org/officeDocument/2006/relationships/hyperlink" Id="rId508" Target="https://grantwriting.stanford.edu/funding-train/#ep" TargetMode="External" /><Relationship Type="http://schemas.openxmlformats.org/officeDocument/2006/relationships/hyperlink" Id="rId554"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515" Target="https://jadebc.github.io/lab-manual/" TargetMode="External" /><Relationship Type="http://schemas.openxmlformats.org/officeDocument/2006/relationships/hyperlink" Id="rId234" Target="https://jadebc.github.io/lab-manual/big-data.html" TargetMode="External" /><Relationship Type="http://schemas.openxmlformats.org/officeDocument/2006/relationships/hyperlink" Id="rId473"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83"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477" Target="https://journals.lww.com/epidem/Fulltext/2001/05000/The_Value_of_P.2.aspx" TargetMode="External" /><Relationship Type="http://schemas.openxmlformats.org/officeDocument/2006/relationships/hyperlink" Id="rId525" Target="https://journals.plos.org/ploscompbiol/article?id=10.1371/journal.pcbi.1003833" TargetMode="External" /><Relationship Type="http://schemas.openxmlformats.org/officeDocument/2006/relationships/hyperlink" Id="rId562" Target="https://journals.plos.org/plosone/s/authorship" TargetMode="External" /><Relationship Type="http://schemas.openxmlformats.org/officeDocument/2006/relationships/hyperlink" Id="rId39" Target="https://kb.ucdavis.edu/?id=6485" TargetMode="External" /><Relationship Type="http://schemas.openxmlformats.org/officeDocument/2006/relationships/hyperlink" Id="rId496" Target="https://lab.github.com/githubtraining/introduction-to-github" TargetMode="External" /><Relationship Type="http://schemas.openxmlformats.org/officeDocument/2006/relationships/hyperlink" Id="rId499" Target="https://link.springer.com/book/10.1007/978-3-030-98175-4" TargetMode="External" /><Relationship Type="http://schemas.openxmlformats.org/officeDocument/2006/relationships/hyperlink" Id="rId512"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9" Target="https://mastering-shiny.org/" TargetMode="External" /><Relationship Type="http://schemas.openxmlformats.org/officeDocument/2006/relationships/hyperlink" Id="rId524" Target="https://medialab.github.io/iwanthue/" TargetMode="External" /><Relationship Type="http://schemas.openxmlformats.org/officeDocument/2006/relationships/hyperlink" Id="rId480"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504" Target="https://mitcommlab.mit.edu/be/2023/09/27/toward-an-evenbetterposter-improving-the-betterposter-template/" TargetMode="External" /><Relationship Type="http://schemas.openxmlformats.org/officeDocument/2006/relationships/hyperlink" Id="rId517" Target="https://myidp.sciencecareers.org/" TargetMode="External" /><Relationship Type="http://schemas.openxmlformats.org/officeDocument/2006/relationships/hyperlink" Id="rId585"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5"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443" Target="https://purrr.tidyverse.org/"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5" Target="https://r-pkgs.org/" TargetMode="External" /><Relationship Type="http://schemas.openxmlformats.org/officeDocument/2006/relationships/hyperlink" Id="rId617"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449" Target="https://rdatatable.gitlab.io/data.table/" TargetMode="External" /><Relationship Type="http://schemas.openxmlformats.org/officeDocument/2006/relationships/hyperlink" Id="rId442" Target="https://readr.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whats-doi-and-what-should-i-know-about-citing-datasets" TargetMode="External" /><Relationship Type="http://schemas.openxmlformats.org/officeDocument/2006/relationships/hyperlink" Id="rId110" Target="https://roxygen2.r-lib.org/" TargetMode="External" /><Relationship Type="http://schemas.openxmlformats.org/officeDocument/2006/relationships/hyperlink" Id="rId447" Target="https://rstudio.github.io/renv/"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88" Target="https://s3.amazonaws.com/assets.datacamp.com/blog_assets/datatable_Cheat_Sheet_R.pdf" TargetMode="External" /><Relationship Type="http://schemas.openxmlformats.org/officeDocument/2006/relationships/hyperlink" Id="rId545" Target="https://search.library.ucdavis.edu/permalink/01UCD_INST/9fle3i/alma990000226350403126" TargetMode="External" /><Relationship Type="http://schemas.openxmlformats.org/officeDocument/2006/relationships/hyperlink" Id="rId587" Target="https://sethrobertson.github.io/GitFixUm/fixup.html" TargetMode="External" /><Relationship Type="http://schemas.openxmlformats.org/officeDocument/2006/relationships/hyperlink" Id="rId593"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0" Target="https://stackoverflow.com/questions/28125816/r-standard-evaluation-for-join-dplyr" TargetMode="External" /><Relationship Type="http://schemas.openxmlformats.org/officeDocument/2006/relationships/hyperlink" Id="rId445" Target="https://stringr.tidyverse.org/" TargetMode="External" /><Relationship Type="http://schemas.openxmlformats.org/officeDocument/2006/relationships/hyperlink" Id="rId61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444" Target="https://tibble.tidyverse.org/" TargetMode="External" /><Relationship Type="http://schemas.openxmlformats.org/officeDocument/2006/relationships/hyperlink" Id="rId148" Target="https://tidyeval.tidyverse.org/index.html" TargetMode="External" /><Relationship Type="http://schemas.openxmlformats.org/officeDocument/2006/relationships/hyperlink" Id="rId441" Target="https://tidyr.tidyverse.org/" TargetMode="External" /><Relationship Type="http://schemas.openxmlformats.org/officeDocument/2006/relationships/hyperlink" Id="rId484"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75"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35" Target="https://www.biorxiv.org/" TargetMode="External" /><Relationship Type="http://schemas.openxmlformats.org/officeDocument/2006/relationships/hyperlink" Id="rId149"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495" Target="https://www.datacamp.com/courses/introduction-to-git-for-data-science" TargetMode="External" /><Relationship Type="http://schemas.openxmlformats.org/officeDocument/2006/relationships/hyperlink" Id="rId537" Target="https://www.equator-network.org/" TargetMode="External" /><Relationship Type="http://schemas.openxmlformats.org/officeDocument/2006/relationships/hyperlink" Id="rId511" Target="https://www.globalcodeofconduct.org/wp-content/uploads/2018/05/Global-Code-of-Conduct-Brochure.pdf"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34" Target="https://www.medrxiv.org/" TargetMode="External" /><Relationship Type="http://schemas.openxmlformats.org/officeDocument/2006/relationships/hyperlink" Id="rId520" Target="https://www.nature.com/articles/d41586-021-03603-2" TargetMode="External" /><Relationship Type="http://schemas.openxmlformats.org/officeDocument/2006/relationships/hyperlink" Id="rId509"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86" Target="https://www.rstudio.com/wp-content/uploads/2015/02/data-wrangling-cheatsheet.pdf" TargetMode="External" /><Relationship Type="http://schemas.openxmlformats.org/officeDocument/2006/relationships/hyperlink" Id="rId489" Target="https://www.rstudio.com/wp-content/uploads/2015/02/rmarkdown-cheatsheet.pdf" TargetMode="External" /><Relationship Type="http://schemas.openxmlformats.org/officeDocument/2006/relationships/hyperlink" Id="rId487" Target="https://www.rstudio.com/wp-content/uploads/2015/03/ggplot2-cheatsheet.pdf" TargetMode="External" /><Relationship Type="http://schemas.openxmlformats.org/officeDocument/2006/relationships/hyperlink" Id="rId502" Target="https://www.sciencedirect.com/science/article/pii/S1471491423000928" TargetMode="External" /><Relationship Type="http://schemas.openxmlformats.org/officeDocument/2006/relationships/hyperlink" Id="rId207" Target="https://www.tidyverse.org/articles/2017/12/styler-1.0.0/" TargetMode="External" /><Relationship Type="http://schemas.openxmlformats.org/officeDocument/2006/relationships/hyperlink" Id="rId316" Target="https://www.tidyverse.org/articles/2017/12/workflow-vs-script/" TargetMode="External" /><Relationship Type="http://schemas.openxmlformats.org/officeDocument/2006/relationships/hyperlink" Id="rId518" Target="https://www.training.nih.gov/career_resources" TargetMode="External" /><Relationship Type="http://schemas.openxmlformats.org/officeDocument/2006/relationships/hyperlink" Id="rId521" Target="https://www.youtube.com/watch?v=1RwJbhkCA58" TargetMode="External" /><Relationship Type="http://schemas.openxmlformats.org/officeDocument/2006/relationships/hyperlink" Id="rId503" Target="https://www.youtube.com/watch?v=1RwJbhkCA58&amp;t=1171s" TargetMode="External" /><Relationship Type="http://schemas.openxmlformats.org/officeDocument/2006/relationships/hyperlink" Id="rId569"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500"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2026-01-12T18:28:29Z</dcterms:created>
  <dcterms:modified xsi:type="dcterms:W3CDTF">2026-01-12T18:28:29Z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