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90.png" ContentType="image/png"/>
  <Override PartName="/word/media/rId254.png" ContentType="image/png"/>
  <Override PartName="/word/media/rId287.jpg" ContentType="image/jpeg"/>
  <Override PartName="/word/media/rId293.png" ContentType="image/png"/>
  <Override PartName="/word/media/rId4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p>
      <w:r>
        <w:br w:type="page"/>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p>
      <w:r>
        <w:br w:type="page"/>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p>
      <w:r>
        <w:br w:type="page"/>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p>
      <w:r>
        <w:br w:type="page"/>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p>
      <w:r>
        <w:br w:type="page"/>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p>
      <w:r>
        <w:br w:type="page"/>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p>
      <w:r>
        <w:br w:type="page"/>
      </w:r>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p>
      <w:r>
        <w:br w:type="page"/>
      </w:r>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04"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89"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9"/>
    <w:bookmarkStart w:id="393"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1" name="Picture"/>
                  <a:graphic>
                    <a:graphicData uri="http://schemas.openxmlformats.org/drawingml/2006/picture">
                      <pic:pic>
                        <pic:nvPicPr>
                          <pic:cNvPr descr="/opt/quarto/share/formats/docx/warning.png" id="392" name="Picture"/>
                          <pic:cNvPicPr>
                            <a:picLocks noChangeArrowheads="1" noChangeAspect="1"/>
                          </pic:cNvPicPr>
                        </pic:nvPicPr>
                        <pic:blipFill>
                          <a:blip r:embed="rId3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3"/>
    <w:bookmarkStart w:id="398"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5"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4">
        <w:r>
          <w:rPr>
            <w:rStyle w:val="Hyperlink"/>
          </w:rPr>
          <w:t xml:space="preserve">Copilot allowlist reference</w:t>
        </w:r>
      </w:hyperlink>
      <w:r>
        <w:t xml:space="preserve">.</w:t>
      </w:r>
    </w:p>
    <w:bookmarkEnd w:id="395"/>
    <w:bookmarkStart w:id="397"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6">
        <w:r>
          <w:rPr>
            <w:rStyle w:val="Hyperlink"/>
          </w:rPr>
          <w:t xml:space="preserve">Customizing or disabling the firewall for GitHub Copilot coding agent</w:t>
        </w:r>
      </w:hyperlink>
      <w:r>
        <w:t xml:space="preserve">.</w:t>
      </w:r>
    </w:p>
    <w:bookmarkEnd w:id="397"/>
    <w:bookmarkEnd w:id="398"/>
    <w:bookmarkStart w:id="402"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2"/>
    <w:bookmarkStart w:id="403"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3"/>
    <w:bookmarkEnd w:id="404"/>
    <w:bookmarkStart w:id="428" w:name="copilot-instructions-for-this-repository"/>
    <w:p>
      <w:pPr>
        <w:pStyle w:val="Heading2"/>
      </w:pPr>
      <w:r>
        <w:t xml:space="preserve">16.5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5"/>
        </w:numPr>
      </w:pPr>
      <w:r>
        <w:t xml:space="preserve">Markdown and Quarto formatting rules (e.g., blank lines before lists, line breaks in prose)</w:t>
      </w:r>
    </w:p>
    <w:p>
      <w:pPr>
        <w:pStyle w:val="Compact"/>
        <w:numPr>
          <w:ilvl w:val="0"/>
          <w:numId w:val="11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5"/>
        </w:numPr>
      </w:pPr>
      <w:r>
        <w:t xml:space="preserve">File organization patterns (e.g., using Quarto includes for modular content)</w:t>
      </w:r>
    </w:p>
    <w:p>
      <w:pPr>
        <w:pStyle w:val="Compact"/>
        <w:numPr>
          <w:ilvl w:val="0"/>
          <w:numId w:val="1105"/>
        </w:numPr>
      </w:pPr>
      <w:r>
        <w:t xml:space="preserve">How to work with DOCX files for hybrid editing workflows</w:t>
      </w:r>
    </w:p>
    <w:p>
      <w:pPr>
        <w:pStyle w:val="Compact"/>
        <w:numPr>
          <w:ilvl w:val="0"/>
          <w:numId w:val="11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7"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3" w:name="markdown-and-quarto-formatting-1"/>
          <w:p>
            <w:pPr>
              <w:pStyle w:val="Heading2"/>
            </w:pPr>
            <w:r>
              <w:t xml:space="preserve">17.1 Markdown and Quarto Formatting</w:t>
            </w:r>
          </w:p>
          <w:bookmarkStart w:id="407"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07"/>
          <w:bookmarkStart w:id="408"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6"/>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6"/>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6"/>
              </w:numPr>
            </w:pPr>
            <w:r>
              <w:t xml:space="preserve">Lists in all .qmd files throughout the repository</w:t>
            </w:r>
          </w:p>
          <w:bookmarkEnd w:id="408"/>
          <w:bookmarkStart w:id="409"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7"/>
              </w:numPr>
            </w:pPr>
            <w:r>
              <w:t xml:space="preserve">Improves readability of source .qmd files</w:t>
            </w:r>
          </w:p>
          <w:p>
            <w:pPr>
              <w:pStyle w:val="Compact"/>
              <w:numPr>
                <w:ilvl w:val="0"/>
                <w:numId w:val="1107"/>
              </w:numPr>
            </w:pPr>
            <w:r>
              <w:t xml:space="preserve">Makes git diffs clearer and easier to review</w:t>
            </w:r>
          </w:p>
          <w:p>
            <w:pPr>
              <w:pStyle w:val="Compact"/>
              <w:numPr>
                <w:ilvl w:val="0"/>
                <w:numId w:val="1107"/>
              </w:numPr>
            </w:pPr>
            <w:r>
              <w:t xml:space="preserve">Helps identify specific changes in version control</w:t>
            </w:r>
          </w:p>
          <w:p>
            <w:pPr>
              <w:pStyle w:val="Compact"/>
              <w:numPr>
                <w:ilvl w:val="0"/>
                <w:numId w:val="1107"/>
              </w:numPr>
            </w:pPr>
            <w:r>
              <w:t xml:space="preserve">Prevents horizontal scrolling when editing</w:t>
            </w:r>
          </w:p>
          <w:p>
            <w:pPr>
              <w:pStyle w:val="Compact"/>
              <w:numPr>
                <w:ilvl w:val="0"/>
                <w:numId w:val="1107"/>
              </w:numPr>
            </w:pPr>
            <w:r>
              <w:t xml:space="preserve">Follows semantic line breaks best practice</w:t>
            </w:r>
          </w:p>
          <w:p>
            <w:pPr>
              <w:pStyle w:val="FirstParagraph"/>
            </w:pPr>
            <w:r>
              <w:rPr>
                <w:b/>
                <w:bCs/>
              </w:rPr>
              <w:t xml:space="preserve">Guidelines:</w:t>
            </w:r>
          </w:p>
          <w:p>
            <w:pPr>
              <w:pStyle w:val="Compact"/>
              <w:numPr>
                <w:ilvl w:val="0"/>
                <w:numId w:val="1108"/>
              </w:numPr>
            </w:pPr>
            <w:r>
              <w:t xml:space="preserve">Break after complete sentences (at periods)</w:t>
            </w:r>
          </w:p>
          <w:p>
            <w:pPr>
              <w:pStyle w:val="Compact"/>
              <w:numPr>
                <w:ilvl w:val="0"/>
                <w:numId w:val="1108"/>
              </w:numPr>
            </w:pPr>
            <w:r>
              <w:t xml:space="preserve">Break after long phrases or clauses (at commas or conjunctions)</w:t>
            </w:r>
          </w:p>
          <w:p>
            <w:pPr>
              <w:pStyle w:val="Compact"/>
              <w:numPr>
                <w:ilvl w:val="0"/>
                <w:numId w:val="1108"/>
              </w:numPr>
            </w:pPr>
            <w:r>
              <w:t xml:space="preserve">Break after approximately 60-80 characters when appropriate</w:t>
            </w:r>
          </w:p>
          <w:p>
            <w:pPr>
              <w:pStyle w:val="Compact"/>
              <w:numPr>
                <w:ilvl w:val="0"/>
                <w:numId w:val="1108"/>
              </w:numPr>
            </w:pPr>
            <w:r>
              <w:t xml:space="preserve">Keep related short phrases together on one line</w:t>
            </w:r>
          </w:p>
          <w:p>
            <w:pPr>
              <w:pStyle w:val="Compact"/>
              <w:numPr>
                <w:ilvl w:val="0"/>
                <w:numId w:val="1108"/>
              </w:numPr>
            </w:pPr>
            <w:r>
              <w:t xml:space="preserve">Don’t break in the middle of inline code, links, or formatting</w:t>
            </w:r>
          </w:p>
          <w:bookmarkEnd w:id="409"/>
          <w:bookmarkStart w:id="410" w:name="why-this-matters"/>
          <w:p>
            <w:pPr>
              <w:pStyle w:val="Heading3"/>
            </w:pPr>
            <w:r>
              <w:t xml:space="preserve">17.1.4 Why This Matters</w:t>
            </w:r>
          </w:p>
          <w:p>
            <w:pPr>
              <w:pStyle w:val="Compact"/>
              <w:numPr>
                <w:ilvl w:val="0"/>
                <w:numId w:val="1109"/>
              </w:numPr>
            </w:pPr>
            <w:r>
              <w:t xml:space="preserve">Ensures consistent markdown rendering across different platforms</w:t>
            </w:r>
          </w:p>
          <w:p>
            <w:pPr>
              <w:pStyle w:val="Compact"/>
              <w:numPr>
                <w:ilvl w:val="0"/>
                <w:numId w:val="1109"/>
              </w:numPr>
            </w:pPr>
            <w:r>
              <w:t xml:space="preserve">Improves readability in both source and rendered forms</w:t>
            </w:r>
          </w:p>
          <w:p>
            <w:pPr>
              <w:pStyle w:val="Compact"/>
              <w:numPr>
                <w:ilvl w:val="0"/>
                <w:numId w:val="1109"/>
              </w:numPr>
            </w:pPr>
            <w:r>
              <w:t xml:space="preserve">Prevents rendering issues in Quarto books</w:t>
            </w:r>
          </w:p>
          <w:p>
            <w:pPr>
              <w:pStyle w:val="Compact"/>
              <w:numPr>
                <w:ilvl w:val="0"/>
                <w:numId w:val="1109"/>
              </w:numPr>
            </w:pPr>
            <w:r>
              <w:t xml:space="preserve">Follows markdown best practices</w:t>
            </w:r>
          </w:p>
          <w:bookmarkEnd w:id="410"/>
          <w:bookmarkStart w:id="412"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1">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0"/>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0"/>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0"/>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0"/>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0"/>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0"/>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2"/>
              </w:numPr>
            </w:pPr>
            <w:r>
              <w:t xml:space="preserve">Automatic numbering of figures, tables, and equations</w:t>
            </w:r>
          </w:p>
          <w:p>
            <w:pPr>
              <w:pStyle w:val="Compact"/>
              <w:numPr>
                <w:ilvl w:val="0"/>
                <w:numId w:val="1112"/>
              </w:numPr>
            </w:pPr>
            <w:r>
              <w:t xml:space="preserve">Automatic updates when content is reordered</w:t>
            </w:r>
          </w:p>
          <w:p>
            <w:pPr>
              <w:pStyle w:val="Compact"/>
              <w:numPr>
                <w:ilvl w:val="0"/>
                <w:numId w:val="1112"/>
              </w:numPr>
            </w:pPr>
            <w:r>
              <w:t xml:space="preserve">Clickable cross-references in HTML and PDF output</w:t>
            </w:r>
          </w:p>
          <w:p>
            <w:pPr>
              <w:pStyle w:val="Compact"/>
              <w:numPr>
                <w:ilvl w:val="0"/>
                <w:numId w:val="1112"/>
              </w:numPr>
            </w:pPr>
            <w:r>
              <w:t xml:space="preserve">Consistent formatting across all output formats</w:t>
            </w:r>
          </w:p>
          <w:p>
            <w:pPr>
              <w:pStyle w:val="Compact"/>
              <w:numPr>
                <w:ilvl w:val="0"/>
                <w:numId w:val="1112"/>
              </w:numPr>
            </w:pPr>
            <w:r>
              <w:t xml:space="preserve">Better accessibility for screen readers</w:t>
            </w:r>
          </w:p>
          <w:bookmarkEnd w:id="412"/>
          <w:bookmarkEnd w:id="413"/>
          <w:bookmarkStart w:id="414" w:name="r-code-style"/>
          <w:p>
            <w:pPr>
              <w:pStyle w:val="Heading2"/>
            </w:pPr>
            <w:r>
              <w:t xml:space="preserve">17.2 R Code Style</w:t>
            </w:r>
          </w:p>
          <w:p>
            <w:pPr>
              <w:pStyle w:val="Compact"/>
              <w:numPr>
                <w:ilvl w:val="0"/>
                <w:numId w:val="1113"/>
              </w:numPr>
            </w:pPr>
            <w:r>
              <w:t xml:space="preserve">Follow the tidyverse style guide: https://style.tidyverse.org</w:t>
            </w:r>
          </w:p>
          <w:p>
            <w:pPr>
              <w:pStyle w:val="Compact"/>
              <w:numPr>
                <w:ilvl w:val="0"/>
                <w:numId w:val="1113"/>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3"/>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3"/>
              </w:numPr>
            </w:pPr>
            <w:r>
              <w:t xml:space="preserve">All R projects should use R package structure</w:t>
            </w:r>
          </w:p>
          <w:bookmarkEnd w:id="414"/>
          <w:bookmarkStart w:id="424" w:name="file-organization"/>
          <w:p>
            <w:pPr>
              <w:pStyle w:val="Heading2"/>
            </w:pPr>
            <w:r>
              <w:t xml:space="preserve">17.3 File Organization</w:t>
            </w:r>
          </w:p>
          <w:bookmarkStart w:id="423"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5" w:name="why-use-includes"/>
          <w:p>
            <w:pPr>
              <w:pStyle w:val="Heading4"/>
            </w:pPr>
            <w:r>
              <w:t xml:space="preserve">17.3.1.1 Why Use Includes?</w:t>
            </w:r>
          </w:p>
          <w:p>
            <w:pPr>
              <w:numPr>
                <w:ilvl w:val="0"/>
                <w:numId w:val="1114"/>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4"/>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4"/>
              </w:numPr>
            </w:pPr>
            <w:r>
              <w:rPr>
                <w:b/>
                <w:bCs/>
              </w:rPr>
              <w:t xml:space="preserve">Modular Maintenance</w:t>
            </w:r>
            <w:r>
              <w:t xml:space="preserve">: Each section lives in its own file, making it easier to:</w:t>
            </w:r>
          </w:p>
          <w:p>
            <w:pPr>
              <w:pStyle w:val="Compact"/>
              <w:numPr>
                <w:ilvl w:val="1"/>
                <w:numId w:val="1115"/>
              </w:numPr>
            </w:pPr>
            <w:r>
              <w:t xml:space="preserve">Find and edit specific content</w:t>
            </w:r>
          </w:p>
          <w:p>
            <w:pPr>
              <w:pStyle w:val="Compact"/>
              <w:numPr>
                <w:ilvl w:val="1"/>
                <w:numId w:val="1115"/>
              </w:numPr>
            </w:pPr>
            <w:r>
              <w:t xml:space="preserve">Reuse sections across chapters if needed</w:t>
            </w:r>
          </w:p>
          <w:p>
            <w:pPr>
              <w:pStyle w:val="Compact"/>
              <w:numPr>
                <w:ilvl w:val="1"/>
                <w:numId w:val="1115"/>
              </w:numPr>
            </w:pPr>
            <w:r>
              <w:t xml:space="preserve">Work on different sections simultaneously without merge conflicts</w:t>
            </w:r>
          </w:p>
          <w:p>
            <w:pPr>
              <w:pStyle w:val="Compact"/>
              <w:numPr>
                <w:ilvl w:val="1"/>
                <w:numId w:val="1115"/>
              </w:numPr>
            </w:pPr>
            <w:r>
              <w:t xml:space="preserve">Test and preview individual sections</w:t>
            </w:r>
          </w:p>
          <w:p>
            <w:pPr>
              <w:numPr>
                <w:ilvl w:val="0"/>
                <w:numId w:val="1114"/>
              </w:numPr>
            </w:pPr>
            <w:r>
              <w:rPr>
                <w:b/>
                <w:bCs/>
              </w:rPr>
              <w:t xml:space="preserve">Clear Structure</w:t>
            </w:r>
            <w:r>
              <w:t xml:space="preserve">: The main chapter file becomes a table of contents showing the organization at a glance.</w:t>
            </w:r>
          </w:p>
          <w:bookmarkEnd w:id="415"/>
          <w:bookmarkStart w:id="417"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6"/>
              </w:numPr>
            </w:pPr>
            <w:r>
              <w:t xml:space="preserve">Contains the chapter title and introduction</w:t>
            </w:r>
          </w:p>
          <w:p>
            <w:pPr>
              <w:pStyle w:val="Compact"/>
              <w:numPr>
                <w:ilvl w:val="0"/>
                <w:numId w:val="1116"/>
              </w:numPr>
            </w:pPr>
            <w:r>
              <w:t xml:space="preserve">Contains section headings (##, ###, etc.)</w:t>
            </w:r>
          </w:p>
          <w:p>
            <w:pPr>
              <w:pStyle w:val="Compact"/>
              <w:numPr>
                <w:ilvl w:val="0"/>
                <w:numId w:val="1116"/>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6">
              <w:r>
                <w:rPr>
                  <w:rStyle w:val="Hyperlink"/>
                </w:rPr>
                <w:t xml:space="preserve">https://quarto.org/docs/authoring/includes.html</w:t>
              </w:r>
            </w:hyperlink>
            <w:r>
              <w:t xml:space="preserve"> </w:t>
            </w:r>
            <w:r>
              <w:t xml:space="preserve">for details)</w:t>
            </w:r>
          </w:p>
          <w:p>
            <w:pPr>
              <w:pStyle w:val="Compact"/>
              <w:numPr>
                <w:ilvl w:val="0"/>
                <w:numId w:val="1116"/>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bookmarkEnd w:id="417"/>
          <w:bookmarkStart w:id="418"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8"/>
          <w:bookmarkStart w:id="419" w:name="file-naming-conventions"/>
          <w:p>
            <w:pPr>
              <w:pStyle w:val="Heading4"/>
            </w:pPr>
            <w:r>
              <w:t xml:space="preserve">17.3.1.4 File Naming Conventions</w:t>
            </w:r>
          </w:p>
          <w:p>
            <w:pPr>
              <w:pStyle w:val="Compact"/>
              <w:numPr>
                <w:ilvl w:val="0"/>
                <w:numId w:val="1118"/>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8"/>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8"/>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8"/>
              </w:numPr>
            </w:pPr>
            <w:r>
              <w:t xml:space="preserve">Use descriptive names that clearly indicate the content</w:t>
            </w:r>
          </w:p>
          <w:p>
            <w:pPr>
              <w:pStyle w:val="Compact"/>
              <w:numPr>
                <w:ilvl w:val="0"/>
                <w:numId w:val="1118"/>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9"/>
          <w:bookmarkStart w:id="420"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0"/>
          <w:bookmarkStart w:id="421"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19"/>
              </w:numPr>
            </w:pPr>
            <w:r>
              <w:t xml:space="preserve">Adding a new section to a chapter</w:t>
            </w:r>
          </w:p>
          <w:p>
            <w:pPr>
              <w:pStyle w:val="Compact"/>
              <w:numPr>
                <w:ilvl w:val="0"/>
                <w:numId w:val="1119"/>
              </w:numPr>
            </w:pPr>
            <w:r>
              <w:t xml:space="preserve">A section becomes long enough to benefit from being in its own file (&gt;20-30 lines)</w:t>
            </w:r>
          </w:p>
          <w:p>
            <w:pPr>
              <w:pStyle w:val="Compact"/>
              <w:numPr>
                <w:ilvl w:val="0"/>
                <w:numId w:val="1119"/>
              </w:numPr>
            </w:pPr>
            <w:r>
              <w:t xml:space="preserve">Content might be reused elsewhere</w:t>
            </w:r>
          </w:p>
          <w:p>
            <w:pPr>
              <w:pStyle w:val="Compact"/>
              <w:numPr>
                <w:ilvl w:val="0"/>
                <w:numId w:val="1119"/>
              </w:numPr>
            </w:pPr>
            <w:r>
              <w:t xml:space="preserve">You want to work on a section independently</w:t>
            </w:r>
          </w:p>
          <w:bookmarkEnd w:id="421"/>
          <w:bookmarkStart w:id="422"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0"/>
              </w:numPr>
            </w:pPr>
            <w:r>
              <w:t xml:space="preserve">Create a subdirectory matching the chapter name</w:t>
            </w:r>
          </w:p>
          <w:p>
            <w:pPr>
              <w:pStyle w:val="Compact"/>
              <w:numPr>
                <w:ilvl w:val="0"/>
                <w:numId w:val="1120"/>
              </w:numPr>
            </w:pPr>
            <w:r>
              <w:t xml:space="preserve">Extract each section into its own include file</w:t>
            </w:r>
          </w:p>
          <w:p>
            <w:pPr>
              <w:pStyle w:val="Compact"/>
              <w:numPr>
                <w:ilvl w:val="0"/>
                <w:numId w:val="1120"/>
              </w:numPr>
            </w:pPr>
            <w:r>
              <w:t xml:space="preserve">Update the main chapter file to use includes</w:t>
            </w:r>
          </w:p>
          <w:p>
            <w:pPr>
              <w:pStyle w:val="Compact"/>
              <w:numPr>
                <w:ilvl w:val="0"/>
                <w:numId w:val="1120"/>
              </w:numPr>
            </w:pPr>
            <w:r>
              <w:t xml:space="preserve">Keep headings in the main file</w:t>
            </w:r>
          </w:p>
          <w:p>
            <w:pPr>
              <w:pStyle w:val="Compact"/>
              <w:numPr>
                <w:ilvl w:val="0"/>
                <w:numId w:val="1120"/>
              </w:numPr>
            </w:pPr>
            <w:r>
              <w:t xml:space="preserve">Ensure blank lines before include statements</w:t>
            </w:r>
          </w:p>
          <w:p>
            <w:pPr>
              <w:pStyle w:val="Compact"/>
              <w:numPr>
                <w:ilvl w:val="0"/>
                <w:numId w:val="1120"/>
              </w:numPr>
            </w:pPr>
            <w:r>
              <w:t xml:space="preserve">Test that rendering still works correctly</w:t>
            </w:r>
          </w:p>
          <w:bookmarkEnd w:id="422"/>
          <w:bookmarkEnd w:id="423"/>
          <w:bookmarkEnd w:id="424"/>
          <w:bookmarkStart w:id="425"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1"/>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1"/>
              </w:numPr>
            </w:pPr>
            <w:r>
              <w:rPr>
                <w:b/>
                <w:bCs/>
              </w:rPr>
              <w:t xml:space="preserve">Review comments</w:t>
            </w:r>
            <w:r>
              <w:t xml:space="preserve">: Look for and address any comments in the DOCX file that may provide context or instructions for edits</w:t>
            </w:r>
          </w:p>
          <w:p>
            <w:pPr>
              <w:pStyle w:val="Compact"/>
              <w:numPr>
                <w:ilvl w:val="0"/>
                <w:numId w:val="1121"/>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1"/>
              </w:numPr>
            </w:pPr>
            <w:r>
              <w:rPr>
                <w:b/>
                <w:bCs/>
              </w:rPr>
              <w:t xml:space="preserve">Preserve formatting</w:t>
            </w:r>
            <w:r>
              <w:t xml:space="preserve">: Ensure that formatting, citations, and cross-references are properly converted to Quarto/markdown syntax</w:t>
            </w:r>
          </w:p>
          <w:p>
            <w:pPr>
              <w:pStyle w:val="Compact"/>
              <w:numPr>
                <w:ilvl w:val="0"/>
                <w:numId w:val="1121"/>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5"/>
          <w:bookmarkStart w:id="426" w:name="additional-guidelines"/>
          <w:p>
            <w:pPr>
              <w:pStyle w:val="Heading2"/>
            </w:pPr>
            <w:r>
              <w:t xml:space="preserve">17.5 Additional Guidelines</w:t>
            </w:r>
          </w:p>
          <w:p>
            <w:pPr>
              <w:pStyle w:val="Compact"/>
              <w:numPr>
                <w:ilvl w:val="0"/>
                <w:numId w:val="1122"/>
              </w:numPr>
            </w:pPr>
            <w:r>
              <w:t xml:space="preserve">Maintain consistency with existing code style</w:t>
            </w:r>
          </w:p>
          <w:p>
            <w:pPr>
              <w:pStyle w:val="Compact"/>
              <w:numPr>
                <w:ilvl w:val="0"/>
                <w:numId w:val="1122"/>
              </w:numPr>
            </w:pPr>
            <w:r>
              <w:t xml:space="preserve">Preserve all existing content when refactoring</w:t>
            </w:r>
          </w:p>
          <w:p>
            <w:pPr>
              <w:pStyle w:val="Compact"/>
              <w:numPr>
                <w:ilvl w:val="0"/>
                <w:numId w:val="1122"/>
              </w:numPr>
            </w:pPr>
            <w:r>
              <w:t xml:space="preserve">Add blank lines before all lists</w:t>
            </w:r>
          </w:p>
          <w:p>
            <w:pPr>
              <w:pStyle w:val="Compact"/>
              <w:numPr>
                <w:ilvl w:val="0"/>
                <w:numId w:val="1122"/>
              </w:numPr>
            </w:pPr>
            <w:r>
              <w:t xml:space="preserve">Follow the lab’s R package development workflow (as described throughout this repo)</w:t>
            </w:r>
          </w:p>
          <w:p/>
        </w:tc>
      </w:tr>
    </w:tbl>
    <w:bookmarkEnd w:id="426"/>
    <w:bookmarkEnd w:id="427"/>
    <w:bookmarkEnd w:id="428"/>
    <w:bookmarkStart w:id="433" w:name="further-readingviewing"/>
    <w:p>
      <w:pPr>
        <w:pStyle w:val="Heading2"/>
      </w:pPr>
      <w:r>
        <w:t xml:space="preserve">17.6 Further reading/viewing</w:t>
      </w:r>
    </w:p>
    <w:p>
      <w:pPr>
        <w:pStyle w:val="Compact"/>
        <w:numPr>
          <w:ilvl w:val="0"/>
          <w:numId w:val="1123"/>
        </w:numPr>
      </w:pPr>
      <w:r>
        <w:rPr>
          <w:i/>
          <w:iCs/>
        </w:rPr>
        <w:t xml:space="preserve">I Robot</w:t>
      </w:r>
      <w:r>
        <w:t xml:space="preserve"> </w:t>
      </w:r>
      <w:r>
        <w:t xml:space="preserve">(Asimov 1950)</w:t>
      </w:r>
    </w:p>
    <w:p>
      <w:pPr>
        <w:pStyle w:val="Compact"/>
        <w:numPr>
          <w:ilvl w:val="0"/>
          <w:numId w:val="1123"/>
        </w:numPr>
      </w:pPr>
      <w:r>
        <w:rPr>
          <w:i/>
          <w:iCs/>
        </w:rPr>
        <w:t xml:space="preserve">Dune</w:t>
      </w:r>
      <w:r>
        <w:t xml:space="preserve"> </w:t>
      </w:r>
      <w:r>
        <w:t xml:space="preserve">(Herbert 1965)</w:t>
      </w:r>
    </w:p>
    <w:p>
      <w:pPr>
        <w:pStyle w:val="Compact"/>
        <w:numPr>
          <w:ilvl w:val="0"/>
          <w:numId w:val="1123"/>
        </w:numPr>
      </w:pPr>
      <w:r>
        <w:t xml:space="preserve">“2001: A Space Odyssey”</w:t>
      </w:r>
      <w:r>
        <w:t xml:space="preserve"> </w:t>
      </w:r>
      <w:r>
        <w:t xml:space="preserve">(1968)</w:t>
      </w:r>
    </w:p>
    <w:p>
      <w:pPr>
        <w:pStyle w:val="Compact"/>
        <w:numPr>
          <w:ilvl w:val="0"/>
          <w:numId w:val="1123"/>
        </w:numPr>
      </w:pPr>
      <w:r>
        <w:t xml:space="preserve">“The Terminator”</w:t>
      </w:r>
      <w:r>
        <w:t xml:space="preserve"> </w:t>
      </w:r>
      <w:r>
        <w:t xml:space="preserve">(1984)</w:t>
      </w:r>
    </w:p>
    <w:p>
      <w:pPr>
        <w:pStyle w:val="Compact"/>
        <w:numPr>
          <w:ilvl w:val="0"/>
          <w:numId w:val="1123"/>
        </w:numPr>
      </w:pPr>
      <w:r>
        <w:t xml:space="preserve">“The Matrix”</w:t>
      </w:r>
      <w:r>
        <w:t xml:space="preserve"> </w:t>
      </w:r>
      <w:r>
        <w:t xml:space="preserve">(1999)</w:t>
      </w:r>
    </w:p>
    <w:p>
      <w:pPr>
        <w:pStyle w:val="Compact"/>
        <w:numPr>
          <w:ilvl w:val="0"/>
          <w:numId w:val="1123"/>
        </w:numPr>
      </w:pPr>
      <w:r>
        <w:t xml:space="preserve">“Blade Runner”</w:t>
      </w:r>
      <w:r>
        <w:t xml:space="preserve"> </w:t>
      </w:r>
      <w:r>
        <w:t xml:space="preserve">(1982)</w:t>
      </w:r>
    </w:p>
    <w:p>
      <w:pPr>
        <w:pStyle w:val="Compact"/>
        <w:numPr>
          <w:ilvl w:val="0"/>
          <w:numId w:val="1123"/>
        </w:numPr>
      </w:pPr>
      <w:r>
        <w:t xml:space="preserve">“WarGames”</w:t>
      </w:r>
      <w:r>
        <w:t xml:space="preserve"> </w:t>
      </w:r>
      <w:r>
        <w:t xml:space="preserve">(1983)</w:t>
      </w:r>
    </w:p>
    <w:p>
      <w:pPr>
        <w:pStyle w:val="Compact"/>
        <w:numPr>
          <w:ilvl w:val="0"/>
          <w:numId w:val="1123"/>
        </w:numPr>
      </w:pPr>
      <w:r>
        <w:rPr>
          <w:i/>
          <w:iCs/>
        </w:rPr>
        <w:t xml:space="preserve">Ender’s Game</w:t>
      </w:r>
      <w:r>
        <w:t xml:space="preserve"> </w:t>
      </w:r>
      <w:r>
        <w:t xml:space="preserve">(Card 1985)</w:t>
      </w:r>
    </w:p>
    <w:p>
      <w:pPr>
        <w:pStyle w:val="Compact"/>
        <w:numPr>
          <w:ilvl w:val="0"/>
          <w:numId w:val="112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0" name="Picture"/>
            <a:graphic>
              <a:graphicData uri="http://schemas.openxmlformats.org/drawingml/2006/picture">
                <pic:pic>
                  <pic:nvPicPr>
                    <pic:cNvPr descr="assets/images/matrix-agents.png" id="431" name="Picture"/>
                    <pic:cNvPicPr>
                      <a:picLocks noChangeArrowheads="1" noChangeAspect="1"/>
                    </pic:cNvPicPr>
                  </pic:nvPicPr>
                  <pic:blipFill>
                    <a:blip r:embed="rId42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2">
        <w:r>
          <w:rPr>
            <w:rStyle w:val="Hyperlink"/>
          </w:rPr>
          <w:t xml:space="preserve">Agents</w:t>
        </w:r>
      </w:hyperlink>
    </w:p>
    <w:p>
      <w:r>
        <w:br w:type="page"/>
      </w:r>
    </w:p>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p>
      <w:r>
        <w:br w:type="page"/>
      </w:r>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90" Target="media/rId390.png" /><Relationship Type="http://schemas.openxmlformats.org/officeDocument/2006/relationships/image" Id="rId254" Target="media/rId254.png" /><Relationship Type="http://schemas.openxmlformats.org/officeDocument/2006/relationships/image" Id="rId287" Target="media/rId287.jpg" /><Relationship Type="http://schemas.openxmlformats.org/officeDocument/2006/relationships/image" Id="rId293" Target="media/rId293.png" /><Relationship Type="http://schemas.openxmlformats.org/officeDocument/2006/relationships/image" Id="rId429" Target="media/rId429.png" /><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1" Target="https://docs.github.com/en/copilot/how-tos/use-copilot-agents/coding-agent/customize-the-agent-environment#preinstalling-tools-or-dependencies-in-copilots-environment" TargetMode="External" /><Relationship Type="http://schemas.openxmlformats.org/officeDocument/2006/relationships/hyperlink" Id="rId396" Target="https://docs.github.com/en/copilot/how-tos/use-copilot-agents/coding-agent/customize-the-agent-firewall" TargetMode="External" /><Relationship Type="http://schemas.openxmlformats.org/officeDocument/2006/relationships/hyperlink" Id="rId394"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43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0"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1" Target="https://quarto.org/docs/authoring/cross-references.html" TargetMode="External" /><Relationship Type="http://schemas.openxmlformats.org/officeDocument/2006/relationships/hyperlink" Id="rId416"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1" Target="https://docs.github.com/en/copilot/how-tos/use-copilot-agents/coding-agent/customize-the-agent-environment#preinstalling-tools-or-dependencies-in-copilots-environment" TargetMode="External" /><Relationship Type="http://schemas.openxmlformats.org/officeDocument/2006/relationships/hyperlink" Id="rId396" Target="https://docs.github.com/en/copilot/how-tos/use-copilot-agents/coding-agent/customize-the-agent-firewall" TargetMode="External" /><Relationship Type="http://schemas.openxmlformats.org/officeDocument/2006/relationships/hyperlink" Id="rId394"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43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0"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1" Target="https://quarto.org/docs/authoring/cross-references.html" TargetMode="External" /><Relationship Type="http://schemas.openxmlformats.org/officeDocument/2006/relationships/hyperlink" Id="rId416"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2026-01-12T04:35:42Z</dcterms:created>
  <dcterms:modified xsi:type="dcterms:W3CDTF">2026-01-12T04:35:42Z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