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77"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12"/>
        </w:numPr>
      </w:pPr>
      <w:r>
        <w:t xml:space="preserve">Discuss conference opportunities with PIs early</w:t>
      </w:r>
    </w:p>
    <w:p>
      <w:pPr>
        <w:pStyle w:val="Compact"/>
        <w:numPr>
          <w:ilvl w:val="0"/>
          <w:numId w:val="1312"/>
        </w:numPr>
      </w:pPr>
      <w:r>
        <w:t xml:space="preserve">Submit abstracts with PI approval</w:t>
      </w:r>
    </w:p>
    <w:p>
      <w:pPr>
        <w:pStyle w:val="Compact"/>
        <w:numPr>
          <w:ilvl w:val="0"/>
          <w:numId w:val="1312"/>
        </w:numPr>
      </w:pPr>
      <w:r>
        <w:t xml:space="preserve">Practice presentations in lab meeting before the conference</w:t>
      </w:r>
    </w:p>
    <w:p>
      <w:pPr>
        <w:pStyle w:val="Compact"/>
        <w:numPr>
          <w:ilvl w:val="0"/>
          <w:numId w:val="1312"/>
        </w:numPr>
      </w:pPr>
      <w:r>
        <w:t xml:space="preserve">Prioritize clear visuals over text-dense slides following our</w:t>
      </w:r>
      <w:r>
        <w:t xml:space="preserve"> </w:t>
      </w:r>
      <w:hyperlink r:id="rId1054">
        <w:r>
          <w:rPr>
            <w:rStyle w:val="Hyperlink"/>
          </w:rPr>
          <w:t xml:space="preserve">Show, Don’t Tell</w:t>
        </w:r>
      </w:hyperlink>
      <w:r>
        <w:t xml:space="preserve"> </w:t>
      </w:r>
      <w:r>
        <w:t xml:space="preserve">principle</w:t>
      </w:r>
    </w:p>
    <w:p>
      <w:pPr>
        <w:pStyle w:val="Compact"/>
        <w:numPr>
          <w:ilvl w:val="0"/>
          <w:numId w:val="131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3"/>
        </w:numPr>
      </w:pPr>
      <w:hyperlink r:id="rId1055">
        <w:r>
          <w:rPr>
            <w:rStyle w:val="Hyperlink"/>
          </w:rPr>
          <w:t xml:space="preserve">How to tell a compelling story in scientific presentations</w:t>
        </w:r>
      </w:hyperlink>
    </w:p>
    <w:p>
      <w:pPr>
        <w:pStyle w:val="Compact"/>
        <w:numPr>
          <w:ilvl w:val="0"/>
          <w:numId w:val="1313"/>
        </w:numPr>
      </w:pPr>
      <w:hyperlink r:id="rId1036">
        <w:r>
          <w:rPr>
            <w:rStyle w:val="Hyperlink"/>
          </w:rPr>
          <w:t xml:space="preserve">How to give a killer narratively-driven scientific talk</w:t>
        </w:r>
      </w:hyperlink>
    </w:p>
    <w:p>
      <w:pPr>
        <w:pStyle w:val="Compact"/>
        <w:numPr>
          <w:ilvl w:val="0"/>
          <w:numId w:val="1313"/>
        </w:numPr>
      </w:pPr>
      <w:hyperlink r:id="rId1056">
        <w:r>
          <w:rPr>
            <w:rStyle w:val="Hyperlink"/>
          </w:rPr>
          <w:t xml:space="preserve">How to make a better poster</w:t>
        </w:r>
      </w:hyperlink>
    </w:p>
    <w:p>
      <w:pPr>
        <w:pStyle w:val="Compact"/>
        <w:numPr>
          <w:ilvl w:val="0"/>
          <w:numId w:val="1313"/>
        </w:numPr>
      </w:pPr>
      <w:hyperlink r:id="rId1038">
        <w:r>
          <w:rPr>
            <w:rStyle w:val="Hyperlink"/>
          </w:rPr>
          <w:t xml:space="preserve">How to make an even better poster</w:t>
        </w:r>
      </w:hyperlink>
    </w:p>
    <w:bookmarkEnd w:id="1057"/>
    <w:bookmarkStart w:id="106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14"/>
        </w:numPr>
      </w:pPr>
      <w:r>
        <w:t xml:space="preserve">Label x-axis and y-axis clearly</w:t>
      </w:r>
    </w:p>
    <w:p>
      <w:pPr>
        <w:pStyle w:val="Compact"/>
        <w:numPr>
          <w:ilvl w:val="0"/>
          <w:numId w:val="1314"/>
        </w:numPr>
      </w:pPr>
      <w:r>
        <w:t xml:space="preserve">Use panel labels when including multiple subplots</w:t>
      </w:r>
    </w:p>
    <w:p>
      <w:pPr>
        <w:pStyle w:val="Compact"/>
        <w:numPr>
          <w:ilvl w:val="0"/>
          <w:numId w:val="1314"/>
        </w:numPr>
      </w:pPr>
      <w:r>
        <w:t xml:space="preserve">Include sufficient tick marks and labels</w:t>
      </w:r>
    </w:p>
    <w:p>
      <w:pPr>
        <w:pStyle w:val="Compact"/>
        <w:numPr>
          <w:ilvl w:val="0"/>
          <w:numId w:val="1314"/>
        </w:numPr>
      </w:pPr>
      <w:r>
        <w:t xml:space="preserve">Use appropriate font sizes (readable but not distracting)</w:t>
      </w:r>
    </w:p>
    <w:p>
      <w:pPr>
        <w:pStyle w:val="Compact"/>
        <w:numPr>
          <w:ilvl w:val="0"/>
          <w:numId w:val="1314"/>
        </w:numPr>
      </w:pPr>
      <w:r>
        <w:t xml:space="preserve">Use colorblind-friendly palettes (see</w:t>
      </w:r>
      <w:r>
        <w:t xml:space="preserve"> </w:t>
      </w:r>
      <w:hyperlink r:id="rId1058">
        <w:r>
          <w:rPr>
            <w:rStyle w:val="Hyperlink"/>
          </w:rPr>
          <w:t xml:space="preserve">ColorBrewer</w:t>
        </w:r>
      </w:hyperlink>
      <w:r>
        <w:t xml:space="preserve"> </w:t>
      </w:r>
      <w:r>
        <w:t xml:space="preserve">or</w:t>
      </w:r>
      <w:r>
        <w:t xml:space="preserve"> </w:t>
      </w:r>
      <w:hyperlink r:id="rId1059">
        <w:r>
          <w:rPr>
            <w:rStyle w:val="Hyperlink"/>
          </w:rPr>
          <w:t xml:space="preserve">iwanthue</w:t>
        </w:r>
      </w:hyperlink>
      <w:r>
        <w:t xml:space="preserve">)</w:t>
      </w:r>
    </w:p>
    <w:p>
      <w:pPr>
        <w:pStyle w:val="Compact"/>
        <w:numPr>
          <w:ilvl w:val="0"/>
          <w:numId w:val="1314"/>
        </w:numPr>
      </w:pPr>
      <w:r>
        <w:t xml:space="preserve">Define colors, shapes, and line types in legends</w:t>
      </w:r>
    </w:p>
    <w:p>
      <w:pPr>
        <w:pStyle w:val="Compact"/>
        <w:numPr>
          <w:ilvl w:val="0"/>
          <w:numId w:val="1314"/>
        </w:numPr>
      </w:pPr>
      <w:r>
        <w:t xml:space="preserve">Minimize abbreviations in labels and legends</w:t>
      </w:r>
    </w:p>
    <w:p>
      <w:pPr>
        <w:pStyle w:val="Compact"/>
        <w:numPr>
          <w:ilvl w:val="0"/>
          <w:numId w:val="1314"/>
        </w:numPr>
      </w:pPr>
      <w:r>
        <w:t xml:space="preserve">Use transparency to show overlapping data</w:t>
      </w:r>
    </w:p>
    <w:p>
      <w:pPr>
        <w:pStyle w:val="Compact"/>
        <w:numPr>
          <w:ilvl w:val="0"/>
          <w:numId w:val="1314"/>
        </w:numPr>
      </w:pPr>
      <w:r>
        <w:t xml:space="preserve">Show measures of precision (e.g., 95% confidence intervals)</w:t>
      </w:r>
    </w:p>
    <w:p>
      <w:pPr>
        <w:pStyle w:val="FirstParagraph"/>
      </w:pPr>
      <w:r>
        <w:rPr>
          <w:b/>
          <w:bCs/>
        </w:rPr>
        <w:t xml:space="preserve">Resources:</w:t>
      </w:r>
    </w:p>
    <w:p>
      <w:pPr>
        <w:pStyle w:val="Compact"/>
        <w:numPr>
          <w:ilvl w:val="0"/>
          <w:numId w:val="1315"/>
        </w:numPr>
      </w:pPr>
      <w:hyperlink r:id="rId1060">
        <w:r>
          <w:rPr>
            <w:rStyle w:val="Hyperlink"/>
          </w:rPr>
          <w:t xml:space="preserve">Ten Simple Rules for Better Figures</w:t>
        </w:r>
      </w:hyperlink>
    </w:p>
    <w:bookmarkEnd w:id="1061"/>
    <w:bookmarkStart w:id="1063" w:name="grant-writing"/>
    <w:p>
      <w:pPr>
        <w:pStyle w:val="Heading2"/>
      </w:pPr>
      <w:r>
        <w:t xml:space="preserve">22.5 Grant Writing</w:t>
      </w:r>
    </w:p>
    <w:p>
      <w:pPr>
        <w:pStyle w:val="Compact"/>
        <w:numPr>
          <w:ilvl w:val="0"/>
          <w:numId w:val="1316"/>
        </w:numPr>
      </w:pPr>
      <w:r>
        <w:t xml:space="preserve">Graduate students and postdocs are encouraged to apply for fellowships (e.g., NIH F31, NSF GRFP, K awards)</w:t>
      </w:r>
    </w:p>
    <w:p>
      <w:pPr>
        <w:pStyle w:val="Compact"/>
        <w:numPr>
          <w:ilvl w:val="0"/>
          <w:numId w:val="1316"/>
        </w:numPr>
      </w:pPr>
      <w:r>
        <w:t xml:space="preserve">PIs will support fellowship applications with feedback, letters of support, and mentoring</w:t>
      </w:r>
    </w:p>
    <w:p>
      <w:pPr>
        <w:pStyle w:val="Compact"/>
        <w:numPr>
          <w:ilvl w:val="0"/>
          <w:numId w:val="1316"/>
        </w:numPr>
      </w:pPr>
      <w:r>
        <w:t xml:space="preserve">Start planning fellowship applications well in advance of deadlines (typically 3-6 months)</w:t>
      </w:r>
    </w:p>
    <w:p>
      <w:pPr>
        <w:pStyle w:val="Compact"/>
        <w:numPr>
          <w:ilvl w:val="0"/>
          <w:numId w:val="1316"/>
        </w:numPr>
      </w:pPr>
      <w:r>
        <w:t xml:space="preserve">Attend grant writing workshops and seek feedback from multiple sources</w:t>
      </w:r>
    </w:p>
    <w:p>
      <w:pPr>
        <w:pStyle w:val="FirstParagraph"/>
      </w:pPr>
      <w:r>
        <w:rPr>
          <w:b/>
          <w:bCs/>
        </w:rPr>
        <w:t xml:space="preserve">Resources:</w:t>
      </w:r>
    </w:p>
    <w:p>
      <w:pPr>
        <w:pStyle w:val="Compact"/>
        <w:numPr>
          <w:ilvl w:val="0"/>
          <w:numId w:val="1317"/>
        </w:numPr>
      </w:pPr>
      <w:hyperlink r:id="rId1043">
        <w:r>
          <w:rPr>
            <w:rStyle w:val="Hyperlink"/>
          </w:rPr>
          <w:t xml:space="preserve">Building Your Funding Train</w:t>
        </w:r>
      </w:hyperlink>
    </w:p>
    <w:p>
      <w:pPr>
        <w:pStyle w:val="Compact"/>
        <w:numPr>
          <w:ilvl w:val="0"/>
          <w:numId w:val="1317"/>
        </w:numPr>
      </w:pPr>
      <w:hyperlink r:id="rId1062">
        <w:r>
          <w:rPr>
            <w:rStyle w:val="Hyperlink"/>
          </w:rPr>
          <w:t xml:space="preserve">NIH Funding Opportunities</w:t>
        </w:r>
      </w:hyperlink>
    </w:p>
    <w:p>
      <w:pPr>
        <w:pStyle w:val="Compact"/>
        <w:numPr>
          <w:ilvl w:val="0"/>
          <w:numId w:val="1317"/>
        </w:numPr>
      </w:pPr>
      <w:hyperlink r:id="rId1044">
        <w:r>
          <w:rPr>
            <w:rStyle w:val="Hyperlink"/>
          </w:rPr>
          <w:t xml:space="preserve">NIH Grant Writing Resources</w:t>
        </w:r>
      </w:hyperlink>
    </w:p>
    <w:bookmarkEnd w:id="1063"/>
    <w:bookmarkStart w:id="107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18"/>
        </w:numPr>
      </w:pPr>
      <w:r>
        <w:t xml:space="preserve">Understand the typical scope and depth expected</w:t>
      </w:r>
    </w:p>
    <w:p>
      <w:pPr>
        <w:pStyle w:val="Compact"/>
        <w:numPr>
          <w:ilvl w:val="0"/>
          <w:numId w:val="1318"/>
        </w:numPr>
      </w:pPr>
      <w:r>
        <w:t xml:space="preserve">See different approaches to structure and presentation</w:t>
      </w:r>
    </w:p>
    <w:p>
      <w:pPr>
        <w:pStyle w:val="Compact"/>
        <w:numPr>
          <w:ilvl w:val="0"/>
          <w:numId w:val="1318"/>
        </w:numPr>
      </w:pPr>
      <w:r>
        <w:t xml:space="preserve">Calibrate your expectations based on successful examples</w:t>
      </w:r>
    </w:p>
    <w:p>
      <w:pPr>
        <w:pStyle w:val="Compact"/>
        <w:numPr>
          <w:ilvl w:val="0"/>
          <w:numId w:val="131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4"/>
    <w:bookmarkStart w:id="106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9"/>
        </w:numPr>
      </w:pPr>
      <w:r>
        <w:t xml:space="preserve">Independent research capability</w:t>
      </w:r>
    </w:p>
    <w:p>
      <w:pPr>
        <w:pStyle w:val="Compact"/>
        <w:numPr>
          <w:ilvl w:val="0"/>
          <w:numId w:val="1319"/>
        </w:numPr>
      </w:pPr>
      <w:r>
        <w:t xml:space="preserve">Ability to communicate findings effectively</w:t>
      </w:r>
    </w:p>
    <w:p>
      <w:pPr>
        <w:pStyle w:val="Compact"/>
        <w:numPr>
          <w:ilvl w:val="0"/>
          <w:numId w:val="1319"/>
        </w:numPr>
      </w:pPr>
      <w:r>
        <w:t xml:space="preserve">Contribution to the scientific literature</w:t>
      </w:r>
    </w:p>
    <w:p>
      <w:pPr>
        <w:pStyle w:val="Compact"/>
        <w:numPr>
          <w:ilvl w:val="0"/>
          <w:numId w:val="1319"/>
        </w:numPr>
      </w:pPr>
      <w:r>
        <w:t xml:space="preserve">Readiness for an academic or research career</w:t>
      </w:r>
    </w:p>
    <w:bookmarkEnd w:id="1065"/>
    <w:bookmarkStart w:id="106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66"/>
    <w:bookmarkStart w:id="107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8">
        <w:r>
          <w:rPr>
            <w:rStyle w:val="Hyperlink"/>
          </w:rPr>
          <w:t xml:space="preserve">PhD</w:t>
        </w:r>
      </w:hyperlink>
      <w:r>
        <w:t xml:space="preserve">,</w:t>
      </w:r>
      <w:r>
        <w:t xml:space="preserve"> </w:t>
      </w:r>
      <w:r>
        <w:t xml:space="preserve">is a spiritual successor to an apprentice’s</w:t>
      </w:r>
      <w:r>
        <w:t xml:space="preserve"> </w:t>
      </w:r>
      <w:hyperlink r:id="rId10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0"/>
        </w:numPr>
      </w:pPr>
      <w:r>
        <w:t xml:space="preserve">The dissertation proves you can conduct rigorous research</w:t>
      </w:r>
    </w:p>
    <w:p>
      <w:pPr>
        <w:pStyle w:val="Compact"/>
        <w:numPr>
          <w:ilvl w:val="0"/>
          <w:numId w:val="1320"/>
        </w:numPr>
      </w:pPr>
      <w:r>
        <w:t xml:space="preserve">It doesn’t need to solve every problem in your field</w:t>
      </w:r>
    </w:p>
    <w:p>
      <w:pPr>
        <w:pStyle w:val="Compact"/>
        <w:numPr>
          <w:ilvl w:val="0"/>
          <w:numId w:val="1320"/>
        </w:numPr>
      </w:pPr>
      <w:r>
        <w:t xml:space="preserve">It doesn’t need to be flawless</w:t>
      </w:r>
    </w:p>
    <w:p>
      <w:pPr>
        <w:pStyle w:val="Compact"/>
        <w:numPr>
          <w:ilvl w:val="0"/>
          <w:numId w:val="1320"/>
        </w:numPr>
      </w:pPr>
      <w:r>
        <w:t xml:space="preserve">It doesn’t need to be all-encompassing</w:t>
      </w:r>
    </w:p>
    <w:p>
      <w:pPr>
        <w:pStyle w:val="Compact"/>
        <w:numPr>
          <w:ilvl w:val="0"/>
          <w:numId w:val="1320"/>
        </w:numPr>
      </w:pPr>
      <w:r>
        <w:t xml:space="preserve">It just needs to constitute incremental progress in your field</w:t>
      </w:r>
    </w:p>
    <w:bookmarkEnd w:id="1070"/>
    <w:bookmarkStart w:id="107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1"/>
        </w:numPr>
      </w:pPr>
      <w:r>
        <w:t xml:space="preserve">Done is better than perfect when it comes to dissertations</w:t>
      </w:r>
    </w:p>
    <w:p>
      <w:pPr>
        <w:pStyle w:val="Compact"/>
        <w:numPr>
          <w:ilvl w:val="0"/>
          <w:numId w:val="1321"/>
        </w:numPr>
      </w:pPr>
      <w:r>
        <w:t xml:space="preserve">You’ll have your entire career to refine and expand on these ideas</w:t>
      </w:r>
    </w:p>
    <w:p>
      <w:pPr>
        <w:pStyle w:val="Compact"/>
        <w:numPr>
          <w:ilvl w:val="0"/>
          <w:numId w:val="1321"/>
        </w:numPr>
      </w:pPr>
      <w:r>
        <w:t xml:space="preserve">The goal is to finish and move forward,</w:t>
      </w:r>
      <w:r>
        <w:t xml:space="preserve"> </w:t>
      </w:r>
      <w:r>
        <w:t xml:space="preserve">not to write the definitive work on your topic</w:t>
      </w:r>
    </w:p>
    <w:p>
      <w:pPr>
        <w:pStyle w:val="Compact"/>
        <w:numPr>
          <w:ilvl w:val="0"/>
          <w:numId w:val="132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1"/>
    <w:bookmarkStart w:id="1073" w:name="resources-3"/>
    <w:p>
      <w:pPr>
        <w:pStyle w:val="Heading3"/>
      </w:pPr>
      <w:r>
        <w:t xml:space="preserve">22.6.6 Resources</w:t>
      </w:r>
    </w:p>
    <w:p>
      <w:pPr>
        <w:pStyle w:val="FirstParagraph"/>
      </w:pPr>
      <w:r>
        <w:rPr>
          <w:b/>
          <w:bCs/>
        </w:rPr>
        <w:t xml:space="preserve">Dissertation writing tools:</w:t>
      </w:r>
    </w:p>
    <w:p>
      <w:pPr>
        <w:pStyle w:val="Compact"/>
        <w:numPr>
          <w:ilvl w:val="0"/>
          <w:numId w:val="1322"/>
        </w:numPr>
      </w:pPr>
      <w:hyperlink r:id="rId1072">
        <w:r>
          <w:rPr>
            <w:rStyle w:val="Hyperlink"/>
          </w:rPr>
          <w:t xml:space="preserve">quarto-thesis</w:t>
        </w:r>
      </w:hyperlink>
      <w:r>
        <w:t xml:space="preserve"> </w:t>
      </w:r>
      <w:r>
        <w:t xml:space="preserve">- Quarto extension for creating masters or PhD theses with professional LaTeX formatting</w:t>
      </w:r>
    </w:p>
    <w:bookmarkEnd w:id="1073"/>
    <w:bookmarkEnd w:id="1074"/>
    <w:bookmarkStart w:id="107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23"/>
        </w:numPr>
      </w:pPr>
      <w:r>
        <w:t xml:space="preserve">Graduate students are encouraged to gain teaching experience</w:t>
      </w:r>
    </w:p>
    <w:p>
      <w:pPr>
        <w:pStyle w:val="Compact"/>
        <w:numPr>
          <w:ilvl w:val="0"/>
          <w:numId w:val="1323"/>
        </w:numPr>
      </w:pPr>
      <w:r>
        <w:t xml:space="preserve">We support science communication and outreach activities</w:t>
      </w:r>
    </w:p>
    <w:p>
      <w:pPr>
        <w:pStyle w:val="Compact"/>
        <w:numPr>
          <w:ilvl w:val="0"/>
          <w:numId w:val="1323"/>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75"/>
    <w:bookmarkStart w:id="107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24"/>
        </w:numPr>
      </w:pPr>
      <w:r>
        <w:t xml:space="preserve">Attend seminars and departmental events</w:t>
      </w:r>
    </w:p>
    <w:p>
      <w:pPr>
        <w:pStyle w:val="Compact"/>
        <w:numPr>
          <w:ilvl w:val="0"/>
          <w:numId w:val="1324"/>
        </w:numPr>
      </w:pPr>
      <w:r>
        <w:t xml:space="preserve">Connect with researchers in your field</w:t>
      </w:r>
    </w:p>
    <w:p>
      <w:pPr>
        <w:pStyle w:val="Compact"/>
        <w:numPr>
          <w:ilvl w:val="0"/>
          <w:numId w:val="1324"/>
        </w:numPr>
      </w:pPr>
      <w:r>
        <w:t xml:space="preserve">Join professional societies</w:t>
      </w:r>
    </w:p>
    <w:p>
      <w:pPr>
        <w:pStyle w:val="Compact"/>
        <w:numPr>
          <w:ilvl w:val="0"/>
          <w:numId w:val="1324"/>
        </w:numPr>
      </w:pPr>
      <w:r>
        <w:t xml:space="preserve">Use professional social media platforms to share research and engage with the scientific community</w:t>
      </w:r>
    </w:p>
    <w:p>
      <w:r>
        <w:br w:type="page"/>
      </w:r>
    </w:p>
    <w:bookmarkEnd w:id="1076"/>
    <w:bookmarkEnd w:id="1077"/>
    <w:bookmarkStart w:id="1085" w:name="sec-writing"/>
    <w:p>
      <w:pPr>
        <w:pStyle w:val="Heading1"/>
      </w:pPr>
      <w:r>
        <w:t xml:space="preserve">23. Writing</w:t>
      </w:r>
    </w:p>
    <w:bookmarkStart w:id="10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5"/>
        </w:numPr>
      </w:pPr>
      <w:r>
        <w:t xml:space="preserve">Organize your thoughts and identify what you actually need to know</w:t>
      </w:r>
    </w:p>
    <w:p>
      <w:pPr>
        <w:pStyle w:val="Compact"/>
        <w:numPr>
          <w:ilvl w:val="0"/>
          <w:numId w:val="1325"/>
        </w:numPr>
      </w:pPr>
      <w:r>
        <w:t xml:space="preserve">Articulate the problem more precisely</w:t>
      </w:r>
    </w:p>
    <w:p>
      <w:pPr>
        <w:pStyle w:val="Compact"/>
        <w:numPr>
          <w:ilvl w:val="0"/>
          <w:numId w:val="132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8"/>
    <w:bookmarkStart w:id="108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2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2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2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2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2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0"/>
    <w:bookmarkStart w:id="10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2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2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2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2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1"/>
    <w:bookmarkStart w:id="10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2" w:name="in-scientific-manuscripts-and-reports"/>
    <w:p>
      <w:pPr>
        <w:pStyle w:val="Heading3"/>
      </w:pPr>
      <w:r>
        <w:t xml:space="preserve">23.4.1 In scientific manuscripts and reports</w:t>
      </w:r>
    </w:p>
    <w:p>
      <w:pPr>
        <w:pStyle w:val="Compact"/>
        <w:numPr>
          <w:ilvl w:val="0"/>
          <w:numId w:val="132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2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2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2"/>
    <w:bookmarkStart w:id="1083" w:name="in-conference-and-lab-presentations"/>
    <w:p>
      <w:pPr>
        <w:pStyle w:val="Heading3"/>
      </w:pPr>
      <w:r>
        <w:t xml:space="preserve">23.4.2 In conference and lab presentations</w:t>
      </w:r>
    </w:p>
    <w:p>
      <w:pPr>
        <w:pStyle w:val="Compact"/>
        <w:numPr>
          <w:ilvl w:val="0"/>
          <w:numId w:val="132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3"/>
    <w:bookmarkEnd w:id="1084"/>
    <w:bookmarkEnd w:id="1085"/>
    <w:bookmarkStart w:id="1100" w:name="manuscript-preparation-and-publication"/>
    <w:p>
      <w:pPr>
        <w:pStyle w:val="Heading1"/>
      </w:pPr>
      <w:r>
        <w:t xml:space="preserve">24. Manuscript Preparation and Publication</w:t>
      </w:r>
    </w:p>
    <w:bookmarkStart w:id="10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0"/>
        </w:numPr>
      </w:pPr>
      <w:r>
        <w:rPr>
          <w:b/>
          <w:bCs/>
        </w:rPr>
        <w:t xml:space="preserve">Planning</w:t>
      </w:r>
      <w:r>
        <w:t xml:space="preserve">: Discuss target journals, outline, and timeline with PIs</w:t>
      </w:r>
    </w:p>
    <w:p>
      <w:pPr>
        <w:pStyle w:val="Compact"/>
        <w:numPr>
          <w:ilvl w:val="0"/>
          <w:numId w:val="1330"/>
        </w:numPr>
      </w:pPr>
      <w:r>
        <w:rPr>
          <w:b/>
          <w:bCs/>
        </w:rPr>
        <w:t xml:space="preserve">Drafting</w:t>
      </w:r>
      <w:r>
        <w:t xml:space="preserve">: Lead author prepares initial draft</w:t>
      </w:r>
    </w:p>
    <w:p>
      <w:pPr>
        <w:pStyle w:val="Compact"/>
        <w:numPr>
          <w:ilvl w:val="0"/>
          <w:numId w:val="1330"/>
        </w:numPr>
      </w:pPr>
      <w:r>
        <w:rPr>
          <w:b/>
          <w:bCs/>
        </w:rPr>
        <w:t xml:space="preserve">Internal review</w:t>
      </w:r>
      <w:r>
        <w:t xml:space="preserve">: Co-authors review and provide feedback</w:t>
      </w:r>
    </w:p>
    <w:p>
      <w:pPr>
        <w:pStyle w:val="Compact"/>
        <w:numPr>
          <w:ilvl w:val="0"/>
          <w:numId w:val="1330"/>
        </w:numPr>
      </w:pPr>
      <w:r>
        <w:rPr>
          <w:b/>
          <w:bCs/>
        </w:rPr>
        <w:t xml:space="preserve">Revision</w:t>
      </w:r>
      <w:r>
        <w:t xml:space="preserve">: Lead author incorporates feedback iteratively</w:t>
      </w:r>
    </w:p>
    <w:p>
      <w:pPr>
        <w:pStyle w:val="Compact"/>
        <w:numPr>
          <w:ilvl w:val="0"/>
          <w:numId w:val="1330"/>
        </w:numPr>
      </w:pPr>
      <w:r>
        <w:rPr>
          <w:b/>
          <w:bCs/>
        </w:rPr>
        <w:t xml:space="preserve">PI approval</w:t>
      </w:r>
      <w:r>
        <w:t xml:space="preserve">: Obtain final approval from PIs before submission</w:t>
      </w:r>
    </w:p>
    <w:p>
      <w:pPr>
        <w:pStyle w:val="Compact"/>
        <w:numPr>
          <w:ilvl w:val="0"/>
          <w:numId w:val="1330"/>
        </w:numPr>
      </w:pPr>
      <w:r>
        <w:rPr>
          <w:b/>
          <w:bCs/>
        </w:rPr>
        <w:t xml:space="preserve">Submission</w:t>
      </w:r>
      <w:r>
        <w:t xml:space="preserve">: Submit to journal</w:t>
      </w:r>
    </w:p>
    <w:p>
      <w:pPr>
        <w:pStyle w:val="Compact"/>
        <w:numPr>
          <w:ilvl w:val="0"/>
          <w:numId w:val="1330"/>
        </w:numPr>
      </w:pPr>
      <w:r>
        <w:rPr>
          <w:b/>
          <w:bCs/>
        </w:rPr>
        <w:t xml:space="preserve">Revisions</w:t>
      </w:r>
      <w:r>
        <w:t xml:space="preserve">: Lead author coordinates response to peer reviewers</w:t>
      </w:r>
    </w:p>
    <w:p>
      <w:pPr>
        <w:pStyle w:val="Compact"/>
        <w:numPr>
          <w:ilvl w:val="0"/>
          <w:numId w:val="1330"/>
        </w:numPr>
      </w:pPr>
      <w:r>
        <w:rPr>
          <w:b/>
          <w:bCs/>
        </w:rPr>
        <w:t xml:space="preserve">Publication</w:t>
      </w:r>
      <w:r>
        <w:t xml:space="preserve">: Celebrate and share!</w:t>
      </w:r>
    </w:p>
    <w:bookmarkEnd w:id="1086"/>
    <w:bookmarkStart w:id="108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8">
        <w:r>
          <w:rPr>
            <w:rStyle w:val="Hyperlink"/>
          </w:rPr>
          <w:t xml:space="preserve">implicature</w:t>
        </w:r>
      </w:hyperlink>
      <w:r>
        <w:t xml:space="preserve">.</w:t>
      </w:r>
    </w:p>
    <w:p>
      <w:pPr>
        <w:pStyle w:val="BodyText"/>
      </w:pPr>
      <w:r>
        <w:rPr>
          <w:b/>
          <w:bCs/>
        </w:rPr>
        <w:t xml:space="preserve">Additional tips:</w:t>
      </w:r>
    </w:p>
    <w:p>
      <w:pPr>
        <w:pStyle w:val="Compact"/>
        <w:numPr>
          <w:ilvl w:val="0"/>
          <w:numId w:val="1331"/>
        </w:numPr>
      </w:pPr>
      <w:r>
        <w:t xml:space="preserve">Always thank reviewers for their time and feedback</w:t>
      </w:r>
    </w:p>
    <w:p>
      <w:pPr>
        <w:pStyle w:val="Compact"/>
        <w:numPr>
          <w:ilvl w:val="0"/>
          <w:numId w:val="1331"/>
        </w:numPr>
      </w:pPr>
      <w:r>
        <w:t xml:space="preserve">Quote page numbers from the revised manuscript</w:t>
      </w:r>
    </w:p>
    <w:p>
      <w:pPr>
        <w:pStyle w:val="Compact"/>
        <w:numPr>
          <w:ilvl w:val="0"/>
          <w:numId w:val="1331"/>
        </w:numPr>
      </w:pPr>
      <w:r>
        <w:t xml:space="preserve">Use direct quotes from your revised text when possible</w:t>
      </w:r>
    </w:p>
    <w:p>
      <w:pPr>
        <w:pStyle w:val="Compact"/>
        <w:numPr>
          <w:ilvl w:val="0"/>
          <w:numId w:val="1331"/>
        </w:numPr>
      </w:pPr>
      <w:r>
        <w:t xml:space="preserve">Maintain a respectful and collaborative tone throughout</w:t>
      </w:r>
    </w:p>
    <w:p>
      <w:pPr>
        <w:pStyle w:val="Compact"/>
        <w:numPr>
          <w:ilvl w:val="0"/>
          <w:numId w:val="1331"/>
        </w:numPr>
      </w:pPr>
      <w:r>
        <w:t xml:space="preserve">If you make changes beyond what the reviewer requested, mention them briefly</w:t>
      </w:r>
    </w:p>
    <w:bookmarkEnd w:id="1089"/>
    <w:bookmarkStart w:id="1092" w:name="preprints-and-open-access"/>
    <w:p>
      <w:pPr>
        <w:pStyle w:val="Heading2"/>
      </w:pPr>
      <w:r>
        <w:t xml:space="preserve">24.3 Preprints and Open Access</w:t>
      </w:r>
    </w:p>
    <w:p>
      <w:pPr>
        <w:pStyle w:val="Compact"/>
        <w:numPr>
          <w:ilvl w:val="0"/>
          <w:numId w:val="1332"/>
        </w:numPr>
      </w:pPr>
      <w:r>
        <w:t xml:space="preserve">We encourage posting preprints prior to or during peer review on platforms like</w:t>
      </w:r>
      <w:r>
        <w:t xml:space="preserve"> </w:t>
      </w:r>
      <w:hyperlink r:id="rId1090">
        <w:r>
          <w:rPr>
            <w:rStyle w:val="Hyperlink"/>
          </w:rPr>
          <w:t xml:space="preserve">medRxiv</w:t>
        </w:r>
      </w:hyperlink>
      <w:r>
        <w:t xml:space="preserve"> </w:t>
      </w:r>
      <w:r>
        <w:t xml:space="preserve">or</w:t>
      </w:r>
      <w:r>
        <w:t xml:space="preserve"> </w:t>
      </w:r>
      <w:hyperlink r:id="rId1091">
        <w:r>
          <w:rPr>
            <w:rStyle w:val="Hyperlink"/>
          </w:rPr>
          <w:t xml:space="preserve">bioRxiv</w:t>
        </w:r>
      </w:hyperlink>
    </w:p>
    <w:p>
      <w:pPr>
        <w:pStyle w:val="Compact"/>
        <w:numPr>
          <w:ilvl w:val="0"/>
          <w:numId w:val="1332"/>
        </w:numPr>
      </w:pPr>
      <w:r>
        <w:t xml:space="preserve">Preprints allow rapid dissemination of findings and can be cited in grant applications</w:t>
      </w:r>
    </w:p>
    <w:p>
      <w:pPr>
        <w:pStyle w:val="Compact"/>
        <w:numPr>
          <w:ilvl w:val="0"/>
          <w:numId w:val="1332"/>
        </w:numPr>
      </w:pPr>
      <w:r>
        <w:t xml:space="preserve">We support publishing in open access journals when possible to maximize accessibility</w:t>
      </w:r>
    </w:p>
    <w:p>
      <w:pPr>
        <w:pStyle w:val="Compact"/>
        <w:numPr>
          <w:ilvl w:val="0"/>
          <w:numId w:val="133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0">
        <w:r>
          <w:rPr>
            <w:rStyle w:val="Hyperlink"/>
          </w:rPr>
          <w:t xml:space="preserve">medRxiv</w:t>
        </w:r>
      </w:hyperlink>
      <w:r>
        <w:t xml:space="preserve">.</w:t>
      </w:r>
    </w:p>
    <w:bookmarkEnd w:id="1092"/>
    <w:bookmarkStart w:id="10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3"/>
        </w:numPr>
      </w:pPr>
      <w:r>
        <w:t xml:space="preserve">CONSORT for randomized trials</w:t>
      </w:r>
    </w:p>
    <w:p>
      <w:pPr>
        <w:pStyle w:val="Compact"/>
        <w:numPr>
          <w:ilvl w:val="0"/>
          <w:numId w:val="1333"/>
        </w:numPr>
      </w:pPr>
      <w:r>
        <w:t xml:space="preserve">STROBE for observational studies</w:t>
      </w:r>
    </w:p>
    <w:p>
      <w:pPr>
        <w:pStyle w:val="Compact"/>
        <w:numPr>
          <w:ilvl w:val="0"/>
          <w:numId w:val="1333"/>
        </w:numPr>
      </w:pPr>
      <w:r>
        <w:t xml:space="preserve">PRISMA for systematic reviews</w:t>
      </w:r>
    </w:p>
    <w:p>
      <w:pPr>
        <w:pStyle w:val="Compact"/>
        <w:numPr>
          <w:ilvl w:val="0"/>
          <w:numId w:val="1333"/>
        </w:numPr>
      </w:pPr>
      <w:r>
        <w:t xml:space="preserve">Others as appropriate (see</w:t>
      </w:r>
      <w:r>
        <w:t xml:space="preserve"> </w:t>
      </w:r>
      <w:hyperlink r:id="rId46">
        <w:r>
          <w:rPr>
            <w:rStyle w:val="Hyperlink"/>
          </w:rPr>
          <w:t xml:space="preserve">EQUATOR Network</w:t>
        </w:r>
      </w:hyperlink>
      <w:r>
        <w:t xml:space="preserve">)</w:t>
      </w:r>
    </w:p>
    <w:bookmarkEnd w:id="1093"/>
    <w:bookmarkStart w:id="1094" w:name="manuscript-checklist-1"/>
    <w:p>
      <w:pPr>
        <w:pStyle w:val="Heading2"/>
      </w:pPr>
      <w:r>
        <w:t xml:space="preserve">24.5 Manuscript Checklist</w:t>
      </w:r>
    </w:p>
    <w:p>
      <w:pPr>
        <w:pStyle w:val="FirstParagraph"/>
      </w:pPr>
      <w:r>
        <w:t xml:space="preserve">Before submitting a manuscript:</w:t>
      </w:r>
    </w:p>
    <w:p>
      <w:pPr>
        <w:pStyle w:val="Compact"/>
        <w:numPr>
          <w:ilvl w:val="0"/>
          <w:numId w:val="1334"/>
        </w:numPr>
      </w:pPr>
      <w:r>
        <w:t xml:space="preserve">Completed relevant reporting checklist</w:t>
      </w:r>
    </w:p>
    <w:p>
      <w:pPr>
        <w:pStyle w:val="Compact"/>
        <w:numPr>
          <w:ilvl w:val="0"/>
          <w:numId w:val="1335"/>
        </w:numPr>
      </w:pPr>
      <w:r>
        <w:t xml:space="preserve">Results are reproducible (rerunning code replicates tables/figures exactly)</w:t>
      </w:r>
    </w:p>
    <w:p>
      <w:pPr>
        <w:pStyle w:val="Compact"/>
        <w:numPr>
          <w:ilvl w:val="0"/>
          <w:numId w:val="1336"/>
        </w:numPr>
      </w:pPr>
      <w:r>
        <w:t xml:space="preserve">Target journal selected</w:t>
      </w:r>
    </w:p>
    <w:p>
      <w:pPr>
        <w:pStyle w:val="Compact"/>
        <w:numPr>
          <w:ilvl w:val="0"/>
          <w:numId w:val="1337"/>
        </w:numPr>
      </w:pPr>
      <w:r>
        <w:t xml:space="preserve">Title is declarative and states findings clearly</w:t>
      </w:r>
    </w:p>
    <w:p>
      <w:pPr>
        <w:pStyle w:val="Compact"/>
        <w:numPr>
          <w:ilvl w:val="0"/>
          <w:numId w:val="1338"/>
        </w:numPr>
      </w:pPr>
      <w:r>
        <w:t xml:space="preserve">Word count meets journal requirements</w:t>
      </w:r>
    </w:p>
    <w:p>
      <w:pPr>
        <w:pStyle w:val="Compact"/>
        <w:numPr>
          <w:ilvl w:val="0"/>
          <w:numId w:val="1339"/>
        </w:numPr>
      </w:pPr>
      <w:r>
        <w:t xml:space="preserve">Manuscript follows journal formatting guidelines</w:t>
      </w:r>
    </w:p>
    <w:p>
      <w:pPr>
        <w:pStyle w:val="Compact"/>
        <w:numPr>
          <w:ilvl w:val="0"/>
          <w:numId w:val="1340"/>
        </w:numPr>
      </w:pPr>
      <w:r>
        <w:t xml:space="preserve">Consistent voice throughout (typically active voice)</w:t>
      </w:r>
    </w:p>
    <w:p>
      <w:pPr>
        <w:pStyle w:val="Compact"/>
        <w:numPr>
          <w:ilvl w:val="0"/>
          <w:numId w:val="1341"/>
        </w:numPr>
      </w:pPr>
      <w:r>
        <w:t xml:space="preserve">All figures and tables referenced in main text</w:t>
      </w:r>
    </w:p>
    <w:p>
      <w:pPr>
        <w:pStyle w:val="Compact"/>
        <w:numPr>
          <w:ilvl w:val="0"/>
          <w:numId w:val="1342"/>
        </w:numPr>
      </w:pPr>
      <w:r>
        <w:t xml:space="preserve">Captions for all figures and tables</w:t>
      </w:r>
    </w:p>
    <w:p>
      <w:pPr>
        <w:pStyle w:val="Compact"/>
        <w:numPr>
          <w:ilvl w:val="0"/>
          <w:numId w:val="1343"/>
        </w:numPr>
      </w:pPr>
      <w:r>
        <w:t xml:space="preserve">Tables/figures numbered by order of appearance</w:t>
      </w:r>
    </w:p>
    <w:p>
      <w:pPr>
        <w:pStyle w:val="Compact"/>
        <w:numPr>
          <w:ilvl w:val="0"/>
          <w:numId w:val="1344"/>
        </w:numPr>
      </w:pPr>
      <w:r>
        <w:t xml:space="preserve">Abbreviations defined at first use and used sparingly</w:t>
      </w:r>
    </w:p>
    <w:p>
      <w:pPr>
        <w:pStyle w:val="Compact"/>
        <w:numPr>
          <w:ilvl w:val="0"/>
          <w:numId w:val="134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Avoid directionless statements (specify direction of associations)</w:t>
      </w:r>
    </w:p>
    <w:p>
      <w:pPr>
        <w:pStyle w:val="Compact"/>
        <w:numPr>
          <w:ilvl w:val="0"/>
          <w:numId w:val="1347"/>
        </w:numPr>
      </w:pPr>
      <w:r>
        <w:t xml:space="preserve">Causal language only when supported by study design</w:t>
      </w:r>
    </w:p>
    <w:p>
      <w:pPr>
        <w:pStyle w:val="Compact"/>
        <w:numPr>
          <w:ilvl w:val="0"/>
          <w:numId w:val="134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9"/>
        </w:numPr>
      </w:pPr>
      <w:r>
        <w:t xml:space="preserve">Author contributions drafted using CRediT Taxonomy</w:t>
      </w:r>
    </w:p>
    <w:bookmarkEnd w:id="1094"/>
    <w:bookmarkStart w:id="109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9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9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7"/>
    <w:bookmarkStart w:id="109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1"/>
        </w:numPr>
      </w:pPr>
      <w:r>
        <w:rPr>
          <w:b/>
          <w:bCs/>
        </w:rPr>
        <w:t xml:space="preserve">Cite primary sources</w:t>
      </w:r>
      <w:r>
        <w:t xml:space="preserve"> </w:t>
      </w:r>
      <w:r>
        <w:t xml:space="preserve">for factual statements about established knowledge, methods, or findings</w:t>
      </w:r>
    </w:p>
    <w:p>
      <w:pPr>
        <w:pStyle w:val="Compact"/>
        <w:numPr>
          <w:ilvl w:val="0"/>
          <w:numId w:val="1351"/>
        </w:numPr>
      </w:pPr>
      <w:r>
        <w:rPr>
          <w:b/>
          <w:bCs/>
        </w:rPr>
        <w:t xml:space="preserve">Cite official documentation</w:t>
      </w:r>
      <w:r>
        <w:t xml:space="preserve"> </w:t>
      </w:r>
      <w:r>
        <w:t xml:space="preserve">when describing how software, tools, or systems work</w:t>
      </w:r>
    </w:p>
    <w:p>
      <w:pPr>
        <w:pStyle w:val="Compact"/>
        <w:numPr>
          <w:ilvl w:val="0"/>
          <w:numId w:val="135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2"/>
        </w:numPr>
      </w:pPr>
      <w:r>
        <w:rPr>
          <w:b/>
          <w:bCs/>
        </w:rPr>
        <w:t xml:space="preserve">Demonstrate directly</w:t>
      </w:r>
      <w:r>
        <w:t xml:space="preserve">: Show the behavior through experiments, data, or explicit examples</w:t>
      </w:r>
    </w:p>
    <w:p>
      <w:pPr>
        <w:pStyle w:val="Compact"/>
        <w:numPr>
          <w:ilvl w:val="0"/>
          <w:numId w:val="135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3"/>
        </w:numPr>
      </w:pPr>
      <w:r>
        <w:t xml:space="preserve">Builds reader trust and credibility</w:t>
      </w:r>
    </w:p>
    <w:p>
      <w:pPr>
        <w:pStyle w:val="Compact"/>
        <w:numPr>
          <w:ilvl w:val="0"/>
          <w:numId w:val="1353"/>
        </w:numPr>
      </w:pPr>
      <w:r>
        <w:t xml:space="preserve">Enables readers to verify information independently</w:t>
      </w:r>
    </w:p>
    <w:p>
      <w:pPr>
        <w:pStyle w:val="Compact"/>
        <w:numPr>
          <w:ilvl w:val="0"/>
          <w:numId w:val="1353"/>
        </w:numPr>
      </w:pPr>
      <w:r>
        <w:t xml:space="preserve">Maintains scientific rigor in all communications</w:t>
      </w:r>
    </w:p>
    <w:p>
      <w:pPr>
        <w:pStyle w:val="Compact"/>
        <w:numPr>
          <w:ilvl w:val="0"/>
          <w:numId w:val="135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9"/>
    <w:bookmarkEnd w:id="1100"/>
    <w:bookmarkStart w:id="1185" w:name="references"/>
    <w:p>
      <w:pPr>
        <w:pStyle w:val="Heading1"/>
      </w:pPr>
      <w:r>
        <w:t xml:space="preserve">References</w:t>
      </w:r>
    </w:p>
    <w:bookmarkStart w:id="1184" w:name="refs"/>
    <w:bookmarkStart w:id="11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1">
        <w:r>
          <w:rPr>
            <w:rStyle w:val="Hyperlink"/>
          </w:rPr>
          <w:t xml:space="preserve">https://doi.org/10.1371/journal.pgph.0002269</w:t>
        </w:r>
      </w:hyperlink>
      <w:r>
        <w:t xml:space="preserve">.</w:t>
      </w:r>
    </w:p>
    <w:bookmarkEnd w:id="1102"/>
    <w:bookmarkStart w:id="110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3">
        <w:r>
          <w:rPr>
            <w:rStyle w:val="Hyperlink"/>
          </w:rPr>
          <w:t xml:space="preserve">https://doi.org/10.1038/d41586-019-01431-z</w:t>
        </w:r>
      </w:hyperlink>
      <w:r>
        <w:t xml:space="preserve">.</w:t>
      </w:r>
    </w:p>
    <w:bookmarkEnd w:id="1104"/>
    <w:bookmarkStart w:id="11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5">
        <w:r>
          <w:rPr>
            <w:rStyle w:val="Hyperlink"/>
          </w:rPr>
          <w:t xml:space="preserve">https://jadebc.github.io/lab-manual/</w:t>
        </w:r>
      </w:hyperlink>
      <w:r>
        <w:t xml:space="preserve">.</w:t>
      </w:r>
    </w:p>
    <w:bookmarkEnd w:id="1106"/>
    <w:bookmarkStart w:id="11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7">
        <w:r>
          <w:rPr>
            <w:rStyle w:val="Hyperlink"/>
          </w:rPr>
          <w:t xml:space="preserve">https://happygitwithr.com/</w:t>
        </w:r>
      </w:hyperlink>
      <w:r>
        <w:t xml:space="preserve">.</w:t>
      </w:r>
    </w:p>
    <w:bookmarkEnd w:id="1108"/>
    <w:bookmarkStart w:id="11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09"/>
    <w:bookmarkStart w:id="11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0">
        <w:r>
          <w:rPr>
            <w:rStyle w:val="Hyperlink"/>
          </w:rPr>
          <w:t xml:space="preserve">https://doi.org/10.1038/s41467-020-19160-7</w:t>
        </w:r>
      </w:hyperlink>
      <w:r>
        <w:t xml:space="preserve">.</w:t>
      </w:r>
    </w:p>
    <w:bookmarkEnd w:id="1111"/>
    <w:bookmarkStart w:id="11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2">
        <w:r>
          <w:rPr>
            <w:rStyle w:val="Hyperlink"/>
          </w:rPr>
          <w:t xml:space="preserve">http://creativecommons.org/licenses/by-nc/4.0/</w:t>
        </w:r>
      </w:hyperlink>
      <w:r>
        <w:t xml:space="preserve">.</w:t>
      </w:r>
    </w:p>
    <w:bookmarkEnd w:id="1113"/>
    <w:bookmarkStart w:id="1115" w:name="ref-credit"/>
    <w:p>
      <w:pPr>
        <w:pStyle w:val="Bibliography"/>
      </w:pPr>
      <w:r>
        <w:t xml:space="preserve">“CRediT: Contributor Roles Taxonomy.”</w:t>
      </w:r>
      <w:r>
        <w:t xml:space="preserve"> </w:t>
      </w:r>
      <w:r>
        <w:t xml:space="preserve">n.d. PLOS ONE.</w:t>
      </w:r>
      <w:r>
        <w:t xml:space="preserve"> </w:t>
      </w:r>
      <w:hyperlink r:id="rId1114">
        <w:r>
          <w:rPr>
            <w:rStyle w:val="Hyperlink"/>
          </w:rPr>
          <w:t xml:space="preserve">https://journals.plos.org/plosone/s/authorship</w:t>
        </w:r>
      </w:hyperlink>
      <w:r>
        <w:t xml:space="preserve">.</w:t>
      </w:r>
    </w:p>
    <w:bookmarkEnd w:id="1115"/>
    <w:bookmarkStart w:id="1117" w:name="ref-dryad"/>
    <w:p>
      <w:pPr>
        <w:pStyle w:val="Bibliography"/>
      </w:pPr>
      <w:r>
        <w:t xml:space="preserve">“Dryad Digital Repository.”</w:t>
      </w:r>
      <w:r>
        <w:t xml:space="preserve"> </w:t>
      </w:r>
      <w:r>
        <w:t xml:space="preserve">n.d. Dryad.</w:t>
      </w:r>
      <w:r>
        <w:t xml:space="preserve"> </w:t>
      </w:r>
      <w:hyperlink r:id="rId1116">
        <w:r>
          <w:rPr>
            <w:rStyle w:val="Hyperlink"/>
          </w:rPr>
          <w:t xml:space="preserve">https://datadryad.org/</w:t>
        </w:r>
      </w:hyperlink>
      <w:r>
        <w:t xml:space="preserve">.</w:t>
      </w:r>
    </w:p>
    <w:bookmarkEnd w:id="1117"/>
    <w:bookmarkStart w:id="11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8"/>
    <w:bookmarkStart w:id="11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9">
        <w:r>
          <w:rPr>
            <w:rStyle w:val="Hyperlink"/>
          </w:rPr>
          <w:t xml:space="preserve">https://doi.org/10.1201/9781003029878</w:t>
        </w:r>
      </w:hyperlink>
      <w:r>
        <w:t xml:space="preserve">.</w:t>
      </w:r>
    </w:p>
    <w:bookmarkEnd w:id="1120"/>
    <w:bookmarkStart w:id="112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1"/>
    <w:bookmarkStart w:id="1123" w:name="ref-githubdesktop"/>
    <w:p>
      <w:pPr>
        <w:pStyle w:val="Bibliography"/>
      </w:pPr>
      <w:r>
        <w:t xml:space="preserve">“GitHub Desktop.”</w:t>
      </w:r>
      <w:r>
        <w:t xml:space="preserve"> </w:t>
      </w:r>
      <w:r>
        <w:t xml:space="preserve">n.d. GitHub.</w:t>
      </w:r>
      <w:r>
        <w:t xml:space="preserve"> </w:t>
      </w:r>
      <w:hyperlink r:id="rId1122">
        <w:r>
          <w:rPr>
            <w:rStyle w:val="Hyperlink"/>
          </w:rPr>
          <w:t xml:space="preserve">https://desktop.github.com/</w:t>
        </w:r>
      </w:hyperlink>
      <w:r>
        <w:t xml:space="preserve">.</w:t>
      </w:r>
    </w:p>
    <w:bookmarkEnd w:id="1123"/>
    <w:bookmarkStart w:id="1125" w:name="ref-plos_data"/>
    <w:p>
      <w:pPr>
        <w:pStyle w:val="Bibliography"/>
      </w:pPr>
      <w:r>
        <w:t xml:space="preserve">“How to Store and Manage Your Data.”</w:t>
      </w:r>
      <w:r>
        <w:t xml:space="preserve"> </w:t>
      </w:r>
      <w:r>
        <w:t xml:space="preserve">n.d. PLOS.</w:t>
      </w:r>
      <w:r>
        <w:t xml:space="preserve"> </w:t>
      </w:r>
      <w:hyperlink r:id="rId1124">
        <w:r>
          <w:rPr>
            <w:rStyle w:val="Hyperlink"/>
          </w:rPr>
          <w:t xml:space="preserve">https://plos.org/resource/how-to-store-and-manage-your-data/</w:t>
        </w:r>
      </w:hyperlink>
      <w:r>
        <w:t xml:space="preserve">.</w:t>
      </w:r>
    </w:p>
    <w:bookmarkEnd w:id="1125"/>
    <w:bookmarkStart w:id="112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26"/>
    <w:bookmarkStart w:id="112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7"/>
    <w:bookmarkStart w:id="112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8">
        <w:r>
          <w:rPr>
            <w:rStyle w:val="Hyperlink"/>
          </w:rPr>
          <w:t xml:space="preserve">https://mentors.fm/2019/08/13/think-and-write-with-leslie-lamport/</w:t>
        </w:r>
      </w:hyperlink>
      <w:r>
        <w:t xml:space="preserve">.</w:t>
      </w:r>
    </w:p>
    <w:bookmarkEnd w:id="1129"/>
    <w:bookmarkStart w:id="113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0"/>
    <w:bookmarkStart w:id="1131" w:name="ref-medRxiv"/>
    <w:p>
      <w:pPr>
        <w:pStyle w:val="Bibliography"/>
      </w:pPr>
      <w:r>
        <w:t xml:space="preserve">“medRxiv: The Preprint Server for Health Sciences.”</w:t>
      </w:r>
      <w:r>
        <w:t xml:space="preserve"> </w:t>
      </w:r>
      <w:r>
        <w:t xml:space="preserve">n.d. Cold Spring Harbor Laboratory.</w:t>
      </w:r>
      <w:r>
        <w:t xml:space="preserve"> </w:t>
      </w:r>
      <w:hyperlink r:id="rId1090">
        <w:r>
          <w:rPr>
            <w:rStyle w:val="Hyperlink"/>
          </w:rPr>
          <w:t xml:space="preserve">https://www.medrxiv.org/</w:t>
        </w:r>
      </w:hyperlink>
      <w:r>
        <w:t xml:space="preserve">.</w:t>
      </w:r>
    </w:p>
    <w:bookmarkEnd w:id="1131"/>
    <w:bookmarkStart w:id="113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2">
        <w:r>
          <w:rPr>
            <w:rStyle w:val="Hyperlink"/>
          </w:rPr>
          <w:t xml:space="preserve">https://doi.org/10.1038/467775a</w:t>
        </w:r>
      </w:hyperlink>
      <w:r>
        <w:t xml:space="preserve">.</w:t>
      </w:r>
    </w:p>
    <w:bookmarkEnd w:id="1133"/>
    <w:bookmarkStart w:id="113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4">
        <w:r>
          <w:rPr>
            <w:rStyle w:val="Hyperlink"/>
          </w:rPr>
          <w:t xml:space="preserve">https://doi.org/10.1038/s41562-016-0021</w:t>
        </w:r>
      </w:hyperlink>
      <w:r>
        <w:t xml:space="preserve">.</w:t>
      </w:r>
    </w:p>
    <w:bookmarkEnd w:id="1135"/>
    <w:bookmarkStart w:id="113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36">
        <w:r>
          <w:rPr>
            <w:rStyle w:val="Hyperlink"/>
          </w:rPr>
          <w:t xml:space="preserve">https://doi.org/10.1038/526182a</w:t>
        </w:r>
      </w:hyperlink>
      <w:r>
        <w:t xml:space="preserve">.</w:t>
      </w:r>
    </w:p>
    <w:bookmarkEnd w:id="1137"/>
    <w:bookmarkStart w:id="1139" w:name="ref-osf"/>
    <w:p>
      <w:pPr>
        <w:pStyle w:val="Bibliography"/>
      </w:pPr>
      <w:r>
        <w:t xml:space="preserve">“Open Science Framework.”</w:t>
      </w:r>
      <w:r>
        <w:t xml:space="preserve"> </w:t>
      </w:r>
      <w:r>
        <w:t xml:space="preserve">n.d. Center for Open Science.</w:t>
      </w:r>
      <w:r>
        <w:t xml:space="preserve"> </w:t>
      </w:r>
      <w:hyperlink r:id="rId1138">
        <w:r>
          <w:rPr>
            <w:rStyle w:val="Hyperlink"/>
          </w:rPr>
          <w:t xml:space="preserve">https://osf.io/</w:t>
        </w:r>
      </w:hyperlink>
      <w:r>
        <w:t xml:space="preserve">.</w:t>
      </w:r>
    </w:p>
    <w:bookmarkEnd w:id="1139"/>
    <w:bookmarkStart w:id="114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0"/>
    <w:bookmarkStart w:id="1142" w:name="ref-githubaccountarchive"/>
    <w:p>
      <w:pPr>
        <w:pStyle w:val="Bibliography"/>
      </w:pPr>
      <w:r>
        <w:t xml:space="preserve">“Requesting an Archive of Your Personal Account’s Data.”</w:t>
      </w:r>
      <w:r>
        <w:t xml:space="preserve"> </w:t>
      </w:r>
      <w:r>
        <w:t xml:space="preserve">n.d. GitHub.</w:t>
      </w:r>
      <w:r>
        <w:t xml:space="preserve"> </w:t>
      </w:r>
      <w:hyperlink r:id="rId1141">
        <w:r>
          <w:rPr>
            <w:rStyle w:val="Hyperlink"/>
          </w:rPr>
          <w:t xml:space="preserve">https://docs.github.com/en/get-started/archiving-your-github-personal-account-and-public-repositories/requesting-an-archive-of-your-personal-accounts-data</w:t>
        </w:r>
      </w:hyperlink>
      <w:r>
        <w:t xml:space="preserve">.</w:t>
      </w:r>
    </w:p>
    <w:bookmarkEnd w:id="1142"/>
    <w:bookmarkStart w:id="1144" w:name="ref-githuborgmigrations"/>
    <w:p>
      <w:pPr>
        <w:pStyle w:val="Bibliography"/>
      </w:pPr>
      <w:r>
        <w:t xml:space="preserve">“REST API Endpoints for Organization Migrations.”</w:t>
      </w:r>
      <w:r>
        <w:t xml:space="preserve"> </w:t>
      </w:r>
      <w:r>
        <w:t xml:space="preserve">n.d. GitHub.</w:t>
      </w:r>
      <w:r>
        <w:t xml:space="preserve"> </w:t>
      </w:r>
      <w:hyperlink r:id="rId1143">
        <w:r>
          <w:rPr>
            <w:rStyle w:val="Hyperlink"/>
          </w:rPr>
          <w:t xml:space="preserve">https://docs.github.com/en/rest/migrations/orgs</w:t>
        </w:r>
      </w:hyperlink>
      <w:r>
        <w:t xml:space="preserve">.</w:t>
      </w:r>
    </w:p>
    <w:bookmarkEnd w:id="1144"/>
    <w:bookmarkStart w:id="1146" w:name="ref-githubusermigrations"/>
    <w:p>
      <w:pPr>
        <w:pStyle w:val="Bibliography"/>
      </w:pPr>
      <w:r>
        <w:t xml:space="preserve">“REST API Endpoints for User Migrations.”</w:t>
      </w:r>
      <w:r>
        <w:t xml:space="preserve"> </w:t>
      </w:r>
      <w:r>
        <w:t xml:space="preserve">n.d. GitHub.</w:t>
      </w:r>
      <w:r>
        <w:t xml:space="preserve"> </w:t>
      </w:r>
      <w:hyperlink r:id="rId1145">
        <w:r>
          <w:rPr>
            <w:rStyle w:val="Hyperlink"/>
          </w:rPr>
          <w:t xml:space="preserve">https://docs.github.com/en/rest/migrations/users</w:t>
        </w:r>
      </w:hyperlink>
      <w:r>
        <w:t xml:space="preserve">.</w:t>
      </w:r>
    </w:p>
    <w:bookmarkEnd w:id="1146"/>
    <w:bookmarkStart w:id="1148" w:name="ref-gitfixum"/>
    <w:p>
      <w:pPr>
        <w:pStyle w:val="Bibliography"/>
      </w:pPr>
      <w:r>
        <w:t xml:space="preserve">Robertson, Seth. n.d.</w:t>
      </w:r>
      <w:r>
        <w:t xml:space="preserve"> </w:t>
      </w:r>
      <w:r>
        <w:t xml:space="preserve">“On Undoing, Fixing, or Removing Commits in Git.”</w:t>
      </w:r>
      <w:r>
        <w:t xml:space="preserve"> </w:t>
      </w:r>
      <w:hyperlink r:id="rId1147">
        <w:r>
          <w:rPr>
            <w:rStyle w:val="Hyperlink"/>
          </w:rPr>
          <w:t xml:space="preserve">https://sethrobertson.github.io/GitFixUm/fixup.html</w:t>
        </w:r>
      </w:hyperlink>
      <w:r>
        <w:t xml:space="preserve">.</w:t>
      </w:r>
    </w:p>
    <w:bookmarkEnd w:id="1148"/>
    <w:bookmarkStart w:id="11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9">
        <w:r>
          <w:rPr>
            <w:rStyle w:val="Hyperlink"/>
          </w:rPr>
          <w:t xml:space="preserve">https://doi.org/10.1371/journal.pcbi.1003833</w:t>
        </w:r>
      </w:hyperlink>
      <w:r>
        <w:t xml:space="preserve">.</w:t>
      </w:r>
    </w:p>
    <w:bookmarkEnd w:id="1150"/>
    <w:bookmarkStart w:id="11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1">
        <w:r>
          <w:rPr>
            <w:rStyle w:val="Hyperlink"/>
          </w:rPr>
          <w:t xml:space="preserve">https://doi.org/10.1038/d41586-019-02918-5</w:t>
        </w:r>
      </w:hyperlink>
      <w:r>
        <w:t xml:space="preserve">.</w:t>
      </w:r>
    </w:p>
    <w:bookmarkEnd w:id="1152"/>
    <w:bookmarkStart w:id="1154" w:name="ref-slurm-salloc"/>
    <w:p>
      <w:pPr>
        <w:pStyle w:val="Bibliography"/>
      </w:pPr>
      <w:r>
        <w:t xml:space="preserve">“Slurm Workload Manager: Salloc Documentation.”</w:t>
      </w:r>
      <w:r>
        <w:t xml:space="preserve"> </w:t>
      </w:r>
      <w:r>
        <w:t xml:space="preserve">n.d.-a. SchedMD.</w:t>
      </w:r>
      <w:r>
        <w:t xml:space="preserve"> </w:t>
      </w:r>
      <w:hyperlink r:id="rId1153">
        <w:r>
          <w:rPr>
            <w:rStyle w:val="Hyperlink"/>
          </w:rPr>
          <w:t xml:space="preserve">https://slurm.schedmd.com/salloc.html</w:t>
        </w:r>
      </w:hyperlink>
      <w:r>
        <w:t xml:space="preserve">.</w:t>
      </w:r>
    </w:p>
    <w:bookmarkEnd w:id="1154"/>
    <w:bookmarkStart w:id="1156" w:name="ref-slurm-sattach"/>
    <w:p>
      <w:pPr>
        <w:pStyle w:val="Bibliography"/>
      </w:pPr>
      <w:r>
        <w:t xml:space="preserve">“Slurm Workload Manager: Sattach Documentation.”</w:t>
      </w:r>
      <w:r>
        <w:t xml:space="preserve"> </w:t>
      </w:r>
      <w:r>
        <w:t xml:space="preserve">n.d.-b. SchedMD.</w:t>
      </w:r>
      <w:r>
        <w:t xml:space="preserve"> </w:t>
      </w:r>
      <w:hyperlink r:id="rId1155">
        <w:r>
          <w:rPr>
            <w:rStyle w:val="Hyperlink"/>
          </w:rPr>
          <w:t xml:space="preserve">https://slurm.schedmd.com/sattach.html</w:t>
        </w:r>
      </w:hyperlink>
      <w:r>
        <w:t xml:space="preserve">.</w:t>
      </w:r>
    </w:p>
    <w:bookmarkEnd w:id="1156"/>
    <w:bookmarkStart w:id="1158" w:name="ref-slurm"/>
    <w:p>
      <w:pPr>
        <w:pStyle w:val="Bibliography"/>
      </w:pPr>
      <w:r>
        <w:t xml:space="preserve">“Slurm Workload Manager: Sbatch Documentation.”</w:t>
      </w:r>
      <w:r>
        <w:t xml:space="preserve"> </w:t>
      </w:r>
      <w:r>
        <w:t xml:space="preserve">n.d.-c. SchedMD.</w:t>
      </w:r>
      <w:r>
        <w:t xml:space="preserve"> </w:t>
      </w:r>
      <w:hyperlink r:id="rId1157">
        <w:r>
          <w:rPr>
            <w:rStyle w:val="Hyperlink"/>
          </w:rPr>
          <w:t xml:space="preserve">https://slurm.schedmd.com/sbatch.html</w:t>
        </w:r>
      </w:hyperlink>
      <w:r>
        <w:t xml:space="preserve">.</w:t>
      </w:r>
    </w:p>
    <w:bookmarkEnd w:id="1158"/>
    <w:bookmarkStart w:id="1160" w:name="ref-slurm-squeue"/>
    <w:p>
      <w:pPr>
        <w:pStyle w:val="Bibliography"/>
      </w:pPr>
      <w:r>
        <w:t xml:space="preserve">“Slurm Workload Manager: Squeue Documentation.”</w:t>
      </w:r>
      <w:r>
        <w:t xml:space="preserve"> </w:t>
      </w:r>
      <w:r>
        <w:t xml:space="preserve">n.d.-d. SchedMD.</w:t>
      </w:r>
      <w:r>
        <w:t xml:space="preserve"> </w:t>
      </w:r>
      <w:hyperlink r:id="rId1159">
        <w:r>
          <w:rPr>
            <w:rStyle w:val="Hyperlink"/>
          </w:rPr>
          <w:t xml:space="preserve">https://slurm.schedmd.com/squeue.html</w:t>
        </w:r>
      </w:hyperlink>
      <w:r>
        <w:t xml:space="preserve">.</w:t>
      </w:r>
    </w:p>
    <w:bookmarkEnd w:id="1160"/>
    <w:bookmarkStart w:id="1162" w:name="ref-slurm-srun"/>
    <w:p>
      <w:pPr>
        <w:pStyle w:val="Bibliography"/>
      </w:pPr>
      <w:r>
        <w:t xml:space="preserve">“Slurm Workload Manager: Srun Documentation.”</w:t>
      </w:r>
      <w:r>
        <w:t xml:space="preserve"> </w:t>
      </w:r>
      <w:r>
        <w:t xml:space="preserve">n.d.-e. SchedMD.</w:t>
      </w:r>
      <w:r>
        <w:t xml:space="preserve"> </w:t>
      </w:r>
      <w:hyperlink r:id="rId1161">
        <w:r>
          <w:rPr>
            <w:rStyle w:val="Hyperlink"/>
          </w:rPr>
          <w:t xml:space="preserve">https://slurm.schedmd.com/srun.html</w:t>
        </w:r>
      </w:hyperlink>
      <w:r>
        <w:t xml:space="preserve">.</w:t>
      </w:r>
    </w:p>
    <w:bookmarkEnd w:id="1162"/>
    <w:bookmarkStart w:id="1164" w:name="ref-openssh-ssh-config"/>
    <w:p>
      <w:pPr>
        <w:pStyle w:val="Bibliography"/>
      </w:pPr>
      <w:r>
        <w:t xml:space="preserve">“Ssh_config(5) Manual Page.”</w:t>
      </w:r>
      <w:r>
        <w:t xml:space="preserve"> </w:t>
      </w:r>
      <w:r>
        <w:t xml:space="preserve">n.d. OpenBSD.</w:t>
      </w:r>
      <w:r>
        <w:t xml:space="preserve"> </w:t>
      </w:r>
      <w:hyperlink r:id="rId1163">
        <w:r>
          <w:rPr>
            <w:rStyle w:val="Hyperlink"/>
          </w:rPr>
          <w:t xml:space="preserve">https://man.openbsd.org/ssh_config</w:t>
        </w:r>
      </w:hyperlink>
      <w:r>
        <w:t xml:space="preserve">.</w:t>
      </w:r>
    </w:p>
    <w:bookmarkEnd w:id="1164"/>
    <w:bookmarkStart w:id="1166" w:name="ref-openssh-ssh-config-debian"/>
    <w:p>
      <w:pPr>
        <w:pStyle w:val="Bibliography"/>
      </w:pPr>
      <w:r>
        <w:t xml:space="preserve">“Ssh_config(5) Manual Page, Debian Edition.”</w:t>
      </w:r>
      <w:r>
        <w:t xml:space="preserve"> </w:t>
      </w:r>
      <w:r>
        <w:t xml:space="preserve">n.d. Debian Project.</w:t>
      </w:r>
      <w:r>
        <w:t xml:space="preserve"> </w:t>
      </w:r>
      <w:hyperlink r:id="rId1165">
        <w:r>
          <w:rPr>
            <w:rStyle w:val="Hyperlink"/>
          </w:rPr>
          <w:t xml:space="preserve">https://manpages.debian.org/stable/openssh-client/ssh_config.5.en.html</w:t>
        </w:r>
      </w:hyperlink>
      <w:r>
        <w:t xml:space="preserve">.</w:t>
      </w:r>
    </w:p>
    <w:bookmarkEnd w:id="1166"/>
    <w:bookmarkStart w:id="116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7">
        <w:r>
          <w:rPr>
            <w:rStyle w:val="Hyperlink"/>
          </w:rPr>
          <w:t xml:space="preserve">https://doi.org/10.1038/d41586-019-00067-3</w:t>
        </w:r>
      </w:hyperlink>
      <w:r>
        <w:t xml:space="preserve">.</w:t>
      </w:r>
    </w:p>
    <w:bookmarkEnd w:id="1168"/>
    <w:bookmarkStart w:id="116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69"/>
    <w:bookmarkStart w:id="117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0">
        <w:r>
          <w:rPr>
            <w:rStyle w:val="Hyperlink"/>
          </w:rPr>
          <w:t xml:space="preserve">https://doi.org/10.1038/d41586-021-03603-2</w:t>
        </w:r>
      </w:hyperlink>
      <w:r>
        <w:t xml:space="preserve">.</w:t>
      </w:r>
    </w:p>
    <w:bookmarkEnd w:id="1171"/>
    <w:bookmarkStart w:id="11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2">
        <w:r>
          <w:rPr>
            <w:rStyle w:val="Hyperlink"/>
          </w:rPr>
          <w:t xml:space="preserve">https://doi.org/10.1201/9781351201315</w:t>
        </w:r>
      </w:hyperlink>
      <w:r>
        <w:t xml:space="preserve">.</w:t>
      </w:r>
    </w:p>
    <w:bookmarkEnd w:id="1173"/>
    <w:bookmarkStart w:id="11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4">
        <w:r>
          <w:rPr>
            <w:rStyle w:val="Hyperlink"/>
          </w:rPr>
          <w:t xml:space="preserve">https://mastering-shiny.org/</w:t>
        </w:r>
      </w:hyperlink>
      <w:r>
        <w:t xml:space="preserve">.</w:t>
      </w:r>
    </w:p>
    <w:bookmarkEnd w:id="1175"/>
    <w:bookmarkStart w:id="11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76"/>
    <w:bookmarkStart w:id="11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7">
        <w:r>
          <w:rPr>
            <w:rStyle w:val="Hyperlink"/>
          </w:rPr>
          <w:t xml:space="preserve">https://design.tidyverse.org/</w:t>
        </w:r>
      </w:hyperlink>
      <w:r>
        <w:t xml:space="preserve">.</w:t>
      </w:r>
    </w:p>
    <w:bookmarkEnd w:id="1178"/>
    <w:bookmarkStart w:id="11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9">
        <w:r>
          <w:rPr>
            <w:rStyle w:val="Hyperlink"/>
          </w:rPr>
          <w:t xml:space="preserve">https://r-pkgs.org/</w:t>
        </w:r>
      </w:hyperlink>
      <w:r>
        <w:t xml:space="preserve">.</w:t>
      </w:r>
    </w:p>
    <w:bookmarkEnd w:id="1180"/>
    <w:bookmarkStart w:id="11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1">
        <w:r>
          <w:rPr>
            <w:rStyle w:val="Hyperlink"/>
          </w:rPr>
          <w:t xml:space="preserve">https://r4ds.hadley.nz/</w:t>
        </w:r>
      </w:hyperlink>
      <w:r>
        <w:t xml:space="preserve">.</w:t>
      </w:r>
    </w:p>
    <w:bookmarkEnd w:id="1182"/>
    <w:bookmarkStart w:id="11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3"/>
    <w:bookmarkEnd w:id="1184"/>
    <w:p>
      <w:r>
        <w:br w:type="page"/>
      </w:r>
    </w:p>
    <w:bookmarkEnd w:id="1185"/>
    <w:bookmarkStart w:id="11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86">
        <w:r>
          <w:rPr>
            <w:rStyle w:val="Hyperlink"/>
          </w:rPr>
          <w:t xml:space="preserve">https://ucd-serg.github.io/lab-manual/appendix-copilot-instructions.html</w:t>
        </w:r>
      </w:hyperlink>
    </w:p>
    <w:p>
      <w:r>
        <w:br w:type="page"/>
      </w:r>
    </w:p>
    <w:bookmarkEnd w:id="1187"/>
    <w:bookmarkStart w:id="11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8">
        <w:r>
          <w:rPr>
            <w:rStyle w:val="Hyperlink"/>
          </w:rPr>
          <w:t xml:space="preserve">https://ucd-serg.github.io/lab-manual/appendix-copilot-setup-steps.html</w:t>
        </w:r>
      </w:hyperlink>
    </w:p>
    <w:p>
      <w:r>
        <w:br w:type="page"/>
      </w:r>
    </w:p>
    <w:bookmarkEnd w:id="1189"/>
    <w:bookmarkStart w:id="11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4"/>
        </w:numPr>
      </w:pPr>
      <w:r>
        <w:rPr>
          <w:b/>
          <w:bCs/>
        </w:rPr>
        <w:t xml:space="preserve">Branch:</w:t>
      </w:r>
      <w:r>
        <w:t xml:space="preserve"> </w:t>
      </w:r>
      <w:r>
        <w:t xml:space="preserve">HEAD</w:t>
      </w:r>
    </w:p>
    <w:p>
      <w:pPr>
        <w:pStyle w:val="Compact"/>
        <w:numPr>
          <w:ilvl w:val="0"/>
          <w:numId w:val="1354"/>
        </w:numPr>
      </w:pPr>
      <w:r>
        <w:rPr>
          <w:b/>
          <w:bCs/>
        </w:rPr>
        <w:t xml:space="preserve">Commit:</w:t>
      </w:r>
      <w:r>
        <w:t xml:space="preserve"> </w:t>
      </w:r>
      <w:r>
        <w:t xml:space="preserve">19437f3</w:t>
      </w:r>
    </w:p>
    <w:p>
      <w:pPr>
        <w:pStyle w:val="Compact"/>
        <w:numPr>
          <w:ilvl w:val="0"/>
          <w:numId w:val="1354"/>
        </w:numPr>
      </w:pPr>
      <w:r>
        <w:rPr>
          <w:b/>
          <w:bCs/>
        </w:rPr>
        <w:t xml:space="preserve">Full commit hash:</w:t>
      </w:r>
      <w:r>
        <w:t xml:space="preserve"> </w:t>
      </w:r>
      <w:r>
        <w:t xml:space="preserve">19437f3f438ba5076ab295db8cbca1bc1dee9ab3</w:t>
      </w:r>
    </w:p>
    <w:p>
      <w:pPr>
        <w:pStyle w:val="Compact"/>
        <w:numPr>
          <w:ilvl w:val="0"/>
          <w:numId w:val="1354"/>
        </w:numPr>
      </w:pPr>
      <w:r>
        <w:rPr>
          <w:b/>
          <w:bCs/>
        </w:rPr>
        <w:t xml:space="preserve">Commit date:</w:t>
      </w:r>
      <w:r>
        <w:t xml:space="preserve"> </w:t>
      </w:r>
      <w:r>
        <w:t xml:space="preserve">2026-09-02 19:06:55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1"/>
  </w:num>
  <w:num w:numId="1353">
    <w:abstractNumId w:val="991"/>
  </w:num>
  <w:num w:numId="13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4"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58" Target="http://colorbrewer2.org/" TargetMode="External" /><Relationship Type="http://schemas.openxmlformats.org/officeDocument/2006/relationships/hyperlink" Id="rId1112"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096"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16" Target="https://datadryad.org/" TargetMode="External" /><Relationship Type="http://schemas.openxmlformats.org/officeDocument/2006/relationships/hyperlink" Id="rId1095"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77"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2"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1"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3" Target="https://docs.github.com/en/rest/migrations/orgs" TargetMode="External" /><Relationship Type="http://schemas.openxmlformats.org/officeDocument/2006/relationships/hyperlink" Id="rId1145"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2" Target="https://doi.org/10.1038/467775a" TargetMode="External" /><Relationship Type="http://schemas.openxmlformats.org/officeDocument/2006/relationships/hyperlink" Id="rId1136" Target="https://doi.org/10.1038/526182a" TargetMode="External" /><Relationship Type="http://schemas.openxmlformats.org/officeDocument/2006/relationships/hyperlink" Id="rId1167" Target="https://doi.org/10.1038/d41586-019-00067-3" TargetMode="External" /><Relationship Type="http://schemas.openxmlformats.org/officeDocument/2006/relationships/hyperlink" Id="rId1103" Target="https://doi.org/10.1038/d41586-019-01431-z" TargetMode="External" /><Relationship Type="http://schemas.openxmlformats.org/officeDocument/2006/relationships/hyperlink" Id="rId1151" Target="https://doi.org/10.1038/d41586-019-02918-5" TargetMode="External" /><Relationship Type="http://schemas.openxmlformats.org/officeDocument/2006/relationships/hyperlink" Id="rId1170" Target="https://doi.org/10.1038/d41586-021-03603-2" TargetMode="External" /><Relationship Type="http://schemas.openxmlformats.org/officeDocument/2006/relationships/hyperlink" Id="rId1110" Target="https://doi.org/10.1038/s41467-020-19160-7" TargetMode="External" /><Relationship Type="http://schemas.openxmlformats.org/officeDocument/2006/relationships/hyperlink" Id="rId1134" Target="https://doi.org/10.1038/s41562-016-0021" TargetMode="External" /><Relationship Type="http://schemas.openxmlformats.org/officeDocument/2006/relationships/hyperlink" Id="rId1119" Target="https://doi.org/10.1201/9781003029878" TargetMode="External" /><Relationship Type="http://schemas.openxmlformats.org/officeDocument/2006/relationships/hyperlink" Id="rId1172" Target="https://doi.org/10.1201/9781351201315" TargetMode="External" /><Relationship Type="http://schemas.openxmlformats.org/officeDocument/2006/relationships/hyperlink" Id="rId1149" Target="https://doi.org/10.1371/journal.pcbi.1003833" TargetMode="External" /><Relationship Type="http://schemas.openxmlformats.org/officeDocument/2006/relationships/hyperlink" Id="rId1101"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68"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88"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69"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67"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87"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2"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2"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07"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0" Target="https://journals.plos.org/ploscompbiol/article?id=10.1371/journal.pcbi.1003833" TargetMode="External" /><Relationship Type="http://schemas.openxmlformats.org/officeDocument/2006/relationships/hyperlink" Id="rId1114"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3" Target="https://man.openbsd.org/ssh_config" TargetMode="External" /><Relationship Type="http://schemas.openxmlformats.org/officeDocument/2006/relationships/hyperlink" Id="rId1165" Target="https://manpages.debian.org/stable/openssh-client/ssh_config.5.en.html" TargetMode="External" /><Relationship Type="http://schemas.openxmlformats.org/officeDocument/2006/relationships/hyperlink" Id="rId1174" Target="https://mastering-shiny.org/" TargetMode="External" /><Relationship Type="http://schemas.openxmlformats.org/officeDocument/2006/relationships/hyperlink" Id="rId1059"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28"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79"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098"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38"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4"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79"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1"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47"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3" Target="https://slurm.schedmd.com/salloc.html" TargetMode="External" /><Relationship Type="http://schemas.openxmlformats.org/officeDocument/2006/relationships/hyperlink" Id="rId1155" Target="https://slurm.schedmd.com/sattach.html" TargetMode="External" /><Relationship Type="http://schemas.openxmlformats.org/officeDocument/2006/relationships/hyperlink" Id="rId1157" Target="https://slurm.schedmd.com/sbatch.html" TargetMode="External" /><Relationship Type="http://schemas.openxmlformats.org/officeDocument/2006/relationships/hyperlink" Id="rId1159" Target="https://slurm.schedmd.com/squeue.html" TargetMode="External" /><Relationship Type="http://schemas.openxmlformats.org/officeDocument/2006/relationships/hyperlink" Id="rId1161"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86" Target="https://ucd-serg.github.io/lab-manual/appendix-copilot-instructions.html" TargetMode="External" /><Relationship Type="http://schemas.openxmlformats.org/officeDocument/2006/relationships/hyperlink" Id="rId1188"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1"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0" Target="https://www.medrxiv.org/" TargetMode="External" /><Relationship Type="http://schemas.openxmlformats.org/officeDocument/2006/relationships/hyperlink" Id="rId1055"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56"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2026-09-02T19:12:04Z</dcterms:created>
  <dcterms:modified xsi:type="dcterms:W3CDTF">2026-09-02T19:12:04Z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